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1373642" w:displacedByCustomXml="next"/>
    <w:bookmarkEnd w:id="0" w:displacedByCustomXml="next"/>
    <w:sdt>
      <w:sdtPr>
        <w:id w:val="-2107188065"/>
        <w:docPartObj>
          <w:docPartGallery w:val="Cover Pages"/>
          <w:docPartUnique/>
        </w:docPartObj>
      </w:sdtPr>
      <w:sdtEndPr>
        <w:rPr>
          <w:b/>
          <w:bCs/>
          <w:sz w:val="20"/>
          <w:szCs w:val="20"/>
        </w:rPr>
      </w:sdtEndPr>
      <w:sdtContent>
        <w:p w14:paraId="3B571D33" w14:textId="455AA331" w:rsidR="004F72D4" w:rsidRDefault="004F72D4"/>
        <w:p w14:paraId="5DB58FB4" w14:textId="77777777" w:rsidR="004F72D4" w:rsidRPr="00CD3BE0" w:rsidRDefault="004F72D4" w:rsidP="004F72D4">
          <w:pPr>
            <w:pStyle w:val="a2"/>
          </w:pPr>
          <w:r w:rsidRPr="00CD3BE0">
            <w:t>Федеральное государственное образовательное учреждение</w:t>
          </w:r>
        </w:p>
        <w:p w14:paraId="1956C495" w14:textId="77777777" w:rsidR="004F72D4" w:rsidRPr="00CD3BE0" w:rsidRDefault="004F72D4" w:rsidP="004F72D4">
          <w:pPr>
            <w:pStyle w:val="a2"/>
          </w:pPr>
          <w:r w:rsidRPr="00CD3BE0">
            <w:t>высшего профессионального образования</w:t>
          </w:r>
        </w:p>
        <w:p w14:paraId="30C059F4" w14:textId="77777777" w:rsidR="004F72D4" w:rsidRPr="00CD3BE0" w:rsidRDefault="004F72D4" w:rsidP="004F72D4">
          <w:pPr>
            <w:pStyle w:val="a2"/>
          </w:pPr>
          <w:r w:rsidRPr="00CD3BE0">
            <w:t>Санкт-Петербургский государственный университет</w:t>
          </w:r>
        </w:p>
        <w:p w14:paraId="5E47A69A" w14:textId="77777777" w:rsidR="004F72D4" w:rsidRPr="00CD3BE0" w:rsidRDefault="004F72D4" w:rsidP="004F72D4">
          <w:pPr>
            <w:pStyle w:val="a2"/>
          </w:pPr>
          <w:r w:rsidRPr="00CD3BE0">
            <w:t>Институт «Высшая школа менеджмента»</w:t>
          </w:r>
        </w:p>
        <w:p w14:paraId="7DCF4E4A" w14:textId="77777777" w:rsidR="004F72D4" w:rsidRPr="00CD3BE0" w:rsidRDefault="004F72D4" w:rsidP="004F72D4">
          <w:pPr>
            <w:pStyle w:val="a2"/>
          </w:pPr>
        </w:p>
        <w:p w14:paraId="14FB5FC0" w14:textId="77777777" w:rsidR="004F72D4" w:rsidRPr="00CD3BE0" w:rsidRDefault="004F72D4" w:rsidP="004F72D4">
          <w:pPr>
            <w:pStyle w:val="a2"/>
            <w:rPr>
              <w:rStyle w:val="af2"/>
              <w:u w:val="none"/>
              <w:lang w:val="ru-RU"/>
            </w:rPr>
          </w:pPr>
        </w:p>
        <w:p w14:paraId="58B66C65" w14:textId="77777777" w:rsidR="004F72D4" w:rsidRPr="00CD3BE0" w:rsidRDefault="004F72D4" w:rsidP="00D4283D">
          <w:pPr>
            <w:pStyle w:val="a2"/>
            <w:jc w:val="both"/>
            <w:rPr>
              <w:rStyle w:val="af2"/>
              <w:u w:val="none"/>
              <w:lang w:val="ru-RU"/>
            </w:rPr>
          </w:pPr>
        </w:p>
        <w:p w14:paraId="16739444" w14:textId="645AD65A" w:rsidR="004F72D4" w:rsidRPr="004F72D4" w:rsidRDefault="004F72D4" w:rsidP="004F72D4">
          <w:pPr>
            <w:pStyle w:val="a2"/>
            <w:rPr>
              <w:b/>
            </w:rPr>
          </w:pPr>
          <w:r>
            <w:rPr>
              <w:rStyle w:val="af1"/>
            </w:rPr>
            <w:t xml:space="preserve"> </w:t>
          </w:r>
          <w:r w:rsidRPr="009217DB">
            <w:rPr>
              <w:b/>
            </w:rPr>
            <w:t>Реакция фондового рынка на дивидендные «сюрпризы»: анализ российского и китайского рынка</w:t>
          </w:r>
        </w:p>
        <w:p w14:paraId="696936CE" w14:textId="6B0BA9E6" w:rsidR="004F72D4" w:rsidRDefault="004F72D4" w:rsidP="004F72D4">
          <w:pPr>
            <w:pStyle w:val="a2"/>
            <w:rPr>
              <w:rStyle w:val="af1"/>
            </w:rPr>
          </w:pPr>
        </w:p>
        <w:p w14:paraId="04686E0E" w14:textId="77777777" w:rsidR="004F72D4" w:rsidRPr="00CD3BE0" w:rsidRDefault="004F72D4" w:rsidP="004F72D4">
          <w:pPr>
            <w:pStyle w:val="a2"/>
            <w:rPr>
              <w:rStyle w:val="af1"/>
              <w:b w:val="0"/>
            </w:rPr>
          </w:pPr>
        </w:p>
        <w:p w14:paraId="3552D42C" w14:textId="77777777" w:rsidR="004F72D4" w:rsidRPr="00CD3BE0" w:rsidRDefault="004F72D4" w:rsidP="004F72D4">
          <w:pPr>
            <w:pStyle w:val="a2"/>
          </w:pPr>
        </w:p>
        <w:p w14:paraId="0CD38513" w14:textId="67955606" w:rsidR="00D4283D" w:rsidRPr="00B92637" w:rsidRDefault="00D4283D" w:rsidP="00D4283D">
          <w:pPr>
            <w:ind w:left="4670" w:right="-20" w:firstLine="8"/>
          </w:pPr>
          <w:r>
            <w:rPr>
              <w:spacing w:val="3"/>
            </w:rPr>
            <w:t>Выпускная квалификационная</w:t>
          </w:r>
          <w:r w:rsidRPr="00B92637">
            <w:rPr>
              <w:spacing w:val="-8"/>
            </w:rPr>
            <w:t xml:space="preserve"> </w:t>
          </w:r>
          <w:r w:rsidRPr="00B92637">
            <w:t>р</w:t>
          </w:r>
          <w:r w:rsidRPr="00B92637">
            <w:rPr>
              <w:spacing w:val="-1"/>
            </w:rPr>
            <w:t>а</w:t>
          </w:r>
          <w:r w:rsidRPr="00B92637">
            <w:rPr>
              <w:spacing w:val="-7"/>
            </w:rPr>
            <w:t>б</w:t>
          </w:r>
          <w:r w:rsidRPr="00B92637">
            <w:rPr>
              <w:spacing w:val="5"/>
            </w:rPr>
            <w:t>о</w:t>
          </w:r>
          <w:r w:rsidRPr="00B92637">
            <w:rPr>
              <w:spacing w:val="1"/>
            </w:rPr>
            <w:t>т</w:t>
          </w:r>
          <w:r w:rsidRPr="00B92637">
            <w:t>а</w:t>
          </w:r>
        </w:p>
        <w:p w14:paraId="29A4DA9C" w14:textId="399288BF" w:rsidR="00D4283D" w:rsidRPr="00B92637" w:rsidRDefault="00D4283D" w:rsidP="00D4283D">
          <w:pPr>
            <w:spacing w:before="7" w:line="274" w:lineRule="exact"/>
            <w:ind w:left="4670" w:right="315" w:firstLine="8"/>
          </w:pPr>
          <w:r w:rsidRPr="00B92637">
            <w:rPr>
              <w:spacing w:val="-1"/>
            </w:rPr>
            <w:t>с</w:t>
          </w:r>
          <w:r w:rsidRPr="00B92637">
            <w:rPr>
              <w:spacing w:val="6"/>
            </w:rPr>
            <w:t>т</w:t>
          </w:r>
          <w:r w:rsidRPr="00B92637">
            <w:rPr>
              <w:spacing w:val="-9"/>
            </w:rPr>
            <w:t>у</w:t>
          </w:r>
          <w:r w:rsidRPr="00B92637">
            <w:rPr>
              <w:spacing w:val="3"/>
            </w:rPr>
            <w:t>д</w:t>
          </w:r>
          <w:r w:rsidRPr="00B92637">
            <w:rPr>
              <w:spacing w:val="-1"/>
            </w:rPr>
            <w:t>е</w:t>
          </w:r>
          <w:r w:rsidRPr="00B92637">
            <w:rPr>
              <w:spacing w:val="1"/>
            </w:rPr>
            <w:t>нт</w:t>
          </w:r>
          <w:r w:rsidRPr="00B92637">
            <w:t>ки</w:t>
          </w:r>
          <w:r w:rsidRPr="00B92637">
            <w:rPr>
              <w:spacing w:val="-8"/>
            </w:rPr>
            <w:t xml:space="preserve"> </w:t>
          </w:r>
          <w:r>
            <w:t>4</w:t>
          </w:r>
          <w:r w:rsidRPr="00B92637">
            <w:rPr>
              <w:spacing w:val="1"/>
            </w:rPr>
            <w:t xml:space="preserve"> </w:t>
          </w:r>
          <w:r w:rsidRPr="00B92637">
            <w:rPr>
              <w:spacing w:val="3"/>
            </w:rPr>
            <w:t>к</w:t>
          </w:r>
          <w:r w:rsidRPr="00B92637">
            <w:rPr>
              <w:spacing w:val="-9"/>
            </w:rPr>
            <w:t>у</w:t>
          </w:r>
          <w:r w:rsidRPr="00B92637">
            <w:t>р</w:t>
          </w:r>
          <w:r w:rsidRPr="00B92637">
            <w:rPr>
              <w:spacing w:val="-1"/>
            </w:rPr>
            <w:t>с</w:t>
          </w:r>
          <w:r w:rsidRPr="00B92637">
            <w:t>а</w:t>
          </w:r>
          <w:r w:rsidRPr="00B92637">
            <w:rPr>
              <w:spacing w:val="-4"/>
            </w:rPr>
            <w:t xml:space="preserve"> </w:t>
          </w:r>
          <w:r w:rsidRPr="00B92637">
            <w:rPr>
              <w:spacing w:val="-2"/>
            </w:rPr>
            <w:t>б</w:t>
          </w:r>
          <w:r w:rsidRPr="00B92637">
            <w:rPr>
              <w:spacing w:val="4"/>
            </w:rPr>
            <w:t>а</w:t>
          </w:r>
          <w:r w:rsidRPr="00B92637">
            <w:rPr>
              <w:spacing w:val="-1"/>
            </w:rPr>
            <w:t>ка</w:t>
          </w:r>
          <w:r w:rsidRPr="00B92637">
            <w:t>л</w:t>
          </w:r>
          <w:r w:rsidRPr="00B92637">
            <w:rPr>
              <w:spacing w:val="-1"/>
            </w:rPr>
            <w:t>а</w:t>
          </w:r>
          <w:r w:rsidRPr="00B92637">
            <w:rPr>
              <w:spacing w:val="1"/>
            </w:rPr>
            <w:t>в</w:t>
          </w:r>
          <w:r w:rsidRPr="00B92637">
            <w:t>р</w:t>
          </w:r>
          <w:r w:rsidRPr="00B92637">
            <w:rPr>
              <w:spacing w:val="-1"/>
            </w:rPr>
            <w:t>ск</w:t>
          </w:r>
          <w:r w:rsidRPr="00B92637">
            <w:rPr>
              <w:spacing w:val="5"/>
            </w:rPr>
            <w:t>о</w:t>
          </w:r>
          <w:r w:rsidRPr="00B92637">
            <w:t>й</w:t>
          </w:r>
          <w:r w:rsidRPr="00B92637">
            <w:rPr>
              <w:spacing w:val="-10"/>
            </w:rPr>
            <w:t xml:space="preserve"> </w:t>
          </w:r>
          <w:r w:rsidRPr="00B92637">
            <w:rPr>
              <w:spacing w:val="1"/>
            </w:rPr>
            <w:t>п</w:t>
          </w:r>
          <w:r w:rsidRPr="00B92637">
            <w:rPr>
              <w:spacing w:val="-5"/>
            </w:rPr>
            <w:t>р</w:t>
          </w:r>
          <w:r w:rsidRPr="00B92637">
            <w:t>о</w:t>
          </w:r>
          <w:r w:rsidRPr="00B92637">
            <w:rPr>
              <w:spacing w:val="2"/>
            </w:rPr>
            <w:t>г</w:t>
          </w:r>
          <w:r w:rsidRPr="00B92637">
            <w:t>р</w:t>
          </w:r>
          <w:r w:rsidRPr="00B92637">
            <w:rPr>
              <w:spacing w:val="-1"/>
            </w:rPr>
            <w:t>а</w:t>
          </w:r>
          <w:r w:rsidRPr="00B92637">
            <w:rPr>
              <w:spacing w:val="2"/>
            </w:rPr>
            <w:t>м</w:t>
          </w:r>
          <w:r w:rsidRPr="00B92637">
            <w:rPr>
              <w:spacing w:val="-3"/>
            </w:rPr>
            <w:t>м</w:t>
          </w:r>
          <w:r w:rsidRPr="00B92637">
            <w:rPr>
              <w:spacing w:val="2"/>
            </w:rPr>
            <w:t>ы</w:t>
          </w:r>
          <w:r w:rsidRPr="00B92637">
            <w:t xml:space="preserve">, </w:t>
          </w:r>
          <w:r w:rsidRPr="00B92637">
            <w:rPr>
              <w:spacing w:val="1"/>
            </w:rPr>
            <w:t>п</w:t>
          </w:r>
          <w:r w:rsidRPr="00B92637">
            <w:t>р</w:t>
          </w:r>
          <w:r w:rsidRPr="00B92637">
            <w:rPr>
              <w:spacing w:val="5"/>
            </w:rPr>
            <w:t>о</w:t>
          </w:r>
          <w:r w:rsidRPr="00B92637">
            <w:rPr>
              <w:spacing w:val="-2"/>
            </w:rPr>
            <w:t>ф</w:t>
          </w:r>
          <w:r w:rsidRPr="00B92637">
            <w:rPr>
              <w:spacing w:val="1"/>
            </w:rPr>
            <w:t>и</w:t>
          </w:r>
          <w:r w:rsidRPr="00B92637">
            <w:t>ль</w:t>
          </w:r>
          <w:r w:rsidRPr="00B92637">
            <w:rPr>
              <w:spacing w:val="-11"/>
            </w:rPr>
            <w:t xml:space="preserve"> </w:t>
          </w:r>
          <w:r w:rsidRPr="00B92637">
            <w:t>–</w:t>
          </w:r>
          <w:r w:rsidRPr="00B92637">
            <w:rPr>
              <w:spacing w:val="1"/>
            </w:rPr>
            <w:t xml:space="preserve"> </w:t>
          </w:r>
          <w:r w:rsidRPr="00B92637">
            <w:rPr>
              <w:spacing w:val="-7"/>
              <w:w w:val="98"/>
            </w:rPr>
            <w:t>Финансовый</w:t>
          </w:r>
          <w:r w:rsidRPr="00B92637">
            <w:rPr>
              <w:spacing w:val="7"/>
              <w:w w:val="98"/>
            </w:rPr>
            <w:t xml:space="preserve"> </w:t>
          </w:r>
          <w:r w:rsidRPr="00B92637">
            <w:rPr>
              <w:spacing w:val="-3"/>
            </w:rPr>
            <w:t>м</w:t>
          </w:r>
          <w:r w:rsidRPr="00B92637">
            <w:rPr>
              <w:spacing w:val="-6"/>
            </w:rPr>
            <w:t>е</w:t>
          </w:r>
          <w:r w:rsidRPr="00B92637">
            <w:rPr>
              <w:spacing w:val="-8"/>
            </w:rPr>
            <w:t>н</w:t>
          </w:r>
          <w:r w:rsidRPr="00B92637">
            <w:rPr>
              <w:spacing w:val="-6"/>
            </w:rPr>
            <w:t>е</w:t>
          </w:r>
          <w:r w:rsidRPr="00B92637">
            <w:rPr>
              <w:spacing w:val="-11"/>
            </w:rPr>
            <w:t>д</w:t>
          </w:r>
          <w:r w:rsidRPr="00B92637">
            <w:rPr>
              <w:spacing w:val="-7"/>
            </w:rPr>
            <w:t>ж</w:t>
          </w:r>
          <w:r w:rsidRPr="00B92637">
            <w:rPr>
              <w:spacing w:val="-3"/>
            </w:rPr>
            <w:t>м</w:t>
          </w:r>
          <w:r w:rsidRPr="00B92637">
            <w:rPr>
              <w:spacing w:val="-6"/>
            </w:rPr>
            <w:t>е</w:t>
          </w:r>
          <w:r w:rsidRPr="00B92637">
            <w:rPr>
              <w:spacing w:val="-8"/>
            </w:rPr>
            <w:t>н</w:t>
          </w:r>
          <w:r w:rsidRPr="00B92637">
            <w:t>т</w:t>
          </w:r>
        </w:p>
        <w:p w14:paraId="346348B2" w14:textId="77777777" w:rsidR="00D4283D" w:rsidRPr="00B92637" w:rsidRDefault="00D4283D" w:rsidP="00D4283D">
          <w:pPr>
            <w:spacing w:before="4" w:line="120" w:lineRule="exact"/>
            <w:ind w:left="4670" w:firstLine="8"/>
            <w:rPr>
              <w:sz w:val="12"/>
              <w:szCs w:val="12"/>
            </w:rPr>
          </w:pPr>
        </w:p>
        <w:p w14:paraId="5FE8AD14" w14:textId="0B629FB0" w:rsidR="00D4283D" w:rsidRPr="00B92637" w:rsidRDefault="00D4283D" w:rsidP="00D4283D">
          <w:pPr>
            <w:spacing w:line="240" w:lineRule="auto"/>
            <w:ind w:left="4670" w:right="-20" w:firstLine="8"/>
          </w:pPr>
          <w:r>
            <w:rPr>
              <w:b/>
              <w:bCs/>
              <w:position w:val="-1"/>
            </w:rPr>
            <w:t>ПОПОВОЙ</w:t>
          </w:r>
          <w:r w:rsidRPr="00B92637">
            <w:rPr>
              <w:b/>
              <w:bCs/>
              <w:position w:val="-1"/>
            </w:rPr>
            <w:t xml:space="preserve"> </w:t>
          </w:r>
          <w:r>
            <w:rPr>
              <w:b/>
              <w:bCs/>
              <w:position w:val="-1"/>
            </w:rPr>
            <w:t>Миланы Олеговны</w:t>
          </w:r>
          <w:r w:rsidRPr="00B92637">
            <w:rPr>
              <w:b/>
              <w:bCs/>
              <w:position w:val="-1"/>
            </w:rPr>
            <w:t xml:space="preserve"> </w:t>
          </w:r>
        </w:p>
        <w:p w14:paraId="7C44BEFD" w14:textId="77777777" w:rsidR="00D4283D" w:rsidRPr="00B92637" w:rsidRDefault="00D4283D" w:rsidP="00D4283D">
          <w:pPr>
            <w:spacing w:before="2" w:line="240" w:lineRule="auto"/>
            <w:ind w:left="4670" w:firstLine="8"/>
            <w:rPr>
              <w:sz w:val="12"/>
              <w:szCs w:val="12"/>
            </w:rPr>
          </w:pPr>
        </w:p>
        <w:p w14:paraId="745FF13C" w14:textId="73451717" w:rsidR="00D4283D" w:rsidRPr="00B92637" w:rsidRDefault="00D4283D" w:rsidP="00D4283D">
          <w:pPr>
            <w:spacing w:line="240" w:lineRule="auto"/>
            <w:ind w:left="4670" w:firstLine="8"/>
            <w:rPr>
              <w:sz w:val="20"/>
              <w:szCs w:val="20"/>
            </w:rPr>
          </w:pPr>
          <w:r>
            <w:rPr>
              <w:noProof/>
            </w:rPr>
            <w:drawing>
              <wp:inline distT="0" distB="0" distL="0" distR="0" wp14:anchorId="3C93B67B" wp14:editId="09CC6088">
                <wp:extent cx="628650" cy="444500"/>
                <wp:effectExtent l="0" t="0" r="0" b="0"/>
                <wp:docPr id="37" name="Picture 1" descr="Изображение выглядит как членистоногое&#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21" name="Picture 1" descr="Изображение выглядит как членистоногое&#10;&#10;Автоматически созданное описание"/>
                        <pic:cNvPicPr/>
                      </pic:nvPicPr>
                      <pic:blipFill rotWithShape="1">
                        <a:blip r:embed="rId8" cstate="print">
                          <a:biLevel thresh="75000"/>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l="14381" t="10751" r="13783" b="8657"/>
                        <a:stretch/>
                      </pic:blipFill>
                      <pic:spPr bwMode="auto">
                        <a:xfrm>
                          <a:off x="0" y="0"/>
                          <a:ext cx="628650" cy="444500"/>
                        </a:xfrm>
                        <a:prstGeom prst="rect">
                          <a:avLst/>
                        </a:prstGeom>
                        <a:noFill/>
                        <a:ln>
                          <a:noFill/>
                        </a:ln>
                        <a:extLst>
                          <a:ext uri="{53640926-AAD7-44D8-BBD7-CCE9431645EC}">
                            <a14:shadowObscured xmlns:a14="http://schemas.microsoft.com/office/drawing/2010/main"/>
                          </a:ext>
                        </a:extLst>
                      </pic:spPr>
                    </pic:pic>
                  </a:graphicData>
                </a:graphic>
              </wp:inline>
            </w:drawing>
          </w:r>
        </w:p>
        <w:p w14:paraId="1FB6786B" w14:textId="0D628247" w:rsidR="00D4283D" w:rsidRPr="00B92637" w:rsidRDefault="00CF4558" w:rsidP="00D4283D">
          <w:pPr>
            <w:spacing w:before="38" w:line="240" w:lineRule="auto"/>
            <w:ind w:left="4670" w:right="2111" w:firstLine="8"/>
            <w:jc w:val="right"/>
            <w:rPr>
              <w:sz w:val="16"/>
              <w:szCs w:val="16"/>
            </w:rPr>
          </w:pPr>
          <w:r>
            <w:rPr>
              <w:noProof/>
            </w:rPr>
            <w:pict w14:anchorId="7408B707">
              <v:group id="Group 6" o:spid="_x0000_s2054" style="position:absolute;left:0;text-align:left;margin-left:317.5pt;margin-top:3.3pt;width:173.95pt;height:.1pt;z-index:-251656192;mso-position-horizontal-relative:page" coordorigin="6350,66" coordsize="34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">
                <v:shape id="Freeform 7" o:spid="_x0000_s2055" style="position:absolute;left:6350;top:66;width:3479;height:2;visibility:visible;mso-wrap-style:square;v-text-anchor:top" coordsize="3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" path="m,l3480,e" filled="f" strokeweight=".16931mm">
                  <v:path arrowok="t" o:connecttype="custom" o:connectlocs="0,0;3480,0" o:connectangles="0,0"/>
                </v:shape>
                <w10:wrap anchorx="page"/>
              </v:group>
            </w:pict>
          </w:r>
          <w:r w:rsidR="00D4283D" w:rsidRPr="00B92637">
            <w:rPr>
              <w:i/>
              <w:spacing w:val="-5"/>
              <w:w w:val="98"/>
              <w:sz w:val="16"/>
              <w:szCs w:val="16"/>
            </w:rPr>
            <w:t>(</w:t>
          </w:r>
          <w:r w:rsidR="00D4283D" w:rsidRPr="00B92637">
            <w:rPr>
              <w:i/>
              <w:spacing w:val="2"/>
              <w:w w:val="98"/>
              <w:sz w:val="16"/>
              <w:szCs w:val="16"/>
            </w:rPr>
            <w:t>по</w:t>
          </w:r>
          <w:r w:rsidR="00D4283D" w:rsidRPr="00B92637">
            <w:rPr>
              <w:i/>
              <w:spacing w:val="1"/>
              <w:w w:val="98"/>
              <w:sz w:val="16"/>
              <w:szCs w:val="16"/>
            </w:rPr>
            <w:t>д</w:t>
          </w:r>
          <w:r w:rsidR="00D4283D" w:rsidRPr="00B92637">
            <w:rPr>
              <w:i/>
              <w:spacing w:val="2"/>
              <w:w w:val="98"/>
              <w:sz w:val="16"/>
              <w:szCs w:val="16"/>
            </w:rPr>
            <w:t>пис</w:t>
          </w:r>
          <w:r w:rsidR="00D4283D" w:rsidRPr="00B92637">
            <w:rPr>
              <w:i/>
              <w:w w:val="98"/>
              <w:sz w:val="16"/>
              <w:szCs w:val="16"/>
            </w:rPr>
            <w:t>ь)</w:t>
          </w:r>
        </w:p>
        <w:p w14:paraId="363670D2" w14:textId="77777777" w:rsidR="00D4283D" w:rsidRPr="00B92637" w:rsidRDefault="00D4283D" w:rsidP="00D4283D">
          <w:pPr>
            <w:spacing w:line="200" w:lineRule="exact"/>
            <w:ind w:left="4670" w:firstLine="8"/>
            <w:rPr>
              <w:sz w:val="20"/>
              <w:szCs w:val="20"/>
            </w:rPr>
          </w:pPr>
        </w:p>
        <w:p w14:paraId="6192FADC" w14:textId="77777777" w:rsidR="00D4283D" w:rsidRPr="00B92637" w:rsidRDefault="00D4283D" w:rsidP="00D4283D">
          <w:pPr>
            <w:spacing w:before="4" w:line="200" w:lineRule="exact"/>
            <w:ind w:left="4670" w:firstLine="8"/>
            <w:rPr>
              <w:sz w:val="20"/>
              <w:szCs w:val="20"/>
            </w:rPr>
          </w:pPr>
        </w:p>
        <w:p w14:paraId="5EAEAA34" w14:textId="77777777" w:rsidR="00D4283D" w:rsidRPr="00B92637" w:rsidRDefault="00D4283D" w:rsidP="00D16B50">
          <w:pPr>
            <w:spacing w:line="240" w:lineRule="auto"/>
            <w:ind w:left="4670" w:right="283" w:firstLine="8"/>
          </w:pPr>
          <w:r w:rsidRPr="00B92637">
            <w:t>Н</w:t>
          </w:r>
          <w:r w:rsidRPr="00B92637">
            <w:rPr>
              <w:spacing w:val="4"/>
            </w:rPr>
            <w:t>а</w:t>
          </w:r>
          <w:r w:rsidRPr="00B92637">
            <w:rPr>
              <w:spacing w:val="-9"/>
            </w:rPr>
            <w:t>у</w:t>
          </w:r>
          <w:r w:rsidRPr="00B92637">
            <w:t>ч</w:t>
          </w:r>
          <w:r w:rsidRPr="00B92637">
            <w:rPr>
              <w:spacing w:val="1"/>
            </w:rPr>
            <w:t>н</w:t>
          </w:r>
          <w:r w:rsidRPr="00B92637">
            <w:rPr>
              <w:spacing w:val="2"/>
            </w:rPr>
            <w:t>ы</w:t>
          </w:r>
          <w:r w:rsidRPr="00B92637">
            <w:t>й</w:t>
          </w:r>
          <w:r w:rsidRPr="00B92637">
            <w:rPr>
              <w:spacing w:val="-5"/>
            </w:rPr>
            <w:t xml:space="preserve"> </w:t>
          </w:r>
          <w:r w:rsidRPr="00B92637">
            <w:rPr>
              <w:spacing w:val="5"/>
            </w:rPr>
            <w:t>р</w:t>
          </w:r>
          <w:r w:rsidRPr="00B92637">
            <w:rPr>
              <w:spacing w:val="-9"/>
            </w:rPr>
            <w:t>у</w:t>
          </w:r>
          <w:r w:rsidRPr="00B92637">
            <w:rPr>
              <w:spacing w:val="-1"/>
            </w:rPr>
            <w:t>к</w:t>
          </w:r>
          <w:r w:rsidRPr="00B92637">
            <w:rPr>
              <w:spacing w:val="5"/>
            </w:rPr>
            <w:t>о</w:t>
          </w:r>
          <w:r w:rsidRPr="00B92637">
            <w:rPr>
              <w:spacing w:val="2"/>
            </w:rPr>
            <w:t>в</w:t>
          </w:r>
          <w:r w:rsidRPr="00B92637">
            <w:rPr>
              <w:spacing w:val="5"/>
            </w:rPr>
            <w:t>о</w:t>
          </w:r>
          <w:r w:rsidRPr="00B92637">
            <w:rPr>
              <w:spacing w:val="-2"/>
            </w:rPr>
            <w:t>д</w:t>
          </w:r>
          <w:r w:rsidRPr="00B92637">
            <w:rPr>
              <w:spacing w:val="1"/>
            </w:rPr>
            <w:t>ит</w:t>
          </w:r>
          <w:r w:rsidRPr="00B92637">
            <w:rPr>
              <w:spacing w:val="-1"/>
            </w:rPr>
            <w:t>е</w:t>
          </w:r>
          <w:r w:rsidRPr="00B92637">
            <w:t xml:space="preserve">ль </w:t>
          </w:r>
          <w:r w:rsidRPr="00B92637">
            <w:rPr>
              <w:spacing w:val="-2"/>
            </w:rPr>
            <w:t>к</w:t>
          </w:r>
          <w:r w:rsidRPr="00B92637">
            <w:rPr>
              <w:spacing w:val="2"/>
            </w:rPr>
            <w:t>.</w:t>
          </w:r>
          <w:r w:rsidRPr="00B92637">
            <w:rPr>
              <w:spacing w:val="-2"/>
            </w:rPr>
            <w:t>э</w:t>
          </w:r>
          <w:r w:rsidRPr="00B92637">
            <w:rPr>
              <w:spacing w:val="2"/>
            </w:rPr>
            <w:t>.</w:t>
          </w:r>
          <w:r w:rsidRPr="00B92637">
            <w:rPr>
              <w:spacing w:val="1"/>
            </w:rPr>
            <w:t>н</w:t>
          </w:r>
          <w:r w:rsidRPr="00B92637">
            <w:rPr>
              <w:spacing w:val="2"/>
            </w:rPr>
            <w:t>.</w:t>
          </w:r>
          <w:r w:rsidRPr="00B92637">
            <w:t xml:space="preserve"> СМИРНОВ Марат Владимирович</w:t>
          </w:r>
          <w:r w:rsidRPr="00B92637">
            <w:rPr>
              <w:spacing w:val="-8"/>
            </w:rPr>
            <w:t xml:space="preserve"> </w:t>
          </w:r>
        </w:p>
        <w:p w14:paraId="6DC47663" w14:textId="77777777" w:rsidR="00D4283D" w:rsidRPr="00B92637" w:rsidRDefault="00D4283D" w:rsidP="00D4283D">
          <w:pPr>
            <w:spacing w:line="240" w:lineRule="auto"/>
            <w:ind w:left="4670" w:firstLine="8"/>
            <w:rPr>
              <w:sz w:val="20"/>
              <w:szCs w:val="20"/>
            </w:rPr>
          </w:pPr>
        </w:p>
        <w:p w14:paraId="24FEAA94" w14:textId="77777777" w:rsidR="00D4283D" w:rsidRPr="00B92637" w:rsidRDefault="00D4283D" w:rsidP="00D4283D">
          <w:pPr>
            <w:spacing w:before="2" w:line="240" w:lineRule="auto"/>
            <w:ind w:left="4670" w:firstLine="8"/>
          </w:pPr>
        </w:p>
        <w:p w14:paraId="58E2B7EC" w14:textId="579711B4" w:rsidR="00D4283D" w:rsidRPr="00B92637" w:rsidRDefault="00CF4558" w:rsidP="00D4283D">
          <w:pPr>
            <w:spacing w:before="38" w:line="240" w:lineRule="auto"/>
            <w:ind w:left="4670" w:right="2111" w:firstLine="8"/>
            <w:jc w:val="right"/>
            <w:rPr>
              <w:sz w:val="16"/>
              <w:szCs w:val="16"/>
            </w:rPr>
          </w:pPr>
          <w:r>
            <w:rPr>
              <w:noProof/>
            </w:rPr>
            <w:pict w14:anchorId="3C244C7C">
              <v:group id="_x0000_s2052" style="position:absolute;left:0;text-align:left;margin-left:317.5pt;margin-top:3.3pt;width:173.95pt;height:.1pt;z-index:-251655168;mso-position-horizontal-relative:page" coordorigin="6350,66" coordsize="34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">
                <v:shape id="Freeform 7" o:spid="_x0000_s2053" style="position:absolute;left:6350;top:66;width:3479;height:2;visibility:visible;mso-wrap-style:square;v-text-anchor:top" coordsize="3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" path="m,l3480,e" filled="f" strokeweight=".16931mm">
                  <v:path arrowok="t" o:connecttype="custom" o:connectlocs="0,0;3480,0" o:connectangles="0,0"/>
                </v:shape>
                <w10:wrap anchorx="page"/>
              </v:group>
            </w:pict>
          </w:r>
          <w:r w:rsidR="00D4283D" w:rsidRPr="00B92637">
            <w:rPr>
              <w:i/>
              <w:spacing w:val="-5"/>
              <w:w w:val="98"/>
              <w:sz w:val="16"/>
              <w:szCs w:val="16"/>
            </w:rPr>
            <w:t>(</w:t>
          </w:r>
          <w:r w:rsidR="00D4283D" w:rsidRPr="00B92637">
            <w:rPr>
              <w:i/>
              <w:spacing w:val="2"/>
              <w:w w:val="98"/>
              <w:sz w:val="16"/>
              <w:szCs w:val="16"/>
            </w:rPr>
            <w:t>по</w:t>
          </w:r>
          <w:r w:rsidR="00D4283D" w:rsidRPr="00B92637">
            <w:rPr>
              <w:i/>
              <w:spacing w:val="1"/>
              <w:w w:val="98"/>
              <w:sz w:val="16"/>
              <w:szCs w:val="16"/>
            </w:rPr>
            <w:t>д</w:t>
          </w:r>
          <w:r w:rsidR="00D4283D" w:rsidRPr="00B92637">
            <w:rPr>
              <w:i/>
              <w:spacing w:val="2"/>
              <w:w w:val="98"/>
              <w:sz w:val="16"/>
              <w:szCs w:val="16"/>
            </w:rPr>
            <w:t>пис</w:t>
          </w:r>
          <w:r w:rsidR="00D4283D" w:rsidRPr="00B92637">
            <w:rPr>
              <w:i/>
              <w:w w:val="98"/>
              <w:sz w:val="16"/>
              <w:szCs w:val="16"/>
            </w:rPr>
            <w:t>ь)</w:t>
          </w:r>
        </w:p>
        <w:p w14:paraId="0CB6AF81" w14:textId="77777777" w:rsidR="00D4283D" w:rsidRPr="00B92637" w:rsidRDefault="00D4283D" w:rsidP="00D4283D">
          <w:pPr>
            <w:spacing w:line="200" w:lineRule="exact"/>
            <w:ind w:left="4670" w:firstLine="8"/>
            <w:rPr>
              <w:sz w:val="20"/>
              <w:szCs w:val="20"/>
            </w:rPr>
          </w:pPr>
        </w:p>
        <w:p w14:paraId="5777A860" w14:textId="77777777" w:rsidR="00D4283D" w:rsidRPr="00B92637" w:rsidRDefault="00D4283D" w:rsidP="00D4283D">
          <w:pPr>
            <w:spacing w:before="4" w:line="200" w:lineRule="exact"/>
            <w:ind w:left="4670" w:firstLine="8"/>
            <w:rPr>
              <w:sz w:val="20"/>
              <w:szCs w:val="20"/>
            </w:rPr>
          </w:pPr>
        </w:p>
        <w:p w14:paraId="5772BF94" w14:textId="62D6934D" w:rsidR="00D4283D" w:rsidRPr="00B92637" w:rsidRDefault="00D4283D" w:rsidP="004A4F4C">
          <w:pPr>
            <w:spacing w:line="240" w:lineRule="auto"/>
            <w:ind w:left="4670" w:right="-20" w:firstLine="8"/>
            <w:rPr>
              <w:sz w:val="16"/>
              <w:szCs w:val="16"/>
            </w:rPr>
          </w:pPr>
        </w:p>
        <w:p w14:paraId="682C83EE" w14:textId="77777777" w:rsidR="00D4283D" w:rsidRPr="00B92637" w:rsidRDefault="00D4283D" w:rsidP="00D4283D">
          <w:pPr>
            <w:spacing w:line="200" w:lineRule="exact"/>
            <w:ind w:left="4670" w:firstLine="8"/>
            <w:rPr>
              <w:sz w:val="20"/>
              <w:szCs w:val="20"/>
            </w:rPr>
          </w:pPr>
        </w:p>
        <w:p w14:paraId="0ECE2246" w14:textId="77777777" w:rsidR="00D4283D" w:rsidRPr="00B92637" w:rsidRDefault="00D4283D" w:rsidP="00D4283D">
          <w:pPr>
            <w:spacing w:before="4" w:line="200" w:lineRule="exact"/>
            <w:ind w:left="4670" w:firstLine="8"/>
            <w:rPr>
              <w:sz w:val="20"/>
              <w:szCs w:val="20"/>
            </w:rPr>
          </w:pPr>
        </w:p>
        <w:p w14:paraId="15057E9F" w14:textId="268E59A6" w:rsidR="00D4283D" w:rsidRPr="00B92637" w:rsidRDefault="00D4283D" w:rsidP="00EC20D3">
          <w:pPr>
            <w:tabs>
              <w:tab w:val="left" w:pos="5360"/>
              <w:tab w:val="left" w:pos="7340"/>
            </w:tabs>
            <w:ind w:left="4670" w:right="992" w:firstLine="8"/>
            <w:jc w:val="center"/>
          </w:pPr>
          <w:r w:rsidRPr="00B92637">
            <w:rPr>
              <w:spacing w:val="-5"/>
            </w:rPr>
            <w:t>«</w:t>
          </w:r>
          <w:proofErr w:type="gramStart"/>
          <w:r w:rsidR="00EC20D3">
            <w:rPr>
              <w:u w:val="single" w:color="000000"/>
            </w:rPr>
            <w:t>31</w:t>
          </w:r>
          <w:r w:rsidRPr="00B92637">
            <w:t>»</w:t>
          </w:r>
          <w:r w:rsidRPr="00B92637">
            <w:rPr>
              <w:spacing w:val="-1"/>
            </w:rPr>
            <w:t xml:space="preserve"> </w:t>
          </w:r>
          <w:r w:rsidRPr="00B92637">
            <w:rPr>
              <w:spacing w:val="8"/>
              <w:u w:val="single" w:color="000000"/>
            </w:rPr>
            <w:t xml:space="preserve"> </w:t>
          </w:r>
          <w:r w:rsidR="00EC20D3">
            <w:rPr>
              <w:spacing w:val="8"/>
              <w:u w:val="single" w:color="000000"/>
            </w:rPr>
            <w:t xml:space="preserve"> </w:t>
          </w:r>
          <w:proofErr w:type="gramEnd"/>
          <w:r w:rsidR="00EC20D3">
            <w:rPr>
              <w:spacing w:val="8"/>
              <w:u w:val="single" w:color="000000"/>
            </w:rPr>
            <w:t xml:space="preserve">          мая</w:t>
          </w:r>
          <w:r w:rsidRPr="00B92637">
            <w:rPr>
              <w:u w:val="single" w:color="000000"/>
            </w:rPr>
            <w:tab/>
          </w:r>
          <w:r w:rsidRPr="00B92637">
            <w:t>202</w:t>
          </w:r>
          <w:r w:rsidR="00EC20D3">
            <w:t xml:space="preserve">2 </w:t>
          </w:r>
          <w:r w:rsidRPr="00B92637">
            <w:rPr>
              <w:spacing w:val="-2"/>
              <w:w w:val="99"/>
            </w:rPr>
            <w:t>г</w:t>
          </w:r>
          <w:r w:rsidRPr="00B92637">
            <w:rPr>
              <w:w w:val="99"/>
            </w:rPr>
            <w:t>.</w:t>
          </w:r>
        </w:p>
        <w:p w14:paraId="620DB4AC" w14:textId="77777777" w:rsidR="00D4283D" w:rsidRPr="00D4283D" w:rsidRDefault="00D4283D" w:rsidP="00D4283D">
          <w:pPr>
            <w:spacing w:before="4" w:line="120" w:lineRule="exact"/>
            <w:ind w:firstLine="0"/>
            <w:jc w:val="left"/>
            <w:rPr>
              <w:rFonts w:eastAsia="Times New Roman" w:cs="Times New Roman"/>
              <w:sz w:val="12"/>
              <w:szCs w:val="12"/>
            </w:rPr>
          </w:pPr>
        </w:p>
        <w:p w14:paraId="1DFF6DC7" w14:textId="6A716939" w:rsidR="004F72D4" w:rsidRPr="000643F9" w:rsidRDefault="004F72D4" w:rsidP="000643F9">
          <w:pPr>
            <w:ind w:right="425" w:firstLine="0"/>
            <w:contextualSpacing/>
            <w:rPr>
              <w:rStyle w:val="af1"/>
              <w:rFonts w:eastAsia="Calibri" w:cs="Times New Roman"/>
              <w:b w:val="0"/>
              <w:szCs w:val="24"/>
            </w:rPr>
          </w:pPr>
          <w:r>
            <w:rPr>
              <w:rFonts w:eastAsia="Calibri" w:cs="Times New Roman"/>
              <w:szCs w:val="24"/>
            </w:rPr>
            <w:br/>
          </w:r>
        </w:p>
        <w:p w14:paraId="12FB2EAA" w14:textId="77777777" w:rsidR="004F72D4" w:rsidRDefault="004F72D4" w:rsidP="00347E15">
          <w:pPr>
            <w:pStyle w:val="a2"/>
          </w:pPr>
          <w:r w:rsidRPr="00A45053">
            <w:t>Санкт-Петербур</w:t>
          </w:r>
          <w:r>
            <w:t>г</w:t>
          </w:r>
        </w:p>
        <w:p w14:paraId="47A4514B" w14:textId="77777777" w:rsidR="00EC20D3" w:rsidRDefault="004F72D4" w:rsidP="000643F9">
          <w:pPr>
            <w:pStyle w:val="a2"/>
          </w:pPr>
          <w:r w:rsidRPr="00A45053">
            <w:t>202</w:t>
          </w:r>
          <w:r w:rsidR="00B932EE">
            <w:t>2</w:t>
          </w:r>
        </w:p>
        <w:p w14:paraId="30501BF9" w14:textId="77777777" w:rsidR="00D16B50" w:rsidRDefault="00D16B50" w:rsidP="000643F9">
          <w:pPr>
            <w:pStyle w:val="a2"/>
          </w:pPr>
        </w:p>
        <w:p w14:paraId="456C6BB5" w14:textId="77777777" w:rsidR="004A4F4C" w:rsidRDefault="004A4F4C" w:rsidP="000643F9">
          <w:pPr>
            <w:pStyle w:val="a2"/>
          </w:pPr>
        </w:p>
        <w:p w14:paraId="48680048" w14:textId="77777777" w:rsidR="004A4F4C" w:rsidRDefault="004A4F4C" w:rsidP="000643F9">
          <w:pPr>
            <w:pStyle w:val="a2"/>
          </w:pPr>
        </w:p>
        <w:p w14:paraId="3CED4695" w14:textId="6B6CCFAD" w:rsidR="004F72D4" w:rsidRPr="000643F9" w:rsidRDefault="00CF4558" w:rsidP="000643F9">
          <w:pPr>
            <w:pStyle w:val="a2"/>
          </w:pPr>
        </w:p>
      </w:sdtContent>
    </w:sdt>
    <w:sdt>
      <w:sdtPr>
        <w:rPr>
          <w:rFonts w:eastAsiaTheme="minorHAnsi" w:cstheme="minorBidi"/>
          <w:sz w:val="20"/>
          <w:szCs w:val="20"/>
          <w:lang w:eastAsia="en-US"/>
        </w:rPr>
        <w:id w:val="699589296"/>
        <w:docPartObj>
          <w:docPartGallery w:val="Table of Contents"/>
          <w:docPartUnique/>
        </w:docPartObj>
      </w:sdtPr>
      <w:sdtEndPr>
        <w:rPr>
          <w:b/>
          <w:bCs/>
          <w:sz w:val="22"/>
          <w:szCs w:val="22"/>
        </w:rPr>
      </w:sdtEndPr>
      <w:sdtContent>
        <w:p w14:paraId="0BE373F7" w14:textId="7B59BE7A" w:rsidR="009F5C07" w:rsidRPr="001D2F50" w:rsidRDefault="009F5C07" w:rsidP="000643F9">
          <w:pPr>
            <w:pStyle w:val="aff2"/>
            <w:jc w:val="center"/>
            <w:rPr>
              <w:b/>
              <w:bCs/>
            </w:rPr>
          </w:pPr>
          <w:r w:rsidRPr="001D2F50">
            <w:rPr>
              <w:b/>
              <w:bCs/>
            </w:rPr>
            <w:t>Оглавление</w:t>
          </w:r>
        </w:p>
        <w:p w14:paraId="4D6DB1AA" w14:textId="77777777" w:rsidR="00AD1566" w:rsidRPr="008F1C66" w:rsidRDefault="00AD1566" w:rsidP="000643F9">
          <w:pPr>
            <w:spacing w:line="240" w:lineRule="auto"/>
            <w:ind w:left="-284" w:firstLine="851"/>
            <w:rPr>
              <w:sz w:val="22"/>
              <w:lang w:val="en-US"/>
            </w:rPr>
          </w:pPr>
        </w:p>
        <w:p w14:paraId="47679640" w14:textId="42CB2F7A" w:rsidR="00694504" w:rsidRPr="008F1C66" w:rsidRDefault="009F5C07" w:rsidP="000643F9">
          <w:pPr>
            <w:pStyle w:val="12"/>
            <w:rPr>
              <w:rFonts w:asciiTheme="minorHAnsi" w:eastAsiaTheme="minorEastAsia" w:hAnsiTheme="minorHAnsi"/>
              <w:sz w:val="22"/>
              <w:lang w:val="en-US"/>
            </w:rPr>
          </w:pPr>
          <w:r w:rsidRPr="008F1C66">
            <w:rPr>
              <w:sz w:val="22"/>
            </w:rPr>
            <w:fldChar w:fldCharType="begin"/>
          </w:r>
          <w:r w:rsidRPr="008F1C66">
            <w:rPr>
              <w:sz w:val="22"/>
            </w:rPr>
            <w:instrText xml:space="preserve"> TOC \o "1-3" \h \z \u </w:instrText>
          </w:r>
          <w:r w:rsidRPr="008F1C66">
            <w:rPr>
              <w:sz w:val="22"/>
            </w:rPr>
            <w:fldChar w:fldCharType="separate"/>
          </w:r>
          <w:hyperlink w:anchor="_Toc104840343" w:history="1">
            <w:r w:rsidR="00694504" w:rsidRPr="008F1C66">
              <w:rPr>
                <w:rStyle w:val="af9"/>
                <w:spacing w:val="1"/>
                <w:w w:val="99"/>
                <w:sz w:val="22"/>
              </w:rPr>
              <w:t>З</w:t>
            </w:r>
            <w:r w:rsidR="00694504" w:rsidRPr="008F1C66">
              <w:rPr>
                <w:rStyle w:val="af9"/>
                <w:spacing w:val="-1"/>
                <w:w w:val="99"/>
                <w:sz w:val="22"/>
              </w:rPr>
              <w:t>а</w:t>
            </w:r>
            <w:r w:rsidR="00694504" w:rsidRPr="008F1C66">
              <w:rPr>
                <w:rStyle w:val="af9"/>
                <w:w w:val="99"/>
                <w:sz w:val="22"/>
              </w:rPr>
              <w:t>я</w:t>
            </w:r>
            <w:r w:rsidR="00694504" w:rsidRPr="008F1C66">
              <w:rPr>
                <w:rStyle w:val="af9"/>
                <w:spacing w:val="2"/>
                <w:w w:val="99"/>
                <w:sz w:val="22"/>
              </w:rPr>
              <w:t>в</w:t>
            </w:r>
            <w:r w:rsidR="00694504" w:rsidRPr="008F1C66">
              <w:rPr>
                <w:rStyle w:val="af9"/>
                <w:w w:val="99"/>
                <w:sz w:val="22"/>
              </w:rPr>
              <w:t>л</w:t>
            </w:r>
            <w:r w:rsidR="00694504" w:rsidRPr="008F1C66">
              <w:rPr>
                <w:rStyle w:val="af9"/>
                <w:spacing w:val="-1"/>
                <w:w w:val="99"/>
                <w:sz w:val="22"/>
              </w:rPr>
              <w:t>е</w:t>
            </w:r>
            <w:r w:rsidR="00694504" w:rsidRPr="008F1C66">
              <w:rPr>
                <w:rStyle w:val="af9"/>
                <w:spacing w:val="1"/>
                <w:w w:val="99"/>
                <w:sz w:val="22"/>
              </w:rPr>
              <w:t>ни</w:t>
            </w:r>
            <w:r w:rsidR="00694504" w:rsidRPr="008F1C66">
              <w:rPr>
                <w:rStyle w:val="af9"/>
                <w:w w:val="99"/>
                <w:sz w:val="22"/>
              </w:rPr>
              <w:t xml:space="preserve">е </w:t>
            </w:r>
            <w:r w:rsidR="00694504" w:rsidRPr="008F1C66">
              <w:rPr>
                <w:rStyle w:val="af9"/>
                <w:sz w:val="22"/>
              </w:rPr>
              <w:t>о</w:t>
            </w:r>
            <w:r w:rsidR="00694504" w:rsidRPr="008F1C66">
              <w:rPr>
                <w:rStyle w:val="af9"/>
                <w:spacing w:val="1"/>
                <w:sz w:val="22"/>
              </w:rPr>
              <w:t xml:space="preserve"> </w:t>
            </w:r>
            <w:r w:rsidR="00694504" w:rsidRPr="008F1C66">
              <w:rPr>
                <w:rStyle w:val="af9"/>
                <w:spacing w:val="-1"/>
                <w:sz w:val="22"/>
              </w:rPr>
              <w:t>са</w:t>
            </w:r>
            <w:r w:rsidR="00694504" w:rsidRPr="008F1C66">
              <w:rPr>
                <w:rStyle w:val="af9"/>
                <w:spacing w:val="2"/>
                <w:sz w:val="22"/>
              </w:rPr>
              <w:t>м</w:t>
            </w:r>
            <w:r w:rsidR="00694504" w:rsidRPr="008F1C66">
              <w:rPr>
                <w:rStyle w:val="af9"/>
                <w:spacing w:val="5"/>
                <w:sz w:val="22"/>
              </w:rPr>
              <w:t>о</w:t>
            </w:r>
            <w:r w:rsidR="00694504" w:rsidRPr="008F1C66">
              <w:rPr>
                <w:rStyle w:val="af9"/>
                <w:spacing w:val="-1"/>
                <w:sz w:val="22"/>
              </w:rPr>
              <w:t>с</w:t>
            </w:r>
            <w:r w:rsidR="00694504" w:rsidRPr="008F1C66">
              <w:rPr>
                <w:rStyle w:val="af9"/>
                <w:spacing w:val="-4"/>
                <w:sz w:val="22"/>
              </w:rPr>
              <w:t>т</w:t>
            </w:r>
            <w:r w:rsidR="00694504" w:rsidRPr="008F1C66">
              <w:rPr>
                <w:rStyle w:val="af9"/>
                <w:spacing w:val="5"/>
                <w:sz w:val="22"/>
              </w:rPr>
              <w:t>о</w:t>
            </w:r>
            <w:r w:rsidR="00694504" w:rsidRPr="008F1C66">
              <w:rPr>
                <w:rStyle w:val="af9"/>
                <w:spacing w:val="-5"/>
                <w:sz w:val="22"/>
              </w:rPr>
              <w:t>я</w:t>
            </w:r>
            <w:r w:rsidR="00694504" w:rsidRPr="008F1C66">
              <w:rPr>
                <w:rStyle w:val="af9"/>
                <w:spacing w:val="1"/>
                <w:sz w:val="22"/>
              </w:rPr>
              <w:t>т</w:t>
            </w:r>
            <w:r w:rsidR="00694504" w:rsidRPr="008F1C66">
              <w:rPr>
                <w:rStyle w:val="af9"/>
                <w:spacing w:val="-1"/>
                <w:sz w:val="22"/>
              </w:rPr>
              <w:t>е</w:t>
            </w:r>
            <w:r w:rsidR="00694504" w:rsidRPr="008F1C66">
              <w:rPr>
                <w:rStyle w:val="af9"/>
                <w:sz w:val="22"/>
              </w:rPr>
              <w:t>л</w:t>
            </w:r>
            <w:r w:rsidR="00694504" w:rsidRPr="008F1C66">
              <w:rPr>
                <w:rStyle w:val="af9"/>
                <w:spacing w:val="1"/>
                <w:sz w:val="22"/>
              </w:rPr>
              <w:t>ь</w:t>
            </w:r>
            <w:r w:rsidR="00694504" w:rsidRPr="008F1C66">
              <w:rPr>
                <w:rStyle w:val="af9"/>
                <w:spacing w:val="-3"/>
                <w:sz w:val="22"/>
              </w:rPr>
              <w:t>н</w:t>
            </w:r>
            <w:r w:rsidR="00694504" w:rsidRPr="008F1C66">
              <w:rPr>
                <w:rStyle w:val="af9"/>
                <w:spacing w:val="5"/>
                <w:sz w:val="22"/>
              </w:rPr>
              <w:t>о</w:t>
            </w:r>
            <w:r w:rsidR="00694504" w:rsidRPr="008F1C66">
              <w:rPr>
                <w:rStyle w:val="af9"/>
                <w:sz w:val="22"/>
              </w:rPr>
              <w:t>м</w:t>
            </w:r>
            <w:r w:rsidR="00694504" w:rsidRPr="008F1C66">
              <w:rPr>
                <w:rStyle w:val="af9"/>
                <w:spacing w:val="-20"/>
                <w:sz w:val="22"/>
              </w:rPr>
              <w:t xml:space="preserve"> </w:t>
            </w:r>
            <w:r w:rsidR="00694504" w:rsidRPr="008F1C66">
              <w:rPr>
                <w:rStyle w:val="af9"/>
                <w:spacing w:val="-3"/>
                <w:sz w:val="22"/>
              </w:rPr>
              <w:t>в</w:t>
            </w:r>
            <w:r w:rsidR="00694504" w:rsidRPr="008F1C66">
              <w:rPr>
                <w:rStyle w:val="af9"/>
                <w:spacing w:val="2"/>
                <w:sz w:val="22"/>
              </w:rPr>
              <w:t>ы</w:t>
            </w:r>
            <w:r w:rsidR="00694504" w:rsidRPr="008F1C66">
              <w:rPr>
                <w:rStyle w:val="af9"/>
                <w:spacing w:val="-3"/>
                <w:sz w:val="22"/>
              </w:rPr>
              <w:t>п</w:t>
            </w:r>
            <w:r w:rsidR="00694504" w:rsidRPr="008F1C66">
              <w:rPr>
                <w:rStyle w:val="af9"/>
                <w:spacing w:val="5"/>
                <w:sz w:val="22"/>
              </w:rPr>
              <w:t>о</w:t>
            </w:r>
            <w:r w:rsidR="00694504" w:rsidRPr="008F1C66">
              <w:rPr>
                <w:rStyle w:val="af9"/>
                <w:sz w:val="22"/>
              </w:rPr>
              <w:t>л</w:t>
            </w:r>
            <w:r w:rsidR="00694504" w:rsidRPr="008F1C66">
              <w:rPr>
                <w:rStyle w:val="af9"/>
                <w:spacing w:val="1"/>
                <w:sz w:val="22"/>
              </w:rPr>
              <w:t>н</w:t>
            </w:r>
            <w:r w:rsidR="00694504" w:rsidRPr="008F1C66">
              <w:rPr>
                <w:rStyle w:val="af9"/>
                <w:spacing w:val="-1"/>
                <w:sz w:val="22"/>
              </w:rPr>
              <w:t>е</w:t>
            </w:r>
            <w:r w:rsidR="00694504" w:rsidRPr="008F1C66">
              <w:rPr>
                <w:rStyle w:val="af9"/>
                <w:spacing w:val="1"/>
                <w:sz w:val="22"/>
              </w:rPr>
              <w:t>н</w:t>
            </w:r>
            <w:r w:rsidR="00694504" w:rsidRPr="008F1C66">
              <w:rPr>
                <w:rStyle w:val="af9"/>
                <w:spacing w:val="-3"/>
                <w:sz w:val="22"/>
              </w:rPr>
              <w:t>и</w:t>
            </w:r>
            <w:r w:rsidR="00694504" w:rsidRPr="008F1C66">
              <w:rPr>
                <w:rStyle w:val="af9"/>
                <w:sz w:val="22"/>
              </w:rPr>
              <w:t>и</w:t>
            </w:r>
            <w:r w:rsidR="00694504" w:rsidRPr="008F1C66">
              <w:rPr>
                <w:rStyle w:val="af9"/>
                <w:spacing w:val="-10"/>
                <w:sz w:val="22"/>
              </w:rPr>
              <w:t xml:space="preserve"> </w:t>
            </w:r>
            <w:r w:rsidR="00694504" w:rsidRPr="008F1C66">
              <w:rPr>
                <w:rStyle w:val="af9"/>
                <w:spacing w:val="-1"/>
                <w:sz w:val="22"/>
              </w:rPr>
              <w:t>к</w:t>
            </w:r>
            <w:r w:rsidR="00694504" w:rsidRPr="008F1C66">
              <w:rPr>
                <w:rStyle w:val="af9"/>
                <w:spacing w:val="-9"/>
                <w:sz w:val="22"/>
              </w:rPr>
              <w:t>у</w:t>
            </w:r>
            <w:r w:rsidR="00694504" w:rsidRPr="008F1C66">
              <w:rPr>
                <w:rStyle w:val="af9"/>
                <w:sz w:val="22"/>
              </w:rPr>
              <w:t>р</w:t>
            </w:r>
            <w:r w:rsidR="00694504" w:rsidRPr="008F1C66">
              <w:rPr>
                <w:rStyle w:val="af9"/>
                <w:spacing w:val="-1"/>
                <w:sz w:val="22"/>
              </w:rPr>
              <w:t>с</w:t>
            </w:r>
            <w:r w:rsidR="00694504" w:rsidRPr="008F1C66">
              <w:rPr>
                <w:rStyle w:val="af9"/>
                <w:spacing w:val="5"/>
                <w:sz w:val="22"/>
              </w:rPr>
              <w:t>о</w:t>
            </w:r>
            <w:r w:rsidR="00694504" w:rsidRPr="008F1C66">
              <w:rPr>
                <w:rStyle w:val="af9"/>
                <w:spacing w:val="2"/>
                <w:sz w:val="22"/>
              </w:rPr>
              <w:t>в</w:t>
            </w:r>
            <w:r w:rsidR="00694504" w:rsidRPr="008F1C66">
              <w:rPr>
                <w:rStyle w:val="af9"/>
                <w:spacing w:val="5"/>
                <w:sz w:val="22"/>
              </w:rPr>
              <w:t>о</w:t>
            </w:r>
            <w:r w:rsidR="00694504" w:rsidRPr="008F1C66">
              <w:rPr>
                <w:rStyle w:val="af9"/>
                <w:sz w:val="22"/>
              </w:rPr>
              <w:t>й</w:t>
            </w:r>
            <w:r w:rsidR="00694504" w:rsidRPr="008F1C66">
              <w:rPr>
                <w:rStyle w:val="af9"/>
                <w:spacing w:val="-11"/>
                <w:sz w:val="22"/>
              </w:rPr>
              <w:t xml:space="preserve"> </w:t>
            </w:r>
            <w:r w:rsidR="00694504" w:rsidRPr="008F1C66">
              <w:rPr>
                <w:rStyle w:val="af9"/>
                <w:w w:val="99"/>
                <w:sz w:val="22"/>
              </w:rPr>
              <w:t>р</w:t>
            </w:r>
            <w:r w:rsidR="00694504" w:rsidRPr="008F1C66">
              <w:rPr>
                <w:rStyle w:val="af9"/>
                <w:spacing w:val="-1"/>
                <w:w w:val="99"/>
                <w:sz w:val="22"/>
              </w:rPr>
              <w:t>а</w:t>
            </w:r>
            <w:r w:rsidR="00694504" w:rsidRPr="008F1C66">
              <w:rPr>
                <w:rStyle w:val="af9"/>
                <w:spacing w:val="-2"/>
                <w:w w:val="99"/>
                <w:sz w:val="22"/>
              </w:rPr>
              <w:t>б</w:t>
            </w:r>
            <w:r w:rsidR="00694504" w:rsidRPr="008F1C66">
              <w:rPr>
                <w:rStyle w:val="af9"/>
                <w:spacing w:val="5"/>
                <w:w w:val="99"/>
                <w:sz w:val="22"/>
              </w:rPr>
              <w:t>о</w:t>
            </w:r>
            <w:r w:rsidR="00694504" w:rsidRPr="008F1C66">
              <w:rPr>
                <w:rStyle w:val="af9"/>
                <w:spacing w:val="-4"/>
                <w:w w:val="99"/>
                <w:sz w:val="22"/>
              </w:rPr>
              <w:t>т</w:t>
            </w:r>
            <w:r w:rsidR="00694504" w:rsidRPr="008F1C66">
              <w:rPr>
                <w:rStyle w:val="af9"/>
                <w:w w:val="99"/>
                <w:sz w:val="22"/>
              </w:rPr>
              <w:t>ы</w:t>
            </w:r>
            <w:r w:rsidR="00694504" w:rsidRPr="008F1C66">
              <w:rPr>
                <w:webHidden/>
                <w:sz w:val="22"/>
              </w:rPr>
              <w:tab/>
            </w:r>
            <w:r w:rsidR="00694504" w:rsidRPr="008F1C66">
              <w:rPr>
                <w:webHidden/>
                <w:sz w:val="22"/>
              </w:rPr>
              <w:fldChar w:fldCharType="begin"/>
            </w:r>
            <w:r w:rsidR="00694504" w:rsidRPr="008F1C66">
              <w:rPr>
                <w:webHidden/>
                <w:sz w:val="22"/>
              </w:rPr>
              <w:instrText xml:space="preserve"> PAGEREF _Toc104840343 \h </w:instrText>
            </w:r>
            <w:r w:rsidR="00694504" w:rsidRPr="008F1C66">
              <w:rPr>
                <w:webHidden/>
                <w:sz w:val="22"/>
              </w:rPr>
            </w:r>
            <w:r w:rsidR="00694504" w:rsidRPr="008F1C66">
              <w:rPr>
                <w:webHidden/>
                <w:sz w:val="22"/>
              </w:rPr>
              <w:fldChar w:fldCharType="separate"/>
            </w:r>
            <w:r w:rsidR="00694504" w:rsidRPr="008F1C66">
              <w:rPr>
                <w:webHidden/>
                <w:sz w:val="22"/>
              </w:rPr>
              <w:t>3</w:t>
            </w:r>
            <w:r w:rsidR="00694504" w:rsidRPr="008F1C66">
              <w:rPr>
                <w:webHidden/>
                <w:sz w:val="22"/>
              </w:rPr>
              <w:fldChar w:fldCharType="end"/>
            </w:r>
          </w:hyperlink>
        </w:p>
        <w:p w14:paraId="6BFBF947" w14:textId="0CAD1F7D" w:rsidR="00694504" w:rsidRPr="008F1C66" w:rsidRDefault="00CF4558" w:rsidP="000643F9">
          <w:pPr>
            <w:pStyle w:val="12"/>
            <w:rPr>
              <w:rFonts w:asciiTheme="minorHAnsi" w:eastAsiaTheme="minorEastAsia" w:hAnsiTheme="minorHAnsi"/>
              <w:sz w:val="22"/>
              <w:lang w:val="en-US"/>
            </w:rPr>
          </w:pPr>
          <w:hyperlink w:anchor="_Toc104840344" w:history="1">
            <w:r w:rsidR="00694504" w:rsidRPr="008F1C66">
              <w:rPr>
                <w:rStyle w:val="af9"/>
                <w:sz w:val="22"/>
              </w:rPr>
              <w:t>ВВЕДЕНИЕ</w:t>
            </w:r>
            <w:r w:rsidR="00694504" w:rsidRPr="008F1C66">
              <w:rPr>
                <w:webHidden/>
                <w:sz w:val="22"/>
              </w:rPr>
              <w:tab/>
            </w:r>
            <w:r w:rsidR="00694504" w:rsidRPr="008F1C66">
              <w:rPr>
                <w:webHidden/>
                <w:sz w:val="22"/>
              </w:rPr>
              <w:fldChar w:fldCharType="begin"/>
            </w:r>
            <w:r w:rsidR="00694504" w:rsidRPr="008F1C66">
              <w:rPr>
                <w:webHidden/>
                <w:sz w:val="22"/>
              </w:rPr>
              <w:instrText xml:space="preserve"> PAGEREF _Toc104840344 \h </w:instrText>
            </w:r>
            <w:r w:rsidR="00694504" w:rsidRPr="008F1C66">
              <w:rPr>
                <w:webHidden/>
                <w:sz w:val="22"/>
              </w:rPr>
            </w:r>
            <w:r w:rsidR="00694504" w:rsidRPr="008F1C66">
              <w:rPr>
                <w:webHidden/>
                <w:sz w:val="22"/>
              </w:rPr>
              <w:fldChar w:fldCharType="separate"/>
            </w:r>
            <w:r w:rsidR="00694504" w:rsidRPr="008F1C66">
              <w:rPr>
                <w:webHidden/>
                <w:sz w:val="22"/>
              </w:rPr>
              <w:t>4</w:t>
            </w:r>
            <w:r w:rsidR="00694504" w:rsidRPr="008F1C66">
              <w:rPr>
                <w:webHidden/>
                <w:sz w:val="22"/>
              </w:rPr>
              <w:fldChar w:fldCharType="end"/>
            </w:r>
          </w:hyperlink>
        </w:p>
        <w:p w14:paraId="3C970571" w14:textId="205B8D02" w:rsidR="00694504" w:rsidRPr="008F1C66" w:rsidRDefault="00CF4558" w:rsidP="008F1C66">
          <w:pPr>
            <w:pStyle w:val="12"/>
            <w:spacing w:line="360" w:lineRule="auto"/>
            <w:rPr>
              <w:rFonts w:asciiTheme="minorHAnsi" w:eastAsiaTheme="minorEastAsia" w:hAnsiTheme="minorHAnsi"/>
              <w:sz w:val="22"/>
              <w:lang w:val="en-US"/>
            </w:rPr>
          </w:pPr>
          <w:hyperlink w:anchor="_Toc104840345" w:history="1">
            <w:r w:rsidR="00694504" w:rsidRPr="008F1C66">
              <w:rPr>
                <w:rStyle w:val="af9"/>
                <w:sz w:val="22"/>
              </w:rPr>
              <w:t>1 ГЛАВА. ОБЗОР ИССЛЕДОВАНИЙ ПО ТЕМЕ</w:t>
            </w:r>
            <w:r w:rsidR="00694504" w:rsidRPr="008F1C66">
              <w:rPr>
                <w:webHidden/>
                <w:sz w:val="22"/>
              </w:rPr>
              <w:tab/>
            </w:r>
            <w:r w:rsidR="00694504" w:rsidRPr="008F1C66">
              <w:rPr>
                <w:webHidden/>
                <w:sz w:val="22"/>
              </w:rPr>
              <w:fldChar w:fldCharType="begin"/>
            </w:r>
            <w:r w:rsidR="00694504" w:rsidRPr="008F1C66">
              <w:rPr>
                <w:webHidden/>
                <w:sz w:val="22"/>
              </w:rPr>
              <w:instrText xml:space="preserve"> PAGEREF _Toc104840345 \h </w:instrText>
            </w:r>
            <w:r w:rsidR="00694504" w:rsidRPr="008F1C66">
              <w:rPr>
                <w:webHidden/>
                <w:sz w:val="22"/>
              </w:rPr>
            </w:r>
            <w:r w:rsidR="00694504" w:rsidRPr="008F1C66">
              <w:rPr>
                <w:webHidden/>
                <w:sz w:val="22"/>
              </w:rPr>
              <w:fldChar w:fldCharType="separate"/>
            </w:r>
            <w:r w:rsidR="00694504" w:rsidRPr="008F1C66">
              <w:rPr>
                <w:webHidden/>
                <w:sz w:val="22"/>
              </w:rPr>
              <w:t>7</w:t>
            </w:r>
            <w:r w:rsidR="00694504" w:rsidRPr="008F1C66">
              <w:rPr>
                <w:webHidden/>
                <w:sz w:val="22"/>
              </w:rPr>
              <w:fldChar w:fldCharType="end"/>
            </w:r>
          </w:hyperlink>
        </w:p>
        <w:p w14:paraId="08B88237" w14:textId="7619B758" w:rsidR="00694504" w:rsidRPr="008F1C66" w:rsidRDefault="00CF4558" w:rsidP="008F1C66">
          <w:pPr>
            <w:pStyle w:val="22"/>
            <w:rPr>
              <w:rFonts w:asciiTheme="minorHAnsi" w:eastAsiaTheme="minorEastAsia" w:hAnsiTheme="minorHAnsi"/>
              <w:bCs w:val="0"/>
              <w:sz w:val="22"/>
              <w:lang w:val="en-US"/>
            </w:rPr>
          </w:pPr>
          <w:hyperlink w:anchor="_Toc104840346" w:history="1">
            <w:r w:rsidR="00694504" w:rsidRPr="008F1C66">
              <w:rPr>
                <w:rStyle w:val="af9"/>
                <w:sz w:val="22"/>
              </w:rPr>
              <w:t>1.1 Мотивы дивидендных выплат</w:t>
            </w:r>
            <w:r w:rsidR="00694504" w:rsidRPr="008F1C66">
              <w:rPr>
                <w:webHidden/>
                <w:sz w:val="22"/>
              </w:rPr>
              <w:tab/>
            </w:r>
            <w:r w:rsidR="00694504" w:rsidRPr="008F1C66">
              <w:rPr>
                <w:webHidden/>
                <w:sz w:val="22"/>
              </w:rPr>
              <w:fldChar w:fldCharType="begin"/>
            </w:r>
            <w:r w:rsidR="00694504" w:rsidRPr="008F1C66">
              <w:rPr>
                <w:webHidden/>
                <w:sz w:val="22"/>
              </w:rPr>
              <w:instrText xml:space="preserve"> PAGEREF _Toc104840346 \h </w:instrText>
            </w:r>
            <w:r w:rsidR="00694504" w:rsidRPr="008F1C66">
              <w:rPr>
                <w:webHidden/>
                <w:sz w:val="22"/>
              </w:rPr>
            </w:r>
            <w:r w:rsidR="00694504" w:rsidRPr="008F1C66">
              <w:rPr>
                <w:webHidden/>
                <w:sz w:val="22"/>
              </w:rPr>
              <w:fldChar w:fldCharType="separate"/>
            </w:r>
            <w:r w:rsidR="00694504" w:rsidRPr="008F1C66">
              <w:rPr>
                <w:webHidden/>
                <w:sz w:val="22"/>
              </w:rPr>
              <w:t>7</w:t>
            </w:r>
            <w:r w:rsidR="00694504" w:rsidRPr="008F1C66">
              <w:rPr>
                <w:webHidden/>
                <w:sz w:val="22"/>
              </w:rPr>
              <w:fldChar w:fldCharType="end"/>
            </w:r>
          </w:hyperlink>
        </w:p>
        <w:p w14:paraId="29683A5E" w14:textId="061FC3FD" w:rsidR="00694504" w:rsidRPr="008F1C66" w:rsidRDefault="00CF4558" w:rsidP="008F1C66">
          <w:pPr>
            <w:pStyle w:val="32"/>
            <w:tabs>
              <w:tab w:val="right" w:leader="dot" w:pos="9204"/>
            </w:tabs>
            <w:spacing w:line="240" w:lineRule="auto"/>
            <w:rPr>
              <w:rFonts w:asciiTheme="minorHAnsi" w:eastAsiaTheme="minorEastAsia" w:hAnsiTheme="minorHAnsi"/>
              <w:i w:val="0"/>
              <w:noProof/>
              <w:sz w:val="22"/>
              <w:lang w:val="en-US"/>
            </w:rPr>
          </w:pPr>
          <w:hyperlink w:anchor="_Toc104840347" w:history="1">
            <w:r w:rsidR="00694504" w:rsidRPr="008F1C66">
              <w:rPr>
                <w:rStyle w:val="af9"/>
                <w:noProof/>
                <w:sz w:val="22"/>
              </w:rPr>
              <w:t>1.1.1 Теория иррелевантности дивидендов</w:t>
            </w:r>
            <w:r w:rsidR="00694504" w:rsidRPr="008F1C66">
              <w:rPr>
                <w:noProof/>
                <w:webHidden/>
                <w:sz w:val="22"/>
              </w:rPr>
              <w:tab/>
            </w:r>
            <w:r w:rsidR="00694504" w:rsidRPr="008F1C66">
              <w:rPr>
                <w:noProof/>
                <w:webHidden/>
                <w:sz w:val="22"/>
              </w:rPr>
              <w:fldChar w:fldCharType="begin"/>
            </w:r>
            <w:r w:rsidR="00694504" w:rsidRPr="008F1C66">
              <w:rPr>
                <w:noProof/>
                <w:webHidden/>
                <w:sz w:val="22"/>
              </w:rPr>
              <w:instrText xml:space="preserve"> PAGEREF _Toc104840347 \h </w:instrText>
            </w:r>
            <w:r w:rsidR="00694504" w:rsidRPr="008F1C66">
              <w:rPr>
                <w:noProof/>
                <w:webHidden/>
                <w:sz w:val="22"/>
              </w:rPr>
            </w:r>
            <w:r w:rsidR="00694504" w:rsidRPr="008F1C66">
              <w:rPr>
                <w:noProof/>
                <w:webHidden/>
                <w:sz w:val="22"/>
              </w:rPr>
              <w:fldChar w:fldCharType="separate"/>
            </w:r>
            <w:r w:rsidR="00694504" w:rsidRPr="008F1C66">
              <w:rPr>
                <w:noProof/>
                <w:webHidden/>
                <w:sz w:val="22"/>
              </w:rPr>
              <w:t>7</w:t>
            </w:r>
            <w:r w:rsidR="00694504" w:rsidRPr="008F1C66">
              <w:rPr>
                <w:noProof/>
                <w:webHidden/>
                <w:sz w:val="22"/>
              </w:rPr>
              <w:fldChar w:fldCharType="end"/>
            </w:r>
          </w:hyperlink>
        </w:p>
        <w:p w14:paraId="1E93FF71" w14:textId="33AE7D87" w:rsidR="00694504" w:rsidRPr="008F1C66" w:rsidRDefault="00CF4558" w:rsidP="008F1C66">
          <w:pPr>
            <w:pStyle w:val="32"/>
            <w:tabs>
              <w:tab w:val="right" w:leader="dot" w:pos="9204"/>
            </w:tabs>
            <w:spacing w:line="240" w:lineRule="auto"/>
            <w:rPr>
              <w:rFonts w:asciiTheme="minorHAnsi" w:eastAsiaTheme="minorEastAsia" w:hAnsiTheme="minorHAnsi"/>
              <w:i w:val="0"/>
              <w:noProof/>
              <w:sz w:val="22"/>
              <w:lang w:val="en-US"/>
            </w:rPr>
          </w:pPr>
          <w:hyperlink w:anchor="_Toc104840348" w:history="1">
            <w:r w:rsidR="00694504" w:rsidRPr="008F1C66">
              <w:rPr>
                <w:rStyle w:val="af9"/>
                <w:noProof/>
                <w:sz w:val="22"/>
              </w:rPr>
              <w:t>1.1.2 Сигнальная теория</w:t>
            </w:r>
            <w:r w:rsidR="00694504" w:rsidRPr="008F1C66">
              <w:rPr>
                <w:noProof/>
                <w:webHidden/>
                <w:sz w:val="22"/>
              </w:rPr>
              <w:tab/>
            </w:r>
            <w:r w:rsidR="00694504" w:rsidRPr="008F1C66">
              <w:rPr>
                <w:noProof/>
                <w:webHidden/>
                <w:sz w:val="22"/>
              </w:rPr>
              <w:fldChar w:fldCharType="begin"/>
            </w:r>
            <w:r w:rsidR="00694504" w:rsidRPr="008F1C66">
              <w:rPr>
                <w:noProof/>
                <w:webHidden/>
                <w:sz w:val="22"/>
              </w:rPr>
              <w:instrText xml:space="preserve"> PAGEREF _Toc104840348 \h </w:instrText>
            </w:r>
            <w:r w:rsidR="00694504" w:rsidRPr="008F1C66">
              <w:rPr>
                <w:noProof/>
                <w:webHidden/>
                <w:sz w:val="22"/>
              </w:rPr>
            </w:r>
            <w:r w:rsidR="00694504" w:rsidRPr="008F1C66">
              <w:rPr>
                <w:noProof/>
                <w:webHidden/>
                <w:sz w:val="22"/>
              </w:rPr>
              <w:fldChar w:fldCharType="separate"/>
            </w:r>
            <w:r w:rsidR="00694504" w:rsidRPr="008F1C66">
              <w:rPr>
                <w:noProof/>
                <w:webHidden/>
                <w:sz w:val="22"/>
              </w:rPr>
              <w:t>7</w:t>
            </w:r>
            <w:r w:rsidR="00694504" w:rsidRPr="008F1C66">
              <w:rPr>
                <w:noProof/>
                <w:webHidden/>
                <w:sz w:val="22"/>
              </w:rPr>
              <w:fldChar w:fldCharType="end"/>
            </w:r>
          </w:hyperlink>
        </w:p>
        <w:p w14:paraId="2EBB5CFB" w14:textId="08C9D916" w:rsidR="00694504" w:rsidRPr="008F1C66" w:rsidRDefault="00CF4558" w:rsidP="008F1C66">
          <w:pPr>
            <w:pStyle w:val="32"/>
            <w:tabs>
              <w:tab w:val="right" w:leader="dot" w:pos="9204"/>
            </w:tabs>
            <w:spacing w:line="240" w:lineRule="auto"/>
            <w:rPr>
              <w:rFonts w:asciiTheme="minorHAnsi" w:eastAsiaTheme="minorEastAsia" w:hAnsiTheme="minorHAnsi"/>
              <w:i w:val="0"/>
              <w:noProof/>
              <w:sz w:val="22"/>
              <w:lang w:val="en-US"/>
            </w:rPr>
          </w:pPr>
          <w:hyperlink w:anchor="_Toc104840349" w:history="1">
            <w:r w:rsidR="00694504" w:rsidRPr="008F1C66">
              <w:rPr>
                <w:rStyle w:val="af9"/>
                <w:noProof/>
                <w:sz w:val="22"/>
              </w:rPr>
              <w:t>1.1.3 Теория свободного денежного потока</w:t>
            </w:r>
            <w:r w:rsidR="00694504" w:rsidRPr="008F1C66">
              <w:rPr>
                <w:noProof/>
                <w:webHidden/>
                <w:sz w:val="22"/>
              </w:rPr>
              <w:tab/>
            </w:r>
            <w:r w:rsidR="00694504" w:rsidRPr="008F1C66">
              <w:rPr>
                <w:noProof/>
                <w:webHidden/>
                <w:sz w:val="22"/>
              </w:rPr>
              <w:fldChar w:fldCharType="begin"/>
            </w:r>
            <w:r w:rsidR="00694504" w:rsidRPr="008F1C66">
              <w:rPr>
                <w:noProof/>
                <w:webHidden/>
                <w:sz w:val="22"/>
              </w:rPr>
              <w:instrText xml:space="preserve"> PAGEREF _Toc104840349 \h </w:instrText>
            </w:r>
            <w:r w:rsidR="00694504" w:rsidRPr="008F1C66">
              <w:rPr>
                <w:noProof/>
                <w:webHidden/>
                <w:sz w:val="22"/>
              </w:rPr>
            </w:r>
            <w:r w:rsidR="00694504" w:rsidRPr="008F1C66">
              <w:rPr>
                <w:noProof/>
                <w:webHidden/>
                <w:sz w:val="22"/>
              </w:rPr>
              <w:fldChar w:fldCharType="separate"/>
            </w:r>
            <w:r w:rsidR="00694504" w:rsidRPr="008F1C66">
              <w:rPr>
                <w:noProof/>
                <w:webHidden/>
                <w:sz w:val="22"/>
              </w:rPr>
              <w:t>8</w:t>
            </w:r>
            <w:r w:rsidR="00694504" w:rsidRPr="008F1C66">
              <w:rPr>
                <w:noProof/>
                <w:webHidden/>
                <w:sz w:val="22"/>
              </w:rPr>
              <w:fldChar w:fldCharType="end"/>
            </w:r>
          </w:hyperlink>
        </w:p>
        <w:p w14:paraId="64EAD53C" w14:textId="0908D358" w:rsidR="00694504" w:rsidRPr="008F1C66" w:rsidRDefault="00CF4558" w:rsidP="008F1C66">
          <w:pPr>
            <w:pStyle w:val="32"/>
            <w:tabs>
              <w:tab w:val="right" w:leader="dot" w:pos="9204"/>
            </w:tabs>
            <w:spacing w:line="240" w:lineRule="auto"/>
            <w:rPr>
              <w:rFonts w:asciiTheme="minorHAnsi" w:eastAsiaTheme="minorEastAsia" w:hAnsiTheme="minorHAnsi"/>
              <w:i w:val="0"/>
              <w:noProof/>
              <w:sz w:val="22"/>
              <w:lang w:val="en-US"/>
            </w:rPr>
          </w:pPr>
          <w:hyperlink w:anchor="_Toc104840350" w:history="1">
            <w:r w:rsidR="00694504" w:rsidRPr="008F1C66">
              <w:rPr>
                <w:rStyle w:val="af9"/>
                <w:noProof/>
                <w:sz w:val="22"/>
              </w:rPr>
              <w:t>1.1.4 Теория агентских издержек</w:t>
            </w:r>
            <w:r w:rsidR="00694504" w:rsidRPr="008F1C66">
              <w:rPr>
                <w:noProof/>
                <w:webHidden/>
                <w:sz w:val="22"/>
              </w:rPr>
              <w:tab/>
            </w:r>
            <w:r w:rsidR="00694504" w:rsidRPr="008F1C66">
              <w:rPr>
                <w:noProof/>
                <w:webHidden/>
                <w:sz w:val="22"/>
              </w:rPr>
              <w:fldChar w:fldCharType="begin"/>
            </w:r>
            <w:r w:rsidR="00694504" w:rsidRPr="008F1C66">
              <w:rPr>
                <w:noProof/>
                <w:webHidden/>
                <w:sz w:val="22"/>
              </w:rPr>
              <w:instrText xml:space="preserve"> PAGEREF _Toc104840350 \h </w:instrText>
            </w:r>
            <w:r w:rsidR="00694504" w:rsidRPr="008F1C66">
              <w:rPr>
                <w:noProof/>
                <w:webHidden/>
                <w:sz w:val="22"/>
              </w:rPr>
            </w:r>
            <w:r w:rsidR="00694504" w:rsidRPr="008F1C66">
              <w:rPr>
                <w:noProof/>
                <w:webHidden/>
                <w:sz w:val="22"/>
              </w:rPr>
              <w:fldChar w:fldCharType="separate"/>
            </w:r>
            <w:r w:rsidR="00694504" w:rsidRPr="008F1C66">
              <w:rPr>
                <w:noProof/>
                <w:webHidden/>
                <w:sz w:val="22"/>
              </w:rPr>
              <w:t>9</w:t>
            </w:r>
            <w:r w:rsidR="00694504" w:rsidRPr="008F1C66">
              <w:rPr>
                <w:noProof/>
                <w:webHidden/>
                <w:sz w:val="22"/>
              </w:rPr>
              <w:fldChar w:fldCharType="end"/>
            </w:r>
          </w:hyperlink>
        </w:p>
        <w:p w14:paraId="200346A6" w14:textId="0C60DE07" w:rsidR="00694504" w:rsidRPr="008F1C66" w:rsidRDefault="00CF4558" w:rsidP="008F1C66">
          <w:pPr>
            <w:pStyle w:val="22"/>
            <w:rPr>
              <w:rFonts w:asciiTheme="minorHAnsi" w:eastAsiaTheme="minorEastAsia" w:hAnsiTheme="minorHAnsi"/>
              <w:bCs w:val="0"/>
              <w:sz w:val="22"/>
              <w:lang w:val="en-US"/>
            </w:rPr>
          </w:pPr>
          <w:hyperlink w:anchor="_Toc104840351" w:history="1">
            <w:r w:rsidR="00694504" w:rsidRPr="008F1C66">
              <w:rPr>
                <w:rStyle w:val="af9"/>
                <w:sz w:val="22"/>
              </w:rPr>
              <w:t>1.2 Эмпирические исследования о реакции рынка на объявления о дивидендах</w:t>
            </w:r>
            <w:r w:rsidR="00694504" w:rsidRPr="008F1C66">
              <w:rPr>
                <w:webHidden/>
                <w:sz w:val="22"/>
              </w:rPr>
              <w:tab/>
            </w:r>
            <w:r w:rsidR="00694504" w:rsidRPr="008F1C66">
              <w:rPr>
                <w:webHidden/>
                <w:sz w:val="22"/>
              </w:rPr>
              <w:fldChar w:fldCharType="begin"/>
            </w:r>
            <w:r w:rsidR="00694504" w:rsidRPr="008F1C66">
              <w:rPr>
                <w:webHidden/>
                <w:sz w:val="22"/>
              </w:rPr>
              <w:instrText xml:space="preserve"> PAGEREF _Toc104840351 \h </w:instrText>
            </w:r>
            <w:r w:rsidR="00694504" w:rsidRPr="008F1C66">
              <w:rPr>
                <w:webHidden/>
                <w:sz w:val="22"/>
              </w:rPr>
            </w:r>
            <w:r w:rsidR="00694504" w:rsidRPr="008F1C66">
              <w:rPr>
                <w:webHidden/>
                <w:sz w:val="22"/>
              </w:rPr>
              <w:fldChar w:fldCharType="separate"/>
            </w:r>
            <w:r w:rsidR="00694504" w:rsidRPr="008F1C66">
              <w:rPr>
                <w:webHidden/>
                <w:sz w:val="22"/>
              </w:rPr>
              <w:t>10</w:t>
            </w:r>
            <w:r w:rsidR="00694504" w:rsidRPr="008F1C66">
              <w:rPr>
                <w:webHidden/>
                <w:sz w:val="22"/>
              </w:rPr>
              <w:fldChar w:fldCharType="end"/>
            </w:r>
          </w:hyperlink>
        </w:p>
        <w:p w14:paraId="38BA1EB4" w14:textId="2DF4C06C" w:rsidR="00694504" w:rsidRPr="008F1C66" w:rsidRDefault="00CF4558" w:rsidP="008F1C66">
          <w:pPr>
            <w:pStyle w:val="22"/>
            <w:rPr>
              <w:rFonts w:asciiTheme="minorHAnsi" w:eastAsiaTheme="minorEastAsia" w:hAnsiTheme="minorHAnsi"/>
              <w:bCs w:val="0"/>
              <w:sz w:val="22"/>
              <w:lang w:val="en-US"/>
            </w:rPr>
          </w:pPr>
          <w:hyperlink w:anchor="_Toc104840352" w:history="1">
            <w:r w:rsidR="00694504" w:rsidRPr="008F1C66">
              <w:rPr>
                <w:rStyle w:val="af9"/>
                <w:sz w:val="22"/>
              </w:rPr>
              <w:t>1.3 Гипотезы исследования</w:t>
            </w:r>
            <w:r w:rsidR="00694504" w:rsidRPr="008F1C66">
              <w:rPr>
                <w:webHidden/>
                <w:sz w:val="22"/>
              </w:rPr>
              <w:tab/>
            </w:r>
            <w:r w:rsidR="00694504" w:rsidRPr="008F1C66">
              <w:rPr>
                <w:webHidden/>
                <w:sz w:val="22"/>
              </w:rPr>
              <w:fldChar w:fldCharType="begin"/>
            </w:r>
            <w:r w:rsidR="00694504" w:rsidRPr="008F1C66">
              <w:rPr>
                <w:webHidden/>
                <w:sz w:val="22"/>
              </w:rPr>
              <w:instrText xml:space="preserve"> PAGEREF _Toc104840352 \h </w:instrText>
            </w:r>
            <w:r w:rsidR="00694504" w:rsidRPr="008F1C66">
              <w:rPr>
                <w:webHidden/>
                <w:sz w:val="22"/>
              </w:rPr>
            </w:r>
            <w:r w:rsidR="00694504" w:rsidRPr="008F1C66">
              <w:rPr>
                <w:webHidden/>
                <w:sz w:val="22"/>
              </w:rPr>
              <w:fldChar w:fldCharType="separate"/>
            </w:r>
            <w:r w:rsidR="00694504" w:rsidRPr="008F1C66">
              <w:rPr>
                <w:webHidden/>
                <w:sz w:val="22"/>
              </w:rPr>
              <w:t>18</w:t>
            </w:r>
            <w:r w:rsidR="00694504" w:rsidRPr="008F1C66">
              <w:rPr>
                <w:webHidden/>
                <w:sz w:val="22"/>
              </w:rPr>
              <w:fldChar w:fldCharType="end"/>
            </w:r>
          </w:hyperlink>
        </w:p>
        <w:p w14:paraId="5738B568" w14:textId="4AB87DAD" w:rsidR="00694504" w:rsidRPr="008F1C66" w:rsidRDefault="00CF4558" w:rsidP="008F1C66">
          <w:pPr>
            <w:pStyle w:val="32"/>
            <w:tabs>
              <w:tab w:val="right" w:leader="dot" w:pos="9204"/>
            </w:tabs>
            <w:spacing w:line="240" w:lineRule="auto"/>
            <w:rPr>
              <w:rFonts w:asciiTheme="minorHAnsi" w:eastAsiaTheme="minorEastAsia" w:hAnsiTheme="minorHAnsi"/>
              <w:i w:val="0"/>
              <w:noProof/>
              <w:sz w:val="22"/>
              <w:lang w:val="en-US"/>
            </w:rPr>
          </w:pPr>
          <w:hyperlink w:anchor="_Toc104840353" w:history="1">
            <w:r w:rsidR="00694504" w:rsidRPr="008F1C66">
              <w:rPr>
                <w:rStyle w:val="af9"/>
                <w:noProof/>
                <w:sz w:val="22"/>
              </w:rPr>
              <w:t>1.3.1 Гипотезы о направлении реакции рынка на объявления дивидендов</w:t>
            </w:r>
            <w:r w:rsidR="00694504" w:rsidRPr="008F1C66">
              <w:rPr>
                <w:noProof/>
                <w:webHidden/>
                <w:sz w:val="22"/>
              </w:rPr>
              <w:tab/>
            </w:r>
            <w:r w:rsidR="00694504" w:rsidRPr="008F1C66">
              <w:rPr>
                <w:noProof/>
                <w:webHidden/>
                <w:sz w:val="22"/>
              </w:rPr>
              <w:fldChar w:fldCharType="begin"/>
            </w:r>
            <w:r w:rsidR="00694504" w:rsidRPr="008F1C66">
              <w:rPr>
                <w:noProof/>
                <w:webHidden/>
                <w:sz w:val="22"/>
              </w:rPr>
              <w:instrText xml:space="preserve"> PAGEREF _Toc104840353 \h </w:instrText>
            </w:r>
            <w:r w:rsidR="00694504" w:rsidRPr="008F1C66">
              <w:rPr>
                <w:noProof/>
                <w:webHidden/>
                <w:sz w:val="22"/>
              </w:rPr>
            </w:r>
            <w:r w:rsidR="00694504" w:rsidRPr="008F1C66">
              <w:rPr>
                <w:noProof/>
                <w:webHidden/>
                <w:sz w:val="22"/>
              </w:rPr>
              <w:fldChar w:fldCharType="separate"/>
            </w:r>
            <w:r w:rsidR="00694504" w:rsidRPr="008F1C66">
              <w:rPr>
                <w:noProof/>
                <w:webHidden/>
                <w:sz w:val="22"/>
              </w:rPr>
              <w:t>18</w:t>
            </w:r>
            <w:r w:rsidR="00694504" w:rsidRPr="008F1C66">
              <w:rPr>
                <w:noProof/>
                <w:webHidden/>
                <w:sz w:val="22"/>
              </w:rPr>
              <w:fldChar w:fldCharType="end"/>
            </w:r>
          </w:hyperlink>
        </w:p>
        <w:p w14:paraId="359444B4" w14:textId="2781CFD3" w:rsidR="00694504" w:rsidRPr="008F1C66" w:rsidRDefault="00CF4558" w:rsidP="008F1C66">
          <w:pPr>
            <w:pStyle w:val="32"/>
            <w:tabs>
              <w:tab w:val="right" w:leader="dot" w:pos="9204"/>
            </w:tabs>
            <w:spacing w:line="240" w:lineRule="auto"/>
            <w:rPr>
              <w:rFonts w:asciiTheme="minorHAnsi" w:eastAsiaTheme="minorEastAsia" w:hAnsiTheme="minorHAnsi"/>
              <w:i w:val="0"/>
              <w:noProof/>
              <w:sz w:val="22"/>
              <w:lang w:val="en-US"/>
            </w:rPr>
          </w:pPr>
          <w:hyperlink w:anchor="_Toc104840354" w:history="1">
            <w:r w:rsidR="00694504" w:rsidRPr="008F1C66">
              <w:rPr>
                <w:rStyle w:val="af9"/>
                <w:noProof/>
                <w:sz w:val="22"/>
              </w:rPr>
              <w:t>1.3.2 Гипотезы о факторах реакции рынка на объявления о дивидендах</w:t>
            </w:r>
            <w:r w:rsidR="00694504" w:rsidRPr="008F1C66">
              <w:rPr>
                <w:noProof/>
                <w:webHidden/>
                <w:sz w:val="22"/>
              </w:rPr>
              <w:tab/>
            </w:r>
            <w:r w:rsidR="00694504" w:rsidRPr="008F1C66">
              <w:rPr>
                <w:noProof/>
                <w:webHidden/>
                <w:sz w:val="22"/>
              </w:rPr>
              <w:fldChar w:fldCharType="begin"/>
            </w:r>
            <w:r w:rsidR="00694504" w:rsidRPr="008F1C66">
              <w:rPr>
                <w:noProof/>
                <w:webHidden/>
                <w:sz w:val="22"/>
              </w:rPr>
              <w:instrText xml:space="preserve"> PAGEREF _Toc104840354 \h </w:instrText>
            </w:r>
            <w:r w:rsidR="00694504" w:rsidRPr="008F1C66">
              <w:rPr>
                <w:noProof/>
                <w:webHidden/>
                <w:sz w:val="22"/>
              </w:rPr>
            </w:r>
            <w:r w:rsidR="00694504" w:rsidRPr="008F1C66">
              <w:rPr>
                <w:noProof/>
                <w:webHidden/>
                <w:sz w:val="22"/>
              </w:rPr>
              <w:fldChar w:fldCharType="separate"/>
            </w:r>
            <w:r w:rsidR="00694504" w:rsidRPr="008F1C66">
              <w:rPr>
                <w:noProof/>
                <w:webHidden/>
                <w:sz w:val="22"/>
              </w:rPr>
              <w:t>20</w:t>
            </w:r>
            <w:r w:rsidR="00694504" w:rsidRPr="008F1C66">
              <w:rPr>
                <w:noProof/>
                <w:webHidden/>
                <w:sz w:val="22"/>
              </w:rPr>
              <w:fldChar w:fldCharType="end"/>
            </w:r>
          </w:hyperlink>
        </w:p>
        <w:bookmarkStart w:id="1" w:name="_Hlk104840508"/>
        <w:p w14:paraId="141C72C7" w14:textId="55F78386" w:rsidR="00694504" w:rsidRPr="008F1C66" w:rsidRDefault="00694504" w:rsidP="008F1C66">
          <w:pPr>
            <w:pStyle w:val="12"/>
            <w:spacing w:line="276" w:lineRule="auto"/>
            <w:rPr>
              <w:rFonts w:asciiTheme="minorHAnsi" w:eastAsiaTheme="minorEastAsia" w:hAnsiTheme="minorHAnsi"/>
              <w:sz w:val="22"/>
              <w:lang w:val="en-US"/>
            </w:rPr>
          </w:pPr>
          <w:r w:rsidRPr="008F1C66">
            <w:rPr>
              <w:rStyle w:val="af9"/>
              <w:sz w:val="22"/>
            </w:rPr>
            <w:fldChar w:fldCharType="begin"/>
          </w:r>
          <w:r w:rsidRPr="008F1C66">
            <w:rPr>
              <w:rStyle w:val="af9"/>
              <w:sz w:val="22"/>
            </w:rPr>
            <w:instrText xml:space="preserve"> </w:instrText>
          </w:r>
          <w:r w:rsidRPr="008F1C66">
            <w:rPr>
              <w:sz w:val="22"/>
            </w:rPr>
            <w:instrText>HYPERLINK \l "_Toc104840355"</w:instrText>
          </w:r>
          <w:r w:rsidRPr="008F1C66">
            <w:rPr>
              <w:rStyle w:val="af9"/>
              <w:sz w:val="22"/>
            </w:rPr>
            <w:instrText xml:space="preserve"> </w:instrText>
          </w:r>
          <w:r w:rsidRPr="008F1C66">
            <w:rPr>
              <w:rStyle w:val="af9"/>
              <w:sz w:val="22"/>
            </w:rPr>
            <w:fldChar w:fldCharType="separate"/>
          </w:r>
          <w:r w:rsidRPr="008F1C66">
            <w:rPr>
              <w:rStyle w:val="af9"/>
              <w:sz w:val="22"/>
            </w:rPr>
            <w:t>2 ГЛАВА. СПЕЦИФИКА  ФОНДОВЫХ РЫНКОВ И ДИВИДЕНДНЫХ ВЫПЛАТ В РОССИИ И КИТАЕ</w:t>
          </w:r>
          <w:r w:rsidRPr="008F1C66">
            <w:rPr>
              <w:webHidden/>
              <w:sz w:val="22"/>
            </w:rPr>
            <w:tab/>
          </w:r>
          <w:r w:rsidRPr="008F1C66">
            <w:rPr>
              <w:webHidden/>
              <w:sz w:val="22"/>
            </w:rPr>
            <w:fldChar w:fldCharType="begin"/>
          </w:r>
          <w:r w:rsidRPr="008F1C66">
            <w:rPr>
              <w:webHidden/>
              <w:sz w:val="22"/>
            </w:rPr>
            <w:instrText xml:space="preserve"> PAGEREF _Toc104840355 \h </w:instrText>
          </w:r>
          <w:r w:rsidRPr="008F1C66">
            <w:rPr>
              <w:webHidden/>
              <w:sz w:val="22"/>
            </w:rPr>
          </w:r>
          <w:r w:rsidRPr="008F1C66">
            <w:rPr>
              <w:webHidden/>
              <w:sz w:val="22"/>
            </w:rPr>
            <w:fldChar w:fldCharType="separate"/>
          </w:r>
          <w:r w:rsidRPr="008F1C66">
            <w:rPr>
              <w:webHidden/>
              <w:sz w:val="22"/>
            </w:rPr>
            <w:t>28</w:t>
          </w:r>
          <w:r w:rsidRPr="008F1C66">
            <w:rPr>
              <w:webHidden/>
              <w:sz w:val="22"/>
            </w:rPr>
            <w:fldChar w:fldCharType="end"/>
          </w:r>
          <w:r w:rsidRPr="008F1C66">
            <w:rPr>
              <w:rStyle w:val="af9"/>
              <w:sz w:val="22"/>
            </w:rPr>
            <w:fldChar w:fldCharType="end"/>
          </w:r>
        </w:p>
        <w:bookmarkEnd w:id="1"/>
        <w:p w14:paraId="226BF76A" w14:textId="05DA1CD0" w:rsidR="00694504" w:rsidRPr="008F1C66" w:rsidRDefault="00694504" w:rsidP="008F1C66">
          <w:pPr>
            <w:pStyle w:val="22"/>
            <w:spacing w:line="276" w:lineRule="auto"/>
            <w:rPr>
              <w:rFonts w:asciiTheme="minorHAnsi" w:eastAsiaTheme="minorEastAsia" w:hAnsiTheme="minorHAnsi"/>
              <w:bCs w:val="0"/>
              <w:sz w:val="22"/>
              <w:lang w:val="en-US"/>
            </w:rPr>
          </w:pPr>
          <w:r w:rsidRPr="008F1C66">
            <w:rPr>
              <w:rStyle w:val="af9"/>
              <w:sz w:val="22"/>
            </w:rPr>
            <w:fldChar w:fldCharType="begin"/>
          </w:r>
          <w:r w:rsidRPr="008F1C66">
            <w:rPr>
              <w:rStyle w:val="af9"/>
              <w:sz w:val="22"/>
            </w:rPr>
            <w:instrText xml:space="preserve"> </w:instrText>
          </w:r>
          <w:r w:rsidRPr="008F1C66">
            <w:rPr>
              <w:sz w:val="22"/>
            </w:rPr>
            <w:instrText>HYPERLINK \l "_Toc104840356"</w:instrText>
          </w:r>
          <w:r w:rsidRPr="008F1C66">
            <w:rPr>
              <w:rStyle w:val="af9"/>
              <w:sz w:val="22"/>
            </w:rPr>
            <w:instrText xml:space="preserve"> </w:instrText>
          </w:r>
          <w:r w:rsidRPr="008F1C66">
            <w:rPr>
              <w:rStyle w:val="af9"/>
              <w:sz w:val="22"/>
            </w:rPr>
            <w:fldChar w:fldCharType="separate"/>
          </w:r>
          <w:r w:rsidRPr="008F1C66">
            <w:rPr>
              <w:rStyle w:val="af9"/>
              <w:sz w:val="22"/>
            </w:rPr>
            <w:t>2.1</w:t>
          </w:r>
          <w:r w:rsidRPr="008F1C66">
            <w:rPr>
              <w:rFonts w:asciiTheme="minorHAnsi" w:eastAsiaTheme="minorEastAsia" w:hAnsiTheme="minorHAnsi"/>
              <w:bCs w:val="0"/>
              <w:sz w:val="22"/>
              <w:lang w:val="en-US"/>
            </w:rPr>
            <w:tab/>
          </w:r>
          <w:r w:rsidRPr="008F1C66">
            <w:rPr>
              <w:rStyle w:val="af9"/>
              <w:sz w:val="22"/>
            </w:rPr>
            <w:t>Характерные черты российского фондового рынка и дивидендных выплат российских компаний</w:t>
          </w:r>
          <w:r w:rsidRPr="008F1C66">
            <w:rPr>
              <w:webHidden/>
              <w:sz w:val="22"/>
            </w:rPr>
            <w:tab/>
          </w:r>
          <w:r w:rsidRPr="008F1C66">
            <w:rPr>
              <w:webHidden/>
              <w:sz w:val="22"/>
            </w:rPr>
            <w:fldChar w:fldCharType="begin"/>
          </w:r>
          <w:r w:rsidRPr="008F1C66">
            <w:rPr>
              <w:webHidden/>
              <w:sz w:val="22"/>
            </w:rPr>
            <w:instrText xml:space="preserve"> PAGEREF _Toc104840356 \h </w:instrText>
          </w:r>
          <w:r w:rsidRPr="008F1C66">
            <w:rPr>
              <w:webHidden/>
              <w:sz w:val="22"/>
            </w:rPr>
          </w:r>
          <w:r w:rsidRPr="008F1C66">
            <w:rPr>
              <w:webHidden/>
              <w:sz w:val="22"/>
            </w:rPr>
            <w:fldChar w:fldCharType="separate"/>
          </w:r>
          <w:r w:rsidRPr="008F1C66">
            <w:rPr>
              <w:webHidden/>
              <w:sz w:val="22"/>
            </w:rPr>
            <w:t>28</w:t>
          </w:r>
          <w:r w:rsidRPr="008F1C66">
            <w:rPr>
              <w:webHidden/>
              <w:sz w:val="22"/>
            </w:rPr>
            <w:fldChar w:fldCharType="end"/>
          </w:r>
          <w:r w:rsidRPr="008F1C66">
            <w:rPr>
              <w:rStyle w:val="af9"/>
              <w:sz w:val="22"/>
            </w:rPr>
            <w:fldChar w:fldCharType="end"/>
          </w:r>
        </w:p>
        <w:p w14:paraId="22FF5D0D" w14:textId="1526A8B0" w:rsidR="00694504" w:rsidRPr="008F1C66" w:rsidRDefault="00CF4558" w:rsidP="008F1C66">
          <w:pPr>
            <w:pStyle w:val="32"/>
            <w:tabs>
              <w:tab w:val="right" w:leader="dot" w:pos="9204"/>
            </w:tabs>
            <w:spacing w:line="240" w:lineRule="auto"/>
            <w:rPr>
              <w:rFonts w:asciiTheme="minorHAnsi" w:eastAsiaTheme="minorEastAsia" w:hAnsiTheme="minorHAnsi"/>
              <w:i w:val="0"/>
              <w:noProof/>
              <w:sz w:val="22"/>
              <w:lang w:val="en-US"/>
            </w:rPr>
          </w:pPr>
          <w:hyperlink w:anchor="_Toc104840357" w:history="1">
            <w:r w:rsidR="00694504" w:rsidRPr="008F1C66">
              <w:rPr>
                <w:rStyle w:val="af9"/>
                <w:noProof/>
                <w:sz w:val="22"/>
                <w:lang w:val="en-US"/>
              </w:rPr>
              <w:t>2</w:t>
            </w:r>
            <w:r w:rsidR="00694504" w:rsidRPr="008F1C66">
              <w:rPr>
                <w:rStyle w:val="af9"/>
                <w:noProof/>
                <w:sz w:val="22"/>
              </w:rPr>
              <w:t>.1.1 Структура собственности и информационная прозрачность</w:t>
            </w:r>
            <w:r w:rsidR="00694504" w:rsidRPr="008F1C66">
              <w:rPr>
                <w:noProof/>
                <w:webHidden/>
                <w:sz w:val="22"/>
              </w:rPr>
              <w:tab/>
            </w:r>
            <w:r w:rsidR="00694504" w:rsidRPr="008F1C66">
              <w:rPr>
                <w:noProof/>
                <w:webHidden/>
                <w:sz w:val="22"/>
              </w:rPr>
              <w:fldChar w:fldCharType="begin"/>
            </w:r>
            <w:r w:rsidR="00694504" w:rsidRPr="008F1C66">
              <w:rPr>
                <w:noProof/>
                <w:webHidden/>
                <w:sz w:val="22"/>
              </w:rPr>
              <w:instrText xml:space="preserve"> PAGEREF _Toc104840357 \h </w:instrText>
            </w:r>
            <w:r w:rsidR="00694504" w:rsidRPr="008F1C66">
              <w:rPr>
                <w:noProof/>
                <w:webHidden/>
                <w:sz w:val="22"/>
              </w:rPr>
            </w:r>
            <w:r w:rsidR="00694504" w:rsidRPr="008F1C66">
              <w:rPr>
                <w:noProof/>
                <w:webHidden/>
                <w:sz w:val="22"/>
              </w:rPr>
              <w:fldChar w:fldCharType="separate"/>
            </w:r>
            <w:r w:rsidR="00694504" w:rsidRPr="008F1C66">
              <w:rPr>
                <w:noProof/>
                <w:webHidden/>
                <w:sz w:val="22"/>
              </w:rPr>
              <w:t>28</w:t>
            </w:r>
            <w:r w:rsidR="00694504" w:rsidRPr="008F1C66">
              <w:rPr>
                <w:noProof/>
                <w:webHidden/>
                <w:sz w:val="22"/>
              </w:rPr>
              <w:fldChar w:fldCharType="end"/>
            </w:r>
          </w:hyperlink>
        </w:p>
        <w:p w14:paraId="39A17066" w14:textId="4DE9FDFC" w:rsidR="00694504" w:rsidRPr="008F1C66" w:rsidRDefault="00CF4558" w:rsidP="008F1C66">
          <w:pPr>
            <w:pStyle w:val="32"/>
            <w:tabs>
              <w:tab w:val="right" w:leader="dot" w:pos="9204"/>
            </w:tabs>
            <w:spacing w:line="240" w:lineRule="auto"/>
            <w:rPr>
              <w:rFonts w:asciiTheme="minorHAnsi" w:eastAsiaTheme="minorEastAsia" w:hAnsiTheme="minorHAnsi"/>
              <w:i w:val="0"/>
              <w:noProof/>
              <w:sz w:val="22"/>
              <w:lang w:val="en-US"/>
            </w:rPr>
          </w:pPr>
          <w:hyperlink w:anchor="_Toc104840358" w:history="1">
            <w:r w:rsidR="00694504" w:rsidRPr="008F1C66">
              <w:rPr>
                <w:rStyle w:val="af9"/>
                <w:noProof/>
                <w:sz w:val="22"/>
              </w:rPr>
              <w:t>2.1.2 Динамика дивидендных выплат и их регулирование со стороны государства</w:t>
            </w:r>
            <w:r w:rsidR="00694504" w:rsidRPr="008F1C66">
              <w:rPr>
                <w:noProof/>
                <w:webHidden/>
                <w:sz w:val="22"/>
              </w:rPr>
              <w:tab/>
            </w:r>
            <w:r w:rsidR="00694504" w:rsidRPr="008F1C66">
              <w:rPr>
                <w:noProof/>
                <w:webHidden/>
                <w:sz w:val="22"/>
              </w:rPr>
              <w:fldChar w:fldCharType="begin"/>
            </w:r>
            <w:r w:rsidR="00694504" w:rsidRPr="008F1C66">
              <w:rPr>
                <w:noProof/>
                <w:webHidden/>
                <w:sz w:val="22"/>
              </w:rPr>
              <w:instrText xml:space="preserve"> PAGEREF _Toc104840358 \h </w:instrText>
            </w:r>
            <w:r w:rsidR="00694504" w:rsidRPr="008F1C66">
              <w:rPr>
                <w:noProof/>
                <w:webHidden/>
                <w:sz w:val="22"/>
              </w:rPr>
            </w:r>
            <w:r w:rsidR="00694504" w:rsidRPr="008F1C66">
              <w:rPr>
                <w:noProof/>
                <w:webHidden/>
                <w:sz w:val="22"/>
              </w:rPr>
              <w:fldChar w:fldCharType="separate"/>
            </w:r>
            <w:r w:rsidR="00694504" w:rsidRPr="008F1C66">
              <w:rPr>
                <w:noProof/>
                <w:webHidden/>
                <w:sz w:val="22"/>
              </w:rPr>
              <w:t>29</w:t>
            </w:r>
            <w:r w:rsidR="00694504" w:rsidRPr="008F1C66">
              <w:rPr>
                <w:noProof/>
                <w:webHidden/>
                <w:sz w:val="22"/>
              </w:rPr>
              <w:fldChar w:fldCharType="end"/>
            </w:r>
          </w:hyperlink>
        </w:p>
        <w:p w14:paraId="0161C722" w14:textId="2E70B9A0" w:rsidR="00694504" w:rsidRPr="008F1C66" w:rsidRDefault="00CF4558" w:rsidP="008F1C66">
          <w:pPr>
            <w:pStyle w:val="32"/>
            <w:tabs>
              <w:tab w:val="right" w:leader="dot" w:pos="9204"/>
            </w:tabs>
            <w:spacing w:line="240" w:lineRule="auto"/>
            <w:rPr>
              <w:rFonts w:asciiTheme="minorHAnsi" w:eastAsiaTheme="minorEastAsia" w:hAnsiTheme="minorHAnsi"/>
              <w:i w:val="0"/>
              <w:noProof/>
              <w:sz w:val="22"/>
              <w:lang w:val="en-US"/>
            </w:rPr>
          </w:pPr>
          <w:hyperlink w:anchor="_Toc104840359" w:history="1">
            <w:r w:rsidR="00694504" w:rsidRPr="008F1C66">
              <w:rPr>
                <w:rStyle w:val="af9"/>
                <w:noProof/>
                <w:sz w:val="22"/>
              </w:rPr>
              <w:t>2.1.3 Налогообложение доходов от инвестиций в России</w:t>
            </w:r>
            <w:r w:rsidR="00694504" w:rsidRPr="008F1C66">
              <w:rPr>
                <w:noProof/>
                <w:webHidden/>
                <w:sz w:val="22"/>
              </w:rPr>
              <w:tab/>
            </w:r>
            <w:r w:rsidR="00694504" w:rsidRPr="008F1C66">
              <w:rPr>
                <w:noProof/>
                <w:webHidden/>
                <w:sz w:val="22"/>
              </w:rPr>
              <w:fldChar w:fldCharType="begin"/>
            </w:r>
            <w:r w:rsidR="00694504" w:rsidRPr="008F1C66">
              <w:rPr>
                <w:noProof/>
                <w:webHidden/>
                <w:sz w:val="22"/>
              </w:rPr>
              <w:instrText xml:space="preserve"> PAGEREF _Toc104840359 \h </w:instrText>
            </w:r>
            <w:r w:rsidR="00694504" w:rsidRPr="008F1C66">
              <w:rPr>
                <w:noProof/>
                <w:webHidden/>
                <w:sz w:val="22"/>
              </w:rPr>
            </w:r>
            <w:r w:rsidR="00694504" w:rsidRPr="008F1C66">
              <w:rPr>
                <w:noProof/>
                <w:webHidden/>
                <w:sz w:val="22"/>
              </w:rPr>
              <w:fldChar w:fldCharType="separate"/>
            </w:r>
            <w:r w:rsidR="00694504" w:rsidRPr="008F1C66">
              <w:rPr>
                <w:noProof/>
                <w:webHidden/>
                <w:sz w:val="22"/>
              </w:rPr>
              <w:t>34</w:t>
            </w:r>
            <w:r w:rsidR="00694504" w:rsidRPr="008F1C66">
              <w:rPr>
                <w:noProof/>
                <w:webHidden/>
                <w:sz w:val="22"/>
              </w:rPr>
              <w:fldChar w:fldCharType="end"/>
            </w:r>
          </w:hyperlink>
        </w:p>
        <w:p w14:paraId="1F21212B" w14:textId="220CDB7A" w:rsidR="00694504" w:rsidRPr="008F1C66" w:rsidRDefault="00CF4558" w:rsidP="008F1C66">
          <w:pPr>
            <w:pStyle w:val="22"/>
            <w:rPr>
              <w:rFonts w:asciiTheme="minorHAnsi" w:eastAsiaTheme="minorEastAsia" w:hAnsiTheme="minorHAnsi"/>
              <w:bCs w:val="0"/>
              <w:sz w:val="22"/>
              <w:lang w:val="en-US"/>
            </w:rPr>
          </w:pPr>
          <w:hyperlink w:anchor="_Toc104840360" w:history="1">
            <w:r w:rsidR="00694504" w:rsidRPr="008F1C66">
              <w:rPr>
                <w:rStyle w:val="af9"/>
                <w:sz w:val="22"/>
              </w:rPr>
              <w:t>2.1</w:t>
            </w:r>
            <w:r w:rsidR="00694504" w:rsidRPr="008F1C66">
              <w:rPr>
                <w:rFonts w:asciiTheme="minorHAnsi" w:eastAsiaTheme="minorEastAsia" w:hAnsiTheme="minorHAnsi"/>
                <w:bCs w:val="0"/>
                <w:sz w:val="22"/>
                <w:lang w:val="en-US"/>
              </w:rPr>
              <w:tab/>
            </w:r>
            <w:r w:rsidR="00694504" w:rsidRPr="008F1C66">
              <w:rPr>
                <w:rStyle w:val="af9"/>
                <w:sz w:val="22"/>
              </w:rPr>
              <w:t>Характерные черты китайского фондового рынка и дивидендных выплат китайских компаний</w:t>
            </w:r>
            <w:r w:rsidR="00694504" w:rsidRPr="008F1C66">
              <w:rPr>
                <w:webHidden/>
                <w:sz w:val="22"/>
              </w:rPr>
              <w:tab/>
            </w:r>
            <w:r w:rsidR="00694504" w:rsidRPr="008F1C66">
              <w:rPr>
                <w:webHidden/>
                <w:sz w:val="22"/>
              </w:rPr>
              <w:fldChar w:fldCharType="begin"/>
            </w:r>
            <w:r w:rsidR="00694504" w:rsidRPr="008F1C66">
              <w:rPr>
                <w:webHidden/>
                <w:sz w:val="22"/>
              </w:rPr>
              <w:instrText xml:space="preserve"> PAGEREF _Toc104840360 \h </w:instrText>
            </w:r>
            <w:r w:rsidR="00694504" w:rsidRPr="008F1C66">
              <w:rPr>
                <w:webHidden/>
                <w:sz w:val="22"/>
              </w:rPr>
            </w:r>
            <w:r w:rsidR="00694504" w:rsidRPr="008F1C66">
              <w:rPr>
                <w:webHidden/>
                <w:sz w:val="22"/>
              </w:rPr>
              <w:fldChar w:fldCharType="separate"/>
            </w:r>
            <w:r w:rsidR="00694504" w:rsidRPr="008F1C66">
              <w:rPr>
                <w:webHidden/>
                <w:sz w:val="22"/>
              </w:rPr>
              <w:t>34</w:t>
            </w:r>
            <w:r w:rsidR="00694504" w:rsidRPr="008F1C66">
              <w:rPr>
                <w:webHidden/>
                <w:sz w:val="22"/>
              </w:rPr>
              <w:fldChar w:fldCharType="end"/>
            </w:r>
          </w:hyperlink>
        </w:p>
        <w:p w14:paraId="550242D7" w14:textId="1FBF631F" w:rsidR="00694504" w:rsidRPr="008F1C66" w:rsidRDefault="00CF4558" w:rsidP="008F1C66">
          <w:pPr>
            <w:pStyle w:val="32"/>
            <w:tabs>
              <w:tab w:val="right" w:leader="dot" w:pos="9204"/>
            </w:tabs>
            <w:spacing w:line="240" w:lineRule="auto"/>
            <w:rPr>
              <w:rFonts w:asciiTheme="minorHAnsi" w:eastAsiaTheme="minorEastAsia" w:hAnsiTheme="minorHAnsi"/>
              <w:i w:val="0"/>
              <w:noProof/>
              <w:sz w:val="22"/>
              <w:lang w:val="en-US"/>
            </w:rPr>
          </w:pPr>
          <w:hyperlink w:anchor="_Toc104840361" w:history="1">
            <w:r w:rsidR="00694504" w:rsidRPr="008F1C66">
              <w:rPr>
                <w:rStyle w:val="af9"/>
                <w:noProof/>
                <w:sz w:val="22"/>
              </w:rPr>
              <w:t>2.2.1 Структура собственности, информационная прозрачность, защита акционеров</w:t>
            </w:r>
            <w:r w:rsidR="00694504" w:rsidRPr="008F1C66">
              <w:rPr>
                <w:noProof/>
                <w:webHidden/>
                <w:sz w:val="22"/>
              </w:rPr>
              <w:tab/>
            </w:r>
            <w:r w:rsidR="00694504" w:rsidRPr="008F1C66">
              <w:rPr>
                <w:noProof/>
                <w:webHidden/>
                <w:sz w:val="22"/>
              </w:rPr>
              <w:fldChar w:fldCharType="begin"/>
            </w:r>
            <w:r w:rsidR="00694504" w:rsidRPr="008F1C66">
              <w:rPr>
                <w:noProof/>
                <w:webHidden/>
                <w:sz w:val="22"/>
              </w:rPr>
              <w:instrText xml:space="preserve"> PAGEREF _Toc104840361 \h </w:instrText>
            </w:r>
            <w:r w:rsidR="00694504" w:rsidRPr="008F1C66">
              <w:rPr>
                <w:noProof/>
                <w:webHidden/>
                <w:sz w:val="22"/>
              </w:rPr>
            </w:r>
            <w:r w:rsidR="00694504" w:rsidRPr="008F1C66">
              <w:rPr>
                <w:noProof/>
                <w:webHidden/>
                <w:sz w:val="22"/>
              </w:rPr>
              <w:fldChar w:fldCharType="separate"/>
            </w:r>
            <w:r w:rsidR="00694504" w:rsidRPr="008F1C66">
              <w:rPr>
                <w:noProof/>
                <w:webHidden/>
                <w:sz w:val="22"/>
              </w:rPr>
              <w:t>34</w:t>
            </w:r>
            <w:r w:rsidR="00694504" w:rsidRPr="008F1C66">
              <w:rPr>
                <w:noProof/>
                <w:webHidden/>
                <w:sz w:val="22"/>
              </w:rPr>
              <w:fldChar w:fldCharType="end"/>
            </w:r>
          </w:hyperlink>
        </w:p>
        <w:p w14:paraId="52CB1DBD" w14:textId="408CA0DA" w:rsidR="00694504" w:rsidRPr="008F1C66" w:rsidRDefault="00CF4558" w:rsidP="008F1C66">
          <w:pPr>
            <w:pStyle w:val="32"/>
            <w:tabs>
              <w:tab w:val="right" w:leader="dot" w:pos="9204"/>
            </w:tabs>
            <w:spacing w:line="240" w:lineRule="auto"/>
            <w:rPr>
              <w:rFonts w:asciiTheme="minorHAnsi" w:eastAsiaTheme="minorEastAsia" w:hAnsiTheme="minorHAnsi"/>
              <w:i w:val="0"/>
              <w:noProof/>
              <w:sz w:val="22"/>
              <w:lang w:val="en-US"/>
            </w:rPr>
          </w:pPr>
          <w:hyperlink w:anchor="_Toc104840362" w:history="1">
            <w:r w:rsidR="00694504" w:rsidRPr="008F1C66">
              <w:rPr>
                <w:rStyle w:val="af9"/>
                <w:noProof/>
                <w:sz w:val="22"/>
              </w:rPr>
              <w:t>2.2.2 Динамика дивидендных выплат и их регулирование со стороны государства</w:t>
            </w:r>
            <w:r w:rsidR="00694504" w:rsidRPr="008F1C66">
              <w:rPr>
                <w:noProof/>
                <w:webHidden/>
                <w:sz w:val="22"/>
              </w:rPr>
              <w:tab/>
            </w:r>
            <w:r w:rsidR="00694504" w:rsidRPr="008F1C66">
              <w:rPr>
                <w:noProof/>
                <w:webHidden/>
                <w:sz w:val="22"/>
              </w:rPr>
              <w:fldChar w:fldCharType="begin"/>
            </w:r>
            <w:r w:rsidR="00694504" w:rsidRPr="008F1C66">
              <w:rPr>
                <w:noProof/>
                <w:webHidden/>
                <w:sz w:val="22"/>
              </w:rPr>
              <w:instrText xml:space="preserve"> PAGEREF _Toc104840362 \h </w:instrText>
            </w:r>
            <w:r w:rsidR="00694504" w:rsidRPr="008F1C66">
              <w:rPr>
                <w:noProof/>
                <w:webHidden/>
                <w:sz w:val="22"/>
              </w:rPr>
            </w:r>
            <w:r w:rsidR="00694504" w:rsidRPr="008F1C66">
              <w:rPr>
                <w:noProof/>
                <w:webHidden/>
                <w:sz w:val="22"/>
              </w:rPr>
              <w:fldChar w:fldCharType="separate"/>
            </w:r>
            <w:r w:rsidR="00694504" w:rsidRPr="008F1C66">
              <w:rPr>
                <w:noProof/>
                <w:webHidden/>
                <w:sz w:val="22"/>
              </w:rPr>
              <w:t>36</w:t>
            </w:r>
            <w:r w:rsidR="00694504" w:rsidRPr="008F1C66">
              <w:rPr>
                <w:noProof/>
                <w:webHidden/>
                <w:sz w:val="22"/>
              </w:rPr>
              <w:fldChar w:fldCharType="end"/>
            </w:r>
          </w:hyperlink>
        </w:p>
        <w:p w14:paraId="5540C5E8" w14:textId="6FE71C5B" w:rsidR="00694504" w:rsidRPr="008F1C66" w:rsidRDefault="00CF4558" w:rsidP="008F1C66">
          <w:pPr>
            <w:pStyle w:val="32"/>
            <w:tabs>
              <w:tab w:val="right" w:leader="dot" w:pos="9204"/>
            </w:tabs>
            <w:spacing w:line="240" w:lineRule="auto"/>
            <w:rPr>
              <w:rFonts w:asciiTheme="minorHAnsi" w:eastAsiaTheme="minorEastAsia" w:hAnsiTheme="minorHAnsi"/>
              <w:i w:val="0"/>
              <w:noProof/>
              <w:sz w:val="22"/>
              <w:lang w:val="en-US"/>
            </w:rPr>
          </w:pPr>
          <w:hyperlink w:anchor="_Toc104840363" w:history="1">
            <w:r w:rsidR="00694504" w:rsidRPr="008F1C66">
              <w:rPr>
                <w:rStyle w:val="af9"/>
                <w:noProof/>
                <w:sz w:val="22"/>
              </w:rPr>
              <w:t>2.2.3 Налогообложение доходов от инвестиций в Китае</w:t>
            </w:r>
            <w:r w:rsidR="00694504" w:rsidRPr="008F1C66">
              <w:rPr>
                <w:noProof/>
                <w:webHidden/>
                <w:sz w:val="22"/>
              </w:rPr>
              <w:tab/>
            </w:r>
            <w:r w:rsidR="00694504" w:rsidRPr="008F1C66">
              <w:rPr>
                <w:noProof/>
                <w:webHidden/>
                <w:sz w:val="22"/>
              </w:rPr>
              <w:fldChar w:fldCharType="begin"/>
            </w:r>
            <w:r w:rsidR="00694504" w:rsidRPr="008F1C66">
              <w:rPr>
                <w:noProof/>
                <w:webHidden/>
                <w:sz w:val="22"/>
              </w:rPr>
              <w:instrText xml:space="preserve"> PAGEREF _Toc104840363 \h </w:instrText>
            </w:r>
            <w:r w:rsidR="00694504" w:rsidRPr="008F1C66">
              <w:rPr>
                <w:noProof/>
                <w:webHidden/>
                <w:sz w:val="22"/>
              </w:rPr>
            </w:r>
            <w:r w:rsidR="00694504" w:rsidRPr="008F1C66">
              <w:rPr>
                <w:noProof/>
                <w:webHidden/>
                <w:sz w:val="22"/>
              </w:rPr>
              <w:fldChar w:fldCharType="separate"/>
            </w:r>
            <w:r w:rsidR="00694504" w:rsidRPr="008F1C66">
              <w:rPr>
                <w:noProof/>
                <w:webHidden/>
                <w:sz w:val="22"/>
              </w:rPr>
              <w:t>39</w:t>
            </w:r>
            <w:r w:rsidR="00694504" w:rsidRPr="008F1C66">
              <w:rPr>
                <w:noProof/>
                <w:webHidden/>
                <w:sz w:val="22"/>
              </w:rPr>
              <w:fldChar w:fldCharType="end"/>
            </w:r>
          </w:hyperlink>
        </w:p>
        <w:p w14:paraId="30F544DA" w14:textId="408FAEE1" w:rsidR="00694504" w:rsidRPr="008F1C66" w:rsidRDefault="00CF4558" w:rsidP="008F1C66">
          <w:pPr>
            <w:pStyle w:val="12"/>
            <w:spacing w:line="276" w:lineRule="auto"/>
            <w:rPr>
              <w:rFonts w:asciiTheme="minorHAnsi" w:eastAsiaTheme="minorEastAsia" w:hAnsiTheme="minorHAnsi"/>
              <w:sz w:val="22"/>
              <w:lang w:val="en-US"/>
            </w:rPr>
          </w:pPr>
          <w:hyperlink w:anchor="_Toc104840364" w:history="1">
            <w:r w:rsidR="00694504" w:rsidRPr="008F1C66">
              <w:rPr>
                <w:rStyle w:val="af9"/>
                <w:sz w:val="22"/>
              </w:rPr>
              <w:t>ГЛАВА 3. ЭМПИРИЧЕСКОЕ ИССЛЕДОВАНИЕ</w:t>
            </w:r>
            <w:r w:rsidR="00694504" w:rsidRPr="008F1C66">
              <w:rPr>
                <w:webHidden/>
                <w:sz w:val="22"/>
              </w:rPr>
              <w:tab/>
            </w:r>
            <w:r w:rsidR="00694504" w:rsidRPr="008F1C66">
              <w:rPr>
                <w:webHidden/>
                <w:sz w:val="22"/>
              </w:rPr>
              <w:fldChar w:fldCharType="begin"/>
            </w:r>
            <w:r w:rsidR="00694504" w:rsidRPr="008F1C66">
              <w:rPr>
                <w:webHidden/>
                <w:sz w:val="22"/>
              </w:rPr>
              <w:instrText xml:space="preserve"> PAGEREF _Toc104840364 \h </w:instrText>
            </w:r>
            <w:r w:rsidR="00694504" w:rsidRPr="008F1C66">
              <w:rPr>
                <w:webHidden/>
                <w:sz w:val="22"/>
              </w:rPr>
            </w:r>
            <w:r w:rsidR="00694504" w:rsidRPr="008F1C66">
              <w:rPr>
                <w:webHidden/>
                <w:sz w:val="22"/>
              </w:rPr>
              <w:fldChar w:fldCharType="separate"/>
            </w:r>
            <w:r w:rsidR="00694504" w:rsidRPr="008F1C66">
              <w:rPr>
                <w:webHidden/>
                <w:sz w:val="22"/>
              </w:rPr>
              <w:t>41</w:t>
            </w:r>
            <w:r w:rsidR="00694504" w:rsidRPr="008F1C66">
              <w:rPr>
                <w:webHidden/>
                <w:sz w:val="22"/>
              </w:rPr>
              <w:fldChar w:fldCharType="end"/>
            </w:r>
          </w:hyperlink>
        </w:p>
        <w:p w14:paraId="4C5F246E" w14:textId="2C41656D" w:rsidR="00694504" w:rsidRPr="008F1C66" w:rsidRDefault="00CF4558" w:rsidP="008F1C66">
          <w:pPr>
            <w:pStyle w:val="22"/>
            <w:spacing w:line="276" w:lineRule="auto"/>
            <w:rPr>
              <w:rFonts w:asciiTheme="minorHAnsi" w:eastAsiaTheme="minorEastAsia" w:hAnsiTheme="minorHAnsi"/>
              <w:bCs w:val="0"/>
              <w:sz w:val="22"/>
              <w:lang w:val="en-US"/>
            </w:rPr>
          </w:pPr>
          <w:hyperlink w:anchor="_Toc104840365" w:history="1">
            <w:r w:rsidR="00694504" w:rsidRPr="008F1C66">
              <w:rPr>
                <w:rStyle w:val="af9"/>
                <w:sz w:val="22"/>
              </w:rPr>
              <w:t>3.1 Методология анализа событий</w:t>
            </w:r>
            <w:r w:rsidR="00694504" w:rsidRPr="008F1C66">
              <w:rPr>
                <w:webHidden/>
                <w:sz w:val="22"/>
              </w:rPr>
              <w:tab/>
            </w:r>
            <w:r w:rsidR="00694504" w:rsidRPr="008F1C66">
              <w:rPr>
                <w:webHidden/>
                <w:sz w:val="22"/>
              </w:rPr>
              <w:fldChar w:fldCharType="begin"/>
            </w:r>
            <w:r w:rsidR="00694504" w:rsidRPr="008F1C66">
              <w:rPr>
                <w:webHidden/>
                <w:sz w:val="22"/>
              </w:rPr>
              <w:instrText xml:space="preserve"> PAGEREF _Toc104840365 \h </w:instrText>
            </w:r>
            <w:r w:rsidR="00694504" w:rsidRPr="008F1C66">
              <w:rPr>
                <w:webHidden/>
                <w:sz w:val="22"/>
              </w:rPr>
            </w:r>
            <w:r w:rsidR="00694504" w:rsidRPr="008F1C66">
              <w:rPr>
                <w:webHidden/>
                <w:sz w:val="22"/>
              </w:rPr>
              <w:fldChar w:fldCharType="separate"/>
            </w:r>
            <w:r w:rsidR="00694504" w:rsidRPr="008F1C66">
              <w:rPr>
                <w:webHidden/>
                <w:sz w:val="22"/>
              </w:rPr>
              <w:t>41</w:t>
            </w:r>
            <w:r w:rsidR="00694504" w:rsidRPr="008F1C66">
              <w:rPr>
                <w:webHidden/>
                <w:sz w:val="22"/>
              </w:rPr>
              <w:fldChar w:fldCharType="end"/>
            </w:r>
          </w:hyperlink>
        </w:p>
        <w:p w14:paraId="79056381" w14:textId="0E190ECF" w:rsidR="00694504" w:rsidRPr="008F1C66" w:rsidRDefault="00CF4558" w:rsidP="000643F9">
          <w:pPr>
            <w:pStyle w:val="22"/>
            <w:spacing w:line="192" w:lineRule="auto"/>
            <w:rPr>
              <w:rFonts w:asciiTheme="minorHAnsi" w:eastAsiaTheme="minorEastAsia" w:hAnsiTheme="minorHAnsi"/>
              <w:bCs w:val="0"/>
              <w:sz w:val="22"/>
              <w:lang w:val="en-US"/>
            </w:rPr>
          </w:pPr>
          <w:hyperlink w:anchor="_Toc104840366" w:history="1">
            <w:r w:rsidR="00694504" w:rsidRPr="008F1C66">
              <w:rPr>
                <w:rStyle w:val="af9"/>
                <w:sz w:val="22"/>
              </w:rPr>
              <w:t>3.2 Описание переменных для регрессионной модели</w:t>
            </w:r>
            <w:r w:rsidR="00694504" w:rsidRPr="008F1C66">
              <w:rPr>
                <w:webHidden/>
                <w:sz w:val="22"/>
              </w:rPr>
              <w:tab/>
            </w:r>
            <w:r w:rsidR="00694504" w:rsidRPr="008F1C66">
              <w:rPr>
                <w:webHidden/>
                <w:sz w:val="22"/>
              </w:rPr>
              <w:fldChar w:fldCharType="begin"/>
            </w:r>
            <w:r w:rsidR="00694504" w:rsidRPr="008F1C66">
              <w:rPr>
                <w:webHidden/>
                <w:sz w:val="22"/>
              </w:rPr>
              <w:instrText xml:space="preserve"> PAGEREF _Toc104840366 \h </w:instrText>
            </w:r>
            <w:r w:rsidR="00694504" w:rsidRPr="008F1C66">
              <w:rPr>
                <w:webHidden/>
                <w:sz w:val="22"/>
              </w:rPr>
            </w:r>
            <w:r w:rsidR="00694504" w:rsidRPr="008F1C66">
              <w:rPr>
                <w:webHidden/>
                <w:sz w:val="22"/>
              </w:rPr>
              <w:fldChar w:fldCharType="separate"/>
            </w:r>
            <w:r w:rsidR="00694504" w:rsidRPr="008F1C66">
              <w:rPr>
                <w:webHidden/>
                <w:sz w:val="22"/>
              </w:rPr>
              <w:t>44</w:t>
            </w:r>
            <w:r w:rsidR="00694504" w:rsidRPr="008F1C66">
              <w:rPr>
                <w:webHidden/>
                <w:sz w:val="22"/>
              </w:rPr>
              <w:fldChar w:fldCharType="end"/>
            </w:r>
          </w:hyperlink>
        </w:p>
        <w:p w14:paraId="5EC73A02" w14:textId="79E24CDD" w:rsidR="00694504" w:rsidRPr="008F1C66" w:rsidRDefault="00CF4558" w:rsidP="000643F9">
          <w:pPr>
            <w:pStyle w:val="22"/>
            <w:spacing w:line="192" w:lineRule="auto"/>
            <w:rPr>
              <w:rFonts w:asciiTheme="minorHAnsi" w:eastAsiaTheme="minorEastAsia" w:hAnsiTheme="minorHAnsi"/>
              <w:bCs w:val="0"/>
              <w:sz w:val="22"/>
              <w:lang w:val="en-US"/>
            </w:rPr>
          </w:pPr>
          <w:hyperlink w:anchor="_Toc104840367" w:history="1">
            <w:r w:rsidR="00694504" w:rsidRPr="008F1C66">
              <w:rPr>
                <w:rStyle w:val="af9"/>
                <w:sz w:val="22"/>
              </w:rPr>
              <w:t>3.3 Формирование выборки</w:t>
            </w:r>
            <w:r w:rsidR="00694504" w:rsidRPr="008F1C66">
              <w:rPr>
                <w:webHidden/>
                <w:sz w:val="22"/>
              </w:rPr>
              <w:tab/>
            </w:r>
            <w:r w:rsidR="00694504" w:rsidRPr="008F1C66">
              <w:rPr>
                <w:webHidden/>
                <w:sz w:val="22"/>
              </w:rPr>
              <w:fldChar w:fldCharType="begin"/>
            </w:r>
            <w:r w:rsidR="00694504" w:rsidRPr="008F1C66">
              <w:rPr>
                <w:webHidden/>
                <w:sz w:val="22"/>
              </w:rPr>
              <w:instrText xml:space="preserve"> PAGEREF _Toc104840367 \h </w:instrText>
            </w:r>
            <w:r w:rsidR="00694504" w:rsidRPr="008F1C66">
              <w:rPr>
                <w:webHidden/>
                <w:sz w:val="22"/>
              </w:rPr>
            </w:r>
            <w:r w:rsidR="00694504" w:rsidRPr="008F1C66">
              <w:rPr>
                <w:webHidden/>
                <w:sz w:val="22"/>
              </w:rPr>
              <w:fldChar w:fldCharType="separate"/>
            </w:r>
            <w:r w:rsidR="00694504" w:rsidRPr="008F1C66">
              <w:rPr>
                <w:webHidden/>
                <w:sz w:val="22"/>
              </w:rPr>
              <w:t>48</w:t>
            </w:r>
            <w:r w:rsidR="00694504" w:rsidRPr="008F1C66">
              <w:rPr>
                <w:webHidden/>
                <w:sz w:val="22"/>
              </w:rPr>
              <w:fldChar w:fldCharType="end"/>
            </w:r>
          </w:hyperlink>
        </w:p>
        <w:p w14:paraId="1C09392B" w14:textId="10ACA44C" w:rsidR="00694504" w:rsidRPr="008F1C66" w:rsidRDefault="00CF4558" w:rsidP="000643F9">
          <w:pPr>
            <w:pStyle w:val="22"/>
            <w:spacing w:line="192" w:lineRule="auto"/>
            <w:rPr>
              <w:rFonts w:asciiTheme="minorHAnsi" w:eastAsiaTheme="minorEastAsia" w:hAnsiTheme="minorHAnsi"/>
              <w:bCs w:val="0"/>
              <w:sz w:val="22"/>
              <w:lang w:val="en-US"/>
            </w:rPr>
          </w:pPr>
          <w:hyperlink w:anchor="_Toc104840368" w:history="1">
            <w:r w:rsidR="00694504" w:rsidRPr="008F1C66">
              <w:rPr>
                <w:rStyle w:val="af9"/>
                <w:sz w:val="22"/>
              </w:rPr>
              <w:t>3.4 Анализ описательной статистики</w:t>
            </w:r>
            <w:r w:rsidR="00694504" w:rsidRPr="008F1C66">
              <w:rPr>
                <w:webHidden/>
                <w:sz w:val="22"/>
              </w:rPr>
              <w:tab/>
            </w:r>
            <w:r w:rsidR="00694504" w:rsidRPr="008F1C66">
              <w:rPr>
                <w:webHidden/>
                <w:sz w:val="22"/>
              </w:rPr>
              <w:fldChar w:fldCharType="begin"/>
            </w:r>
            <w:r w:rsidR="00694504" w:rsidRPr="008F1C66">
              <w:rPr>
                <w:webHidden/>
                <w:sz w:val="22"/>
              </w:rPr>
              <w:instrText xml:space="preserve"> PAGEREF _Toc104840368 \h </w:instrText>
            </w:r>
            <w:r w:rsidR="00694504" w:rsidRPr="008F1C66">
              <w:rPr>
                <w:webHidden/>
                <w:sz w:val="22"/>
              </w:rPr>
            </w:r>
            <w:r w:rsidR="00694504" w:rsidRPr="008F1C66">
              <w:rPr>
                <w:webHidden/>
                <w:sz w:val="22"/>
              </w:rPr>
              <w:fldChar w:fldCharType="separate"/>
            </w:r>
            <w:r w:rsidR="00694504" w:rsidRPr="008F1C66">
              <w:rPr>
                <w:webHidden/>
                <w:sz w:val="22"/>
              </w:rPr>
              <w:t>51</w:t>
            </w:r>
            <w:r w:rsidR="00694504" w:rsidRPr="008F1C66">
              <w:rPr>
                <w:webHidden/>
                <w:sz w:val="22"/>
              </w:rPr>
              <w:fldChar w:fldCharType="end"/>
            </w:r>
          </w:hyperlink>
        </w:p>
        <w:p w14:paraId="28E2E351" w14:textId="282C1E34" w:rsidR="00694504" w:rsidRPr="008F1C66" w:rsidRDefault="00CF4558" w:rsidP="000643F9">
          <w:pPr>
            <w:pStyle w:val="22"/>
            <w:spacing w:line="192" w:lineRule="auto"/>
            <w:rPr>
              <w:rFonts w:asciiTheme="minorHAnsi" w:eastAsiaTheme="minorEastAsia" w:hAnsiTheme="minorHAnsi"/>
              <w:bCs w:val="0"/>
              <w:sz w:val="22"/>
              <w:lang w:val="en-US"/>
            </w:rPr>
          </w:pPr>
          <w:hyperlink w:anchor="_Toc104840369" w:history="1">
            <w:r w:rsidR="00694504" w:rsidRPr="008F1C66">
              <w:rPr>
                <w:rStyle w:val="af9"/>
                <w:sz w:val="22"/>
              </w:rPr>
              <w:t>3.5 Результаты исследования по методологии анализа событий</w:t>
            </w:r>
            <w:r w:rsidR="00694504" w:rsidRPr="008F1C66">
              <w:rPr>
                <w:webHidden/>
                <w:sz w:val="22"/>
              </w:rPr>
              <w:tab/>
            </w:r>
            <w:r w:rsidR="00694504" w:rsidRPr="008F1C66">
              <w:rPr>
                <w:webHidden/>
                <w:sz w:val="22"/>
              </w:rPr>
              <w:fldChar w:fldCharType="begin"/>
            </w:r>
            <w:r w:rsidR="00694504" w:rsidRPr="008F1C66">
              <w:rPr>
                <w:webHidden/>
                <w:sz w:val="22"/>
              </w:rPr>
              <w:instrText xml:space="preserve"> PAGEREF _Toc104840369 \h </w:instrText>
            </w:r>
            <w:r w:rsidR="00694504" w:rsidRPr="008F1C66">
              <w:rPr>
                <w:webHidden/>
                <w:sz w:val="22"/>
              </w:rPr>
            </w:r>
            <w:r w:rsidR="00694504" w:rsidRPr="008F1C66">
              <w:rPr>
                <w:webHidden/>
                <w:sz w:val="22"/>
              </w:rPr>
              <w:fldChar w:fldCharType="separate"/>
            </w:r>
            <w:r w:rsidR="00694504" w:rsidRPr="008F1C66">
              <w:rPr>
                <w:webHidden/>
                <w:sz w:val="22"/>
              </w:rPr>
              <w:t>54</w:t>
            </w:r>
            <w:r w:rsidR="00694504" w:rsidRPr="008F1C66">
              <w:rPr>
                <w:webHidden/>
                <w:sz w:val="22"/>
              </w:rPr>
              <w:fldChar w:fldCharType="end"/>
            </w:r>
          </w:hyperlink>
        </w:p>
        <w:p w14:paraId="233752D9" w14:textId="1329998E" w:rsidR="00694504" w:rsidRPr="008F1C66" w:rsidRDefault="00CF4558" w:rsidP="000643F9">
          <w:pPr>
            <w:pStyle w:val="32"/>
            <w:tabs>
              <w:tab w:val="right" w:leader="dot" w:pos="9204"/>
            </w:tabs>
            <w:rPr>
              <w:rFonts w:asciiTheme="minorHAnsi" w:eastAsiaTheme="minorEastAsia" w:hAnsiTheme="minorHAnsi"/>
              <w:i w:val="0"/>
              <w:noProof/>
              <w:sz w:val="22"/>
              <w:lang w:val="en-US"/>
            </w:rPr>
          </w:pPr>
          <w:hyperlink w:anchor="_Toc104840370" w:history="1">
            <w:r w:rsidR="00694504" w:rsidRPr="008F1C66">
              <w:rPr>
                <w:rStyle w:val="af9"/>
                <w:noProof/>
                <w:sz w:val="22"/>
              </w:rPr>
              <w:t>3.5.1 Результаты для российского рынка, интерпретация и отраслевой анализ</w:t>
            </w:r>
            <w:r w:rsidR="00694504" w:rsidRPr="008F1C66">
              <w:rPr>
                <w:noProof/>
                <w:webHidden/>
                <w:sz w:val="22"/>
              </w:rPr>
              <w:tab/>
            </w:r>
            <w:r w:rsidR="00694504" w:rsidRPr="008F1C66">
              <w:rPr>
                <w:noProof/>
                <w:webHidden/>
                <w:sz w:val="22"/>
              </w:rPr>
              <w:fldChar w:fldCharType="begin"/>
            </w:r>
            <w:r w:rsidR="00694504" w:rsidRPr="008F1C66">
              <w:rPr>
                <w:noProof/>
                <w:webHidden/>
                <w:sz w:val="22"/>
              </w:rPr>
              <w:instrText xml:space="preserve"> PAGEREF _Toc104840370 \h </w:instrText>
            </w:r>
            <w:r w:rsidR="00694504" w:rsidRPr="008F1C66">
              <w:rPr>
                <w:noProof/>
                <w:webHidden/>
                <w:sz w:val="22"/>
              </w:rPr>
            </w:r>
            <w:r w:rsidR="00694504" w:rsidRPr="008F1C66">
              <w:rPr>
                <w:noProof/>
                <w:webHidden/>
                <w:sz w:val="22"/>
              </w:rPr>
              <w:fldChar w:fldCharType="separate"/>
            </w:r>
            <w:r w:rsidR="00694504" w:rsidRPr="008F1C66">
              <w:rPr>
                <w:noProof/>
                <w:webHidden/>
                <w:sz w:val="22"/>
              </w:rPr>
              <w:t>55</w:t>
            </w:r>
            <w:r w:rsidR="00694504" w:rsidRPr="008F1C66">
              <w:rPr>
                <w:noProof/>
                <w:webHidden/>
                <w:sz w:val="22"/>
              </w:rPr>
              <w:fldChar w:fldCharType="end"/>
            </w:r>
          </w:hyperlink>
        </w:p>
        <w:p w14:paraId="1C72200F" w14:textId="673CC573" w:rsidR="00694504" w:rsidRPr="008F1C66" w:rsidRDefault="00CF4558" w:rsidP="000643F9">
          <w:pPr>
            <w:pStyle w:val="32"/>
            <w:tabs>
              <w:tab w:val="right" w:leader="dot" w:pos="9204"/>
            </w:tabs>
            <w:rPr>
              <w:rFonts w:asciiTheme="minorHAnsi" w:eastAsiaTheme="minorEastAsia" w:hAnsiTheme="minorHAnsi"/>
              <w:i w:val="0"/>
              <w:noProof/>
              <w:sz w:val="22"/>
              <w:lang w:val="en-US"/>
            </w:rPr>
          </w:pPr>
          <w:hyperlink w:anchor="_Toc104840371" w:history="1">
            <w:r w:rsidR="00694504" w:rsidRPr="008F1C66">
              <w:rPr>
                <w:rStyle w:val="af9"/>
                <w:noProof/>
                <w:sz w:val="22"/>
              </w:rPr>
              <w:t>3.5.2 Результаты для китайского рынка, интерпретация и отраслевой анализ</w:t>
            </w:r>
            <w:r w:rsidR="00694504" w:rsidRPr="008F1C66">
              <w:rPr>
                <w:noProof/>
                <w:webHidden/>
                <w:sz w:val="22"/>
              </w:rPr>
              <w:tab/>
            </w:r>
            <w:r w:rsidR="00694504" w:rsidRPr="008F1C66">
              <w:rPr>
                <w:noProof/>
                <w:webHidden/>
                <w:sz w:val="22"/>
              </w:rPr>
              <w:fldChar w:fldCharType="begin"/>
            </w:r>
            <w:r w:rsidR="00694504" w:rsidRPr="008F1C66">
              <w:rPr>
                <w:noProof/>
                <w:webHidden/>
                <w:sz w:val="22"/>
              </w:rPr>
              <w:instrText xml:space="preserve"> PAGEREF _Toc104840371 \h </w:instrText>
            </w:r>
            <w:r w:rsidR="00694504" w:rsidRPr="008F1C66">
              <w:rPr>
                <w:noProof/>
                <w:webHidden/>
                <w:sz w:val="22"/>
              </w:rPr>
            </w:r>
            <w:r w:rsidR="00694504" w:rsidRPr="008F1C66">
              <w:rPr>
                <w:noProof/>
                <w:webHidden/>
                <w:sz w:val="22"/>
              </w:rPr>
              <w:fldChar w:fldCharType="separate"/>
            </w:r>
            <w:r w:rsidR="00694504" w:rsidRPr="008F1C66">
              <w:rPr>
                <w:noProof/>
                <w:webHidden/>
                <w:sz w:val="22"/>
              </w:rPr>
              <w:t>61</w:t>
            </w:r>
            <w:r w:rsidR="00694504" w:rsidRPr="008F1C66">
              <w:rPr>
                <w:noProof/>
                <w:webHidden/>
                <w:sz w:val="22"/>
              </w:rPr>
              <w:fldChar w:fldCharType="end"/>
            </w:r>
          </w:hyperlink>
        </w:p>
        <w:p w14:paraId="61448F07" w14:textId="57582951" w:rsidR="00694504" w:rsidRPr="008F1C66" w:rsidRDefault="00CF4558" w:rsidP="000643F9">
          <w:pPr>
            <w:pStyle w:val="22"/>
            <w:spacing w:line="192" w:lineRule="auto"/>
            <w:rPr>
              <w:rFonts w:asciiTheme="minorHAnsi" w:eastAsiaTheme="minorEastAsia" w:hAnsiTheme="minorHAnsi"/>
              <w:bCs w:val="0"/>
              <w:sz w:val="22"/>
              <w:lang w:val="en-US"/>
            </w:rPr>
          </w:pPr>
          <w:hyperlink w:anchor="_Toc104840372" w:history="1">
            <w:r w:rsidR="00694504" w:rsidRPr="008F1C66">
              <w:rPr>
                <w:rStyle w:val="af9"/>
                <w:sz w:val="22"/>
              </w:rPr>
              <w:t>3.6 Результаты регрессионного анализа</w:t>
            </w:r>
            <w:r w:rsidR="00694504" w:rsidRPr="008F1C66">
              <w:rPr>
                <w:webHidden/>
                <w:sz w:val="22"/>
              </w:rPr>
              <w:tab/>
            </w:r>
            <w:r w:rsidR="00694504" w:rsidRPr="008F1C66">
              <w:rPr>
                <w:webHidden/>
                <w:sz w:val="22"/>
              </w:rPr>
              <w:fldChar w:fldCharType="begin"/>
            </w:r>
            <w:r w:rsidR="00694504" w:rsidRPr="008F1C66">
              <w:rPr>
                <w:webHidden/>
                <w:sz w:val="22"/>
              </w:rPr>
              <w:instrText xml:space="preserve"> PAGEREF _Toc104840372 \h </w:instrText>
            </w:r>
            <w:r w:rsidR="00694504" w:rsidRPr="008F1C66">
              <w:rPr>
                <w:webHidden/>
                <w:sz w:val="22"/>
              </w:rPr>
            </w:r>
            <w:r w:rsidR="00694504" w:rsidRPr="008F1C66">
              <w:rPr>
                <w:webHidden/>
                <w:sz w:val="22"/>
              </w:rPr>
              <w:fldChar w:fldCharType="separate"/>
            </w:r>
            <w:r w:rsidR="00694504" w:rsidRPr="008F1C66">
              <w:rPr>
                <w:webHidden/>
                <w:sz w:val="22"/>
              </w:rPr>
              <w:t>67</w:t>
            </w:r>
            <w:r w:rsidR="00694504" w:rsidRPr="008F1C66">
              <w:rPr>
                <w:webHidden/>
                <w:sz w:val="22"/>
              </w:rPr>
              <w:fldChar w:fldCharType="end"/>
            </w:r>
          </w:hyperlink>
        </w:p>
        <w:p w14:paraId="1E2FE67F" w14:textId="012A79A1" w:rsidR="00694504" w:rsidRPr="008F1C66" w:rsidRDefault="00CF4558" w:rsidP="000643F9">
          <w:pPr>
            <w:pStyle w:val="12"/>
            <w:rPr>
              <w:rFonts w:asciiTheme="minorHAnsi" w:eastAsiaTheme="minorEastAsia" w:hAnsiTheme="minorHAnsi"/>
              <w:sz w:val="22"/>
              <w:lang w:val="en-US"/>
            </w:rPr>
          </w:pPr>
          <w:hyperlink w:anchor="_Toc104840373" w:history="1">
            <w:r w:rsidR="00694504" w:rsidRPr="008F1C66">
              <w:rPr>
                <w:rStyle w:val="af9"/>
                <w:sz w:val="22"/>
              </w:rPr>
              <w:t>ЗАКЛЮЧЕНИЕ</w:t>
            </w:r>
            <w:r w:rsidR="00694504" w:rsidRPr="008F1C66">
              <w:rPr>
                <w:webHidden/>
                <w:sz w:val="22"/>
              </w:rPr>
              <w:tab/>
            </w:r>
            <w:r w:rsidR="00694504" w:rsidRPr="008F1C66">
              <w:rPr>
                <w:webHidden/>
                <w:sz w:val="22"/>
              </w:rPr>
              <w:fldChar w:fldCharType="begin"/>
            </w:r>
            <w:r w:rsidR="00694504" w:rsidRPr="008F1C66">
              <w:rPr>
                <w:webHidden/>
                <w:sz w:val="22"/>
              </w:rPr>
              <w:instrText xml:space="preserve"> PAGEREF _Toc104840373 \h </w:instrText>
            </w:r>
            <w:r w:rsidR="00694504" w:rsidRPr="008F1C66">
              <w:rPr>
                <w:webHidden/>
                <w:sz w:val="22"/>
              </w:rPr>
            </w:r>
            <w:r w:rsidR="00694504" w:rsidRPr="008F1C66">
              <w:rPr>
                <w:webHidden/>
                <w:sz w:val="22"/>
              </w:rPr>
              <w:fldChar w:fldCharType="separate"/>
            </w:r>
            <w:r w:rsidR="00694504" w:rsidRPr="008F1C66">
              <w:rPr>
                <w:webHidden/>
                <w:sz w:val="22"/>
              </w:rPr>
              <w:t>77</w:t>
            </w:r>
            <w:r w:rsidR="00694504" w:rsidRPr="008F1C66">
              <w:rPr>
                <w:webHidden/>
                <w:sz w:val="22"/>
              </w:rPr>
              <w:fldChar w:fldCharType="end"/>
            </w:r>
          </w:hyperlink>
        </w:p>
        <w:p w14:paraId="2EAA5FA5" w14:textId="33CF8BC1" w:rsidR="00694504" w:rsidRPr="008F1C66" w:rsidRDefault="00CF4558" w:rsidP="000643F9">
          <w:pPr>
            <w:pStyle w:val="12"/>
            <w:rPr>
              <w:rFonts w:asciiTheme="minorHAnsi" w:eastAsiaTheme="minorEastAsia" w:hAnsiTheme="minorHAnsi"/>
              <w:sz w:val="22"/>
              <w:lang w:val="en-US"/>
            </w:rPr>
          </w:pPr>
          <w:hyperlink w:anchor="_Toc104840374" w:history="1">
            <w:r w:rsidR="00694504" w:rsidRPr="008F1C66">
              <w:rPr>
                <w:rStyle w:val="af9"/>
                <w:sz w:val="22"/>
              </w:rPr>
              <w:t>Список литературы</w:t>
            </w:r>
            <w:r w:rsidR="00694504" w:rsidRPr="008F1C66">
              <w:rPr>
                <w:webHidden/>
                <w:sz w:val="22"/>
              </w:rPr>
              <w:tab/>
            </w:r>
            <w:r w:rsidR="00694504" w:rsidRPr="008F1C66">
              <w:rPr>
                <w:webHidden/>
                <w:sz w:val="22"/>
              </w:rPr>
              <w:fldChar w:fldCharType="begin"/>
            </w:r>
            <w:r w:rsidR="00694504" w:rsidRPr="008F1C66">
              <w:rPr>
                <w:webHidden/>
                <w:sz w:val="22"/>
              </w:rPr>
              <w:instrText xml:space="preserve"> PAGEREF _Toc104840374 \h </w:instrText>
            </w:r>
            <w:r w:rsidR="00694504" w:rsidRPr="008F1C66">
              <w:rPr>
                <w:webHidden/>
                <w:sz w:val="22"/>
              </w:rPr>
            </w:r>
            <w:r w:rsidR="00694504" w:rsidRPr="008F1C66">
              <w:rPr>
                <w:webHidden/>
                <w:sz w:val="22"/>
              </w:rPr>
              <w:fldChar w:fldCharType="separate"/>
            </w:r>
            <w:r w:rsidR="00694504" w:rsidRPr="008F1C66">
              <w:rPr>
                <w:webHidden/>
                <w:sz w:val="22"/>
              </w:rPr>
              <w:t>81</w:t>
            </w:r>
            <w:r w:rsidR="00694504" w:rsidRPr="008F1C66">
              <w:rPr>
                <w:webHidden/>
                <w:sz w:val="22"/>
              </w:rPr>
              <w:fldChar w:fldCharType="end"/>
            </w:r>
          </w:hyperlink>
        </w:p>
        <w:p w14:paraId="5923F7AF" w14:textId="28FCC153" w:rsidR="00694504" w:rsidRPr="008F1C66" w:rsidRDefault="00CF4558" w:rsidP="000643F9">
          <w:pPr>
            <w:pStyle w:val="12"/>
            <w:rPr>
              <w:rFonts w:asciiTheme="minorHAnsi" w:eastAsiaTheme="minorEastAsia" w:hAnsiTheme="minorHAnsi"/>
              <w:sz w:val="22"/>
              <w:lang w:val="en-US"/>
            </w:rPr>
          </w:pPr>
          <w:hyperlink w:anchor="_Toc104840375" w:history="1">
            <w:r w:rsidR="00694504" w:rsidRPr="008F1C66">
              <w:rPr>
                <w:rStyle w:val="af9"/>
                <w:sz w:val="22"/>
                <w:shd w:val="clear" w:color="auto" w:fill="FFFFFF"/>
              </w:rPr>
              <w:t>ПРИЛОЖЕНИЯ</w:t>
            </w:r>
            <w:r w:rsidR="00694504" w:rsidRPr="008F1C66">
              <w:rPr>
                <w:webHidden/>
                <w:sz w:val="22"/>
              </w:rPr>
              <w:tab/>
            </w:r>
            <w:r w:rsidR="00694504" w:rsidRPr="008F1C66">
              <w:rPr>
                <w:webHidden/>
                <w:sz w:val="22"/>
              </w:rPr>
              <w:fldChar w:fldCharType="begin"/>
            </w:r>
            <w:r w:rsidR="00694504" w:rsidRPr="008F1C66">
              <w:rPr>
                <w:webHidden/>
                <w:sz w:val="22"/>
              </w:rPr>
              <w:instrText xml:space="preserve"> PAGEREF _Toc104840375 \h </w:instrText>
            </w:r>
            <w:r w:rsidR="00694504" w:rsidRPr="008F1C66">
              <w:rPr>
                <w:webHidden/>
                <w:sz w:val="22"/>
              </w:rPr>
            </w:r>
            <w:r w:rsidR="00694504" w:rsidRPr="008F1C66">
              <w:rPr>
                <w:webHidden/>
                <w:sz w:val="22"/>
              </w:rPr>
              <w:fldChar w:fldCharType="separate"/>
            </w:r>
            <w:r w:rsidR="00694504" w:rsidRPr="008F1C66">
              <w:rPr>
                <w:webHidden/>
                <w:sz w:val="22"/>
              </w:rPr>
              <w:t>86</w:t>
            </w:r>
            <w:r w:rsidR="00694504" w:rsidRPr="008F1C66">
              <w:rPr>
                <w:webHidden/>
                <w:sz w:val="22"/>
              </w:rPr>
              <w:fldChar w:fldCharType="end"/>
            </w:r>
          </w:hyperlink>
        </w:p>
        <w:p w14:paraId="2FE47059" w14:textId="53E1DDFF" w:rsidR="009F5C07" w:rsidRPr="006C4522" w:rsidRDefault="009F5C07" w:rsidP="000643F9">
          <w:pPr>
            <w:spacing w:line="240" w:lineRule="auto"/>
            <w:ind w:firstLine="0"/>
            <w:rPr>
              <w:sz w:val="22"/>
            </w:rPr>
          </w:pPr>
          <w:r w:rsidRPr="008F1C66">
            <w:rPr>
              <w:b/>
              <w:bCs/>
              <w:sz w:val="22"/>
            </w:rPr>
            <w:fldChar w:fldCharType="end"/>
          </w:r>
        </w:p>
      </w:sdtContent>
    </w:sdt>
    <w:p w14:paraId="46664F98" w14:textId="35D0403F" w:rsidR="00E40EFC" w:rsidRPr="00B92637" w:rsidRDefault="00E40EFC" w:rsidP="00BF66B6">
      <w:pPr>
        <w:pStyle w:val="1"/>
      </w:pPr>
      <w:bookmarkStart w:id="2" w:name="_Toc104840343"/>
      <w:r w:rsidRPr="00B92637">
        <w:rPr>
          <w:spacing w:val="1"/>
          <w:w w:val="99"/>
        </w:rPr>
        <w:t>З</w:t>
      </w:r>
      <w:r w:rsidRPr="00B92637">
        <w:rPr>
          <w:spacing w:val="-1"/>
          <w:w w:val="99"/>
        </w:rPr>
        <w:t>а</w:t>
      </w:r>
      <w:r w:rsidRPr="00B92637">
        <w:rPr>
          <w:w w:val="99"/>
        </w:rPr>
        <w:t>я</w:t>
      </w:r>
      <w:r w:rsidRPr="00B92637">
        <w:rPr>
          <w:spacing w:val="2"/>
          <w:w w:val="99"/>
        </w:rPr>
        <w:t>в</w:t>
      </w:r>
      <w:r w:rsidRPr="00B92637">
        <w:rPr>
          <w:w w:val="99"/>
        </w:rPr>
        <w:t>л</w:t>
      </w:r>
      <w:r w:rsidRPr="00B92637">
        <w:rPr>
          <w:spacing w:val="-1"/>
          <w:w w:val="99"/>
        </w:rPr>
        <w:t>е</w:t>
      </w:r>
      <w:r w:rsidRPr="00B92637">
        <w:rPr>
          <w:spacing w:val="1"/>
          <w:w w:val="99"/>
        </w:rPr>
        <w:t>ни</w:t>
      </w:r>
      <w:r w:rsidRPr="00B92637">
        <w:rPr>
          <w:w w:val="99"/>
        </w:rPr>
        <w:t xml:space="preserve">е </w:t>
      </w:r>
      <w:r w:rsidRPr="00B92637">
        <w:t>о</w:t>
      </w:r>
      <w:r w:rsidRPr="00B92637">
        <w:rPr>
          <w:spacing w:val="1"/>
        </w:rPr>
        <w:t xml:space="preserve"> </w:t>
      </w:r>
      <w:r w:rsidRPr="00B92637">
        <w:rPr>
          <w:spacing w:val="-1"/>
        </w:rPr>
        <w:t>са</w:t>
      </w:r>
      <w:r w:rsidRPr="00B92637">
        <w:rPr>
          <w:spacing w:val="2"/>
        </w:rPr>
        <w:t>м</w:t>
      </w:r>
      <w:r w:rsidRPr="00B92637">
        <w:rPr>
          <w:spacing w:val="5"/>
        </w:rPr>
        <w:t>о</w:t>
      </w:r>
      <w:r w:rsidRPr="00B92637">
        <w:rPr>
          <w:spacing w:val="-1"/>
        </w:rPr>
        <w:t>с</w:t>
      </w:r>
      <w:r w:rsidRPr="00B92637">
        <w:rPr>
          <w:spacing w:val="-4"/>
        </w:rPr>
        <w:t>т</w:t>
      </w:r>
      <w:r w:rsidRPr="00B92637">
        <w:rPr>
          <w:spacing w:val="5"/>
        </w:rPr>
        <w:t>о</w:t>
      </w:r>
      <w:r w:rsidRPr="00B92637">
        <w:rPr>
          <w:spacing w:val="-5"/>
        </w:rPr>
        <w:t>я</w:t>
      </w:r>
      <w:r w:rsidRPr="00B92637">
        <w:rPr>
          <w:spacing w:val="1"/>
        </w:rPr>
        <w:t>т</w:t>
      </w:r>
      <w:r w:rsidRPr="00B92637">
        <w:rPr>
          <w:spacing w:val="-1"/>
        </w:rPr>
        <w:t>е</w:t>
      </w:r>
      <w:r w:rsidRPr="00B92637">
        <w:t>л</w:t>
      </w:r>
      <w:r w:rsidRPr="00B92637">
        <w:rPr>
          <w:spacing w:val="1"/>
        </w:rPr>
        <w:t>ь</w:t>
      </w:r>
      <w:r w:rsidRPr="00B92637">
        <w:rPr>
          <w:spacing w:val="-3"/>
        </w:rPr>
        <w:t>н</w:t>
      </w:r>
      <w:r w:rsidRPr="00B92637">
        <w:rPr>
          <w:spacing w:val="5"/>
        </w:rPr>
        <w:t>о</w:t>
      </w:r>
      <w:r w:rsidRPr="00B92637">
        <w:t>м</w:t>
      </w:r>
      <w:r w:rsidRPr="00B92637">
        <w:rPr>
          <w:spacing w:val="-20"/>
        </w:rPr>
        <w:t xml:space="preserve"> </w:t>
      </w:r>
      <w:r w:rsidRPr="00B92637">
        <w:rPr>
          <w:spacing w:val="-3"/>
        </w:rPr>
        <w:t>в</w:t>
      </w:r>
      <w:r w:rsidRPr="00B92637">
        <w:rPr>
          <w:spacing w:val="2"/>
        </w:rPr>
        <w:t>ы</w:t>
      </w:r>
      <w:r w:rsidRPr="00B92637">
        <w:rPr>
          <w:spacing w:val="-3"/>
        </w:rPr>
        <w:t>п</w:t>
      </w:r>
      <w:r w:rsidRPr="00B92637">
        <w:rPr>
          <w:spacing w:val="5"/>
        </w:rPr>
        <w:t>о</w:t>
      </w:r>
      <w:r w:rsidRPr="00B92637">
        <w:t>л</w:t>
      </w:r>
      <w:r w:rsidRPr="00B92637">
        <w:rPr>
          <w:spacing w:val="1"/>
        </w:rPr>
        <w:t>н</w:t>
      </w:r>
      <w:r w:rsidRPr="00B92637">
        <w:rPr>
          <w:spacing w:val="-1"/>
        </w:rPr>
        <w:t>е</w:t>
      </w:r>
      <w:r w:rsidRPr="00B92637">
        <w:rPr>
          <w:spacing w:val="1"/>
        </w:rPr>
        <w:t>н</w:t>
      </w:r>
      <w:r w:rsidRPr="00B92637">
        <w:rPr>
          <w:spacing w:val="-3"/>
        </w:rPr>
        <w:t>и</w:t>
      </w:r>
      <w:r w:rsidRPr="00B92637">
        <w:t>и</w:t>
      </w:r>
      <w:r w:rsidRPr="00B92637">
        <w:rPr>
          <w:spacing w:val="-10"/>
        </w:rPr>
        <w:t xml:space="preserve"> </w:t>
      </w:r>
      <w:r w:rsidRPr="00B92637">
        <w:rPr>
          <w:spacing w:val="-1"/>
        </w:rPr>
        <w:t>к</w:t>
      </w:r>
      <w:r w:rsidRPr="00B92637">
        <w:rPr>
          <w:spacing w:val="-9"/>
        </w:rPr>
        <w:t>у</w:t>
      </w:r>
      <w:r w:rsidRPr="00B92637">
        <w:t>р</w:t>
      </w:r>
      <w:r w:rsidRPr="00B92637">
        <w:rPr>
          <w:spacing w:val="-1"/>
        </w:rPr>
        <w:t>с</w:t>
      </w:r>
      <w:r w:rsidRPr="00B92637">
        <w:rPr>
          <w:spacing w:val="5"/>
        </w:rPr>
        <w:t>о</w:t>
      </w:r>
      <w:r w:rsidRPr="00B92637">
        <w:rPr>
          <w:spacing w:val="2"/>
        </w:rPr>
        <w:t>в</w:t>
      </w:r>
      <w:r w:rsidRPr="00B92637">
        <w:rPr>
          <w:spacing w:val="5"/>
        </w:rPr>
        <w:t>о</w:t>
      </w:r>
      <w:r w:rsidRPr="00B92637">
        <w:t>й</w:t>
      </w:r>
      <w:r w:rsidRPr="00B92637">
        <w:rPr>
          <w:spacing w:val="-11"/>
        </w:rPr>
        <w:t xml:space="preserve"> </w:t>
      </w:r>
      <w:r w:rsidRPr="00B92637">
        <w:rPr>
          <w:w w:val="99"/>
        </w:rPr>
        <w:t>р</w:t>
      </w:r>
      <w:r w:rsidRPr="00B92637">
        <w:rPr>
          <w:spacing w:val="-1"/>
          <w:w w:val="99"/>
        </w:rPr>
        <w:t>а</w:t>
      </w:r>
      <w:r w:rsidRPr="00B92637">
        <w:rPr>
          <w:spacing w:val="-2"/>
          <w:w w:val="99"/>
        </w:rPr>
        <w:t>б</w:t>
      </w:r>
      <w:r w:rsidRPr="00B92637">
        <w:rPr>
          <w:spacing w:val="5"/>
          <w:w w:val="99"/>
        </w:rPr>
        <w:t>о</w:t>
      </w:r>
      <w:r w:rsidRPr="00B92637">
        <w:rPr>
          <w:spacing w:val="-4"/>
          <w:w w:val="99"/>
        </w:rPr>
        <w:t>т</w:t>
      </w:r>
      <w:r w:rsidRPr="00B92637">
        <w:rPr>
          <w:w w:val="99"/>
        </w:rPr>
        <w:t>ы</w:t>
      </w:r>
      <w:bookmarkEnd w:id="2"/>
    </w:p>
    <w:p w14:paraId="5E085BA0" w14:textId="77777777" w:rsidR="00E40EFC" w:rsidRPr="00B92637" w:rsidRDefault="00E40EFC" w:rsidP="00E40EFC">
      <w:pPr>
        <w:spacing w:before="29"/>
        <w:ind w:right="-7"/>
        <w:jc w:val="center"/>
      </w:pPr>
    </w:p>
    <w:p w14:paraId="01AFE810" w14:textId="57810F39" w:rsidR="00E40EFC" w:rsidRPr="009217DB" w:rsidRDefault="00E40EFC" w:rsidP="00E40EFC">
      <w:pPr>
        <w:ind w:firstLine="708"/>
      </w:pPr>
      <w:r w:rsidRPr="00B92637">
        <w:t xml:space="preserve">Я, </w:t>
      </w:r>
      <w:r>
        <w:t>Попова</w:t>
      </w:r>
      <w:r w:rsidRPr="00B92637">
        <w:t xml:space="preserve"> </w:t>
      </w:r>
      <w:r>
        <w:t>Милана</w:t>
      </w:r>
      <w:r w:rsidRPr="00B92637">
        <w:t xml:space="preserve"> </w:t>
      </w:r>
      <w:r>
        <w:t>Олеговна</w:t>
      </w:r>
      <w:r w:rsidRPr="00B92637">
        <w:t xml:space="preserve">, студентка </w:t>
      </w:r>
      <w:r>
        <w:t>4</w:t>
      </w:r>
      <w:r w:rsidRPr="00B92637">
        <w:t xml:space="preserve"> курса направления 080200 «Менеджмент» (профиль подготовки – Финансовый менеджмент), заявляю, что в </w:t>
      </w:r>
      <w:r>
        <w:t>выпускнй квалификационной</w:t>
      </w:r>
      <w:r w:rsidRPr="00B92637">
        <w:t xml:space="preserve"> работе на тему «</w:t>
      </w:r>
      <w:r w:rsidRPr="009217DB">
        <w:t>Реакция фондового рынка на дивидендные «сюрпризы»: анализ российского и китайского рынка</w:t>
      </w:r>
      <w:r w:rsidRPr="00B92637">
        <w:t>», представленной в службу обеспечения программ бакалавриата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14:paraId="5466669B" w14:textId="3081187F" w:rsidR="00E40EFC" w:rsidRPr="00B92637" w:rsidRDefault="00E40EFC" w:rsidP="00E40EFC">
      <w:pPr>
        <w:ind w:firstLine="708"/>
      </w:pPr>
      <w:r w:rsidRPr="00B92637">
        <w:t xml:space="preserve">Мне известно содержание п. 6.3 Правил обучения по основным образовательным программам высшего и среднего профессионального образования в СПбГУ о том, что «Требования к выполнению </w:t>
      </w:r>
      <w:r w:rsidR="00EC20D3">
        <w:t xml:space="preserve">выпускной квалификационной </w:t>
      </w:r>
      <w:r w:rsidRPr="00B92637">
        <w:t>курсовой работы устанавливаются рабочей программой учебных занятий», п. 3.1.4  Рабочей программы учебной дисциплины «</w:t>
      </w:r>
      <w:r w:rsidR="00EC20D3">
        <w:t>Выпускная квалификационная</w:t>
      </w:r>
      <w:r w:rsidRPr="00B92637">
        <w:t xml:space="preserve"> работа по менеджменту» о том, что «Обнаружение в </w:t>
      </w:r>
      <w:r w:rsidR="00EC20D3">
        <w:t>В</w:t>
      </w:r>
      <w:r w:rsidRPr="00B92637">
        <w:t xml:space="preserve">КР студента плагиата (прямое или контекстуальное заимствование текста из печатных и электронных источников, а также и защищенных ранее выпускных квалификационных работ, кандидатских и докторских диссертаций без соответствующих ссылок) является основанием для выставления комиссией по защите </w:t>
      </w:r>
      <w:r w:rsidR="00EC20D3">
        <w:t>выпускных квалификационных</w:t>
      </w:r>
      <w:r w:rsidRPr="00B92637">
        <w:t xml:space="preserve"> работ оценки «незачтено (F)»,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777B3C5F" w14:textId="77777777" w:rsidR="00E40EFC" w:rsidRPr="00B92637" w:rsidRDefault="00E40EFC" w:rsidP="00E40EFC">
      <w:pPr>
        <w:ind w:firstLine="708"/>
      </w:pPr>
    </w:p>
    <w:p w14:paraId="764F1968" w14:textId="77777777" w:rsidR="00BF66B6" w:rsidRPr="00B92637" w:rsidRDefault="00BF66B6" w:rsidP="00E40EFC">
      <w:pPr>
        <w:ind w:firstLine="708"/>
      </w:pPr>
    </w:p>
    <w:p w14:paraId="0DC9A8D1" w14:textId="04CB7870" w:rsidR="00E40EFC" w:rsidRPr="00B92637" w:rsidRDefault="00BF66B6" w:rsidP="00BF66B6">
      <w:pPr>
        <w:ind w:firstLine="7513"/>
      </w:pPr>
      <w:r>
        <w:rPr>
          <w:noProof/>
        </w:rPr>
        <w:drawing>
          <wp:inline distT="0" distB="0" distL="0" distR="0" wp14:anchorId="2341498D" wp14:editId="3E380B94">
            <wp:extent cx="628650" cy="444500"/>
            <wp:effectExtent l="0" t="0" r="0" b="0"/>
            <wp:docPr id="21" name="Picture 1" descr="Изображение выглядит как членистоногое&#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21" name="Picture 1" descr="Изображение выглядит как членистоногое&#10;&#10;Автоматически созданное описание"/>
                    <pic:cNvPicPr/>
                  </pic:nvPicPr>
                  <pic:blipFill rotWithShape="1">
                    <a:blip r:embed="rId8" cstate="print">
                      <a:biLevel thresh="75000"/>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l="14381" t="10751" r="13783" b="8657"/>
                    <a:stretch/>
                  </pic:blipFill>
                  <pic:spPr bwMode="auto">
                    <a:xfrm>
                      <a:off x="0" y="0"/>
                      <a:ext cx="628650" cy="444500"/>
                    </a:xfrm>
                    <a:prstGeom prst="rect">
                      <a:avLst/>
                    </a:prstGeom>
                    <a:noFill/>
                    <a:ln>
                      <a:noFill/>
                    </a:ln>
                    <a:extLst>
                      <a:ext uri="{53640926-AAD7-44D8-BBD7-CCE9431645EC}">
                        <a14:shadowObscured xmlns:a14="http://schemas.microsoft.com/office/drawing/2010/main"/>
                      </a:ext>
                    </a:extLst>
                  </pic:spPr>
                </pic:pic>
              </a:graphicData>
            </a:graphic>
          </wp:inline>
        </w:drawing>
      </w:r>
      <w:r w:rsidR="00E40EFC" w:rsidRPr="00B92637">
        <w:t xml:space="preserve"> </w:t>
      </w:r>
    </w:p>
    <w:p w14:paraId="0C5E199E" w14:textId="027122DA" w:rsidR="00E40EFC" w:rsidRPr="00B92637" w:rsidRDefault="00BF66B6" w:rsidP="00BF66B6">
      <w:pPr>
        <w:ind w:firstLine="7513"/>
      </w:pPr>
      <w:r>
        <w:t xml:space="preserve">29.04.2022  </w:t>
      </w:r>
      <w:r w:rsidR="00E40EFC" w:rsidRPr="00B92637">
        <w:t xml:space="preserve"> </w:t>
      </w:r>
    </w:p>
    <w:p w14:paraId="11098503" w14:textId="77777777" w:rsidR="00E40EFC" w:rsidRPr="00B92637" w:rsidRDefault="00E40EFC" w:rsidP="00E40EFC">
      <w:pPr>
        <w:rPr>
          <w:rFonts w:eastAsiaTheme="majorEastAsia"/>
          <w:sz w:val="32"/>
          <w:szCs w:val="32"/>
          <w:u w:val="single"/>
        </w:rPr>
      </w:pPr>
      <w:r w:rsidRPr="00B92637">
        <w:rPr>
          <w:u w:val="single"/>
        </w:rPr>
        <w:br w:type="page"/>
      </w:r>
    </w:p>
    <w:p w14:paraId="60B53950" w14:textId="747DBCC0" w:rsidR="00D573AB" w:rsidRDefault="00D573AB" w:rsidP="00D573AB">
      <w:pPr>
        <w:pStyle w:val="1"/>
      </w:pPr>
      <w:bookmarkStart w:id="3" w:name="_Toc104840344"/>
      <w:r w:rsidRPr="00D573AB">
        <w:t>ВВЕДЕНИЕ</w:t>
      </w:r>
      <w:bookmarkEnd w:id="3"/>
    </w:p>
    <w:p w14:paraId="736C4987" w14:textId="1C4DB5E8" w:rsidR="00D573AB" w:rsidRDefault="00D573AB" w:rsidP="00D573AB"/>
    <w:p w14:paraId="09AE21EA" w14:textId="44EA0D44" w:rsidR="009D1A35" w:rsidRDefault="000F570E" w:rsidP="001757A7">
      <w:r>
        <w:t>Проблема ценовой реакции рынка на объявления о дивидендах уже много лет является предметом многих исследований в области финансов. С одной стороны, в условиях ассиметричности информации между инвесторами и инсайдерами, дивиденды могут служить сигналом о текущих или будущих денежных потоках компании (</w:t>
      </w:r>
      <w:r>
        <w:rPr>
          <w:lang w:val="en-US"/>
        </w:rPr>
        <w:t>Miller</w:t>
      </w:r>
      <w:r w:rsidRPr="009217DB">
        <w:t xml:space="preserve">, </w:t>
      </w:r>
      <w:r>
        <w:rPr>
          <w:lang w:val="en-US"/>
        </w:rPr>
        <w:t>Rock</w:t>
      </w:r>
      <w:r w:rsidRPr="009217DB">
        <w:t xml:space="preserve">, 1985). </w:t>
      </w:r>
      <w:r>
        <w:t>Кроме того, они могут стать инструментом</w:t>
      </w:r>
      <w:r w:rsidR="005D708B">
        <w:t xml:space="preserve"> сглаживания </w:t>
      </w:r>
      <w:r>
        <w:t>агентского</w:t>
      </w:r>
      <w:r w:rsidR="005D708B">
        <w:t xml:space="preserve"> конфликта: выплаты дивидендов ограничивают денежный поток в руках менедж</w:t>
      </w:r>
      <w:r w:rsidR="0069212C">
        <w:t>е</w:t>
      </w:r>
      <w:r w:rsidR="005D708B">
        <w:t xml:space="preserve">ров, </w:t>
      </w:r>
      <w:r w:rsidR="0069212C">
        <w:t>который мог быть ими инвестирован в неэффективные проекты</w:t>
      </w:r>
      <w:r w:rsidR="00534335">
        <w:t xml:space="preserve"> (</w:t>
      </w:r>
      <w:r w:rsidR="00534335">
        <w:rPr>
          <w:lang w:val="en-US"/>
        </w:rPr>
        <w:t>Jensen</w:t>
      </w:r>
      <w:r w:rsidR="00534335" w:rsidRPr="009217DB">
        <w:t>, 1986)</w:t>
      </w:r>
      <w:r w:rsidR="0069212C">
        <w:t xml:space="preserve">. Однако несмотря на перечисленные премущества дивидендов, на практике их рост может вызвать </w:t>
      </w:r>
      <w:r w:rsidR="00534335">
        <w:t xml:space="preserve">ограниченную или даже негативную </w:t>
      </w:r>
      <w:r w:rsidR="0069212C">
        <w:t>реакцию</w:t>
      </w:r>
      <w:r w:rsidR="00534335">
        <w:t xml:space="preserve">, например, в случае, если рынок высоко оценивает возможности роста компании и считает, что она могла бы </w:t>
      </w:r>
      <w:r w:rsidR="00CD24F6">
        <w:t>более рационально распорядиться средствами, вложив их в свое развитие. (</w:t>
      </w:r>
      <w:r w:rsidR="00CD24F6">
        <w:rPr>
          <w:lang w:val="en-US"/>
        </w:rPr>
        <w:t>Lang</w:t>
      </w:r>
      <w:r w:rsidR="00CD24F6" w:rsidRPr="009217DB">
        <w:t xml:space="preserve">, </w:t>
      </w:r>
      <w:r w:rsidR="00CD24F6">
        <w:t>L</w:t>
      </w:r>
      <w:r w:rsidR="00CD24F6">
        <w:rPr>
          <w:lang w:val="en-US"/>
        </w:rPr>
        <w:t>itzenberger</w:t>
      </w:r>
      <w:r w:rsidR="00CD24F6" w:rsidRPr="009217DB">
        <w:t xml:space="preserve">, 1988). </w:t>
      </w:r>
      <w:r w:rsidR="00CD24F6">
        <w:t xml:space="preserve">Существуют и другие возможные причины той или иной реакции инвесторов на новость о дивидендах: разница в налогообложении налога на прирост капитала и на дивидедндый доход, стадия экономического цикла в стране, общие «настроения» и движения на фондовом рынке и другие. Именно </w:t>
      </w:r>
      <w:r w:rsidR="009D1A35">
        <w:t>в силу своей неоднозначности изучение феномена ценовой реакции на дивиденды остается актуальным и на сегодняшний день.</w:t>
      </w:r>
    </w:p>
    <w:p w14:paraId="45C0323E" w14:textId="4A44F76E" w:rsidR="001757A7" w:rsidRPr="00384B3A" w:rsidRDefault="009D1A35" w:rsidP="001757A7">
      <w:r>
        <w:t>В данном исследовании был проведен анализ реакции фондового рынка на новость с «дивидендным сюрпризом», то есть ситуацией, когда объявленный дивиденд оказался больше или меньше консенсус-прогноза аналитиков более чем на 5%. Данный подход является альтернативой «наивному подходу», при котором классификация объявлений на «хорошие» и «плохие» происходит исходя из увеличения ли уменьшения дивидендов относительно выплаты за предыдущий период. «Наивный» подход подвергся критике в литера</w:t>
      </w:r>
      <w:r w:rsidR="00A27691">
        <w:t>туре в силу того, что он не учитывает новую информацию, поступающую с момента прошлой выплаты на рынок, которая позволяет инвесторам корректировать свои ожидания в отношении текущей выплаты. Альтернативный подход – модель «дивидендных сюрпризов» - оценивает неожиданную составляющую объявления, на которую реагирует рынок, как разницу между объявленным дивидендом и консенсус-прогнозом. Действительно, консесус-прогноз, близкий к дате объявления дивиденда, составляется уже с учетом всей поступившей на рынок информации</w:t>
      </w:r>
      <w:r w:rsidR="00DE5441">
        <w:t>. Адекватность этого подход</w:t>
      </w:r>
      <w:r w:rsidR="001757A7">
        <w:t>а</w:t>
      </w:r>
      <w:r w:rsidR="00DE5441">
        <w:t xml:space="preserve"> и его преимущества перед «наивным» были эмпирически оценены и описаны в </w:t>
      </w:r>
      <w:r w:rsidR="001757A7">
        <w:t xml:space="preserve">ряде исследовательских </w:t>
      </w:r>
      <w:r w:rsidR="00DE5441">
        <w:t>работ</w:t>
      </w:r>
      <w:r w:rsidR="001757A7">
        <w:t xml:space="preserve"> (</w:t>
      </w:r>
      <w:r w:rsidR="001757A7" w:rsidRPr="00432520">
        <w:t>Dhillon U., Raman K., Ramirez G. G.</w:t>
      </w:r>
      <w:r w:rsidR="001757A7">
        <w:t>, 2003), (</w:t>
      </w:r>
      <w:r w:rsidR="001757A7">
        <w:rPr>
          <w:lang w:val="en-US"/>
        </w:rPr>
        <w:t>Andres</w:t>
      </w:r>
      <w:r w:rsidR="001757A7" w:rsidRPr="009217DB">
        <w:t xml:space="preserve"> </w:t>
      </w:r>
      <w:r w:rsidR="001757A7">
        <w:rPr>
          <w:lang w:val="en-US"/>
        </w:rPr>
        <w:t>C</w:t>
      </w:r>
      <w:r w:rsidR="001757A7" w:rsidRPr="009217DB">
        <w:t xml:space="preserve">. </w:t>
      </w:r>
      <w:r w:rsidR="001757A7">
        <w:rPr>
          <w:lang w:val="en-US"/>
        </w:rPr>
        <w:t>et</w:t>
      </w:r>
      <w:r w:rsidR="001757A7" w:rsidRPr="009217DB">
        <w:t xml:space="preserve"> </w:t>
      </w:r>
      <w:r w:rsidR="001757A7">
        <w:rPr>
          <w:lang w:val="en-US"/>
        </w:rPr>
        <w:t>al</w:t>
      </w:r>
      <w:r w:rsidR="001757A7" w:rsidRPr="009217DB">
        <w:t>., 2013</w:t>
      </w:r>
      <w:r w:rsidR="001757A7">
        <w:t>)</w:t>
      </w:r>
      <w:r w:rsidR="001757A7" w:rsidRPr="009217DB">
        <w:t xml:space="preserve">, </w:t>
      </w:r>
      <w:r w:rsidR="001757A7">
        <w:t>(Березинец И.В. и др., 2016)</w:t>
      </w:r>
      <w:r w:rsidR="00594E38">
        <w:t>.</w:t>
      </w:r>
      <w:r w:rsidR="00877408">
        <w:t xml:space="preserve"> В условиях эффективного рынка инвесторы </w:t>
      </w:r>
      <w:r w:rsidR="00384B3A">
        <w:t>должны мгновенно реагировать на новую информацию</w:t>
      </w:r>
      <w:r w:rsidR="00187EA3">
        <w:t>, не давая возможности спекулянтам извлечь выгоду на краткосрочных движениях цен</w:t>
      </w:r>
      <w:r w:rsidR="00187EA3">
        <w:rPr>
          <w:lang w:val="en-US"/>
        </w:rPr>
        <w:t>;</w:t>
      </w:r>
      <w:r w:rsidR="00384B3A">
        <w:t xml:space="preserve"> в условиях </w:t>
      </w:r>
      <w:r w:rsidR="00FB525A">
        <w:t xml:space="preserve">неэффективного </w:t>
      </w:r>
      <w:r w:rsidR="00187EA3">
        <w:t>рынка</w:t>
      </w:r>
      <w:r w:rsidR="00384B3A">
        <w:t xml:space="preserve"> может наблюдаться задержка в реакции </w:t>
      </w:r>
      <w:r w:rsidR="00187EA3">
        <w:t xml:space="preserve">на дивидендный сюрприз </w:t>
      </w:r>
      <w:r w:rsidR="00384B3A">
        <w:t>на несколько дней, что также будет протестировано в данной работе.</w:t>
      </w:r>
    </w:p>
    <w:p w14:paraId="620BC9AF" w14:textId="5FBDC8D0" w:rsidR="009D1A35" w:rsidRDefault="00594E38" w:rsidP="00594E38">
      <w:pPr>
        <w:rPr>
          <w:color w:val="000000"/>
          <w:szCs w:val="24"/>
        </w:rPr>
      </w:pPr>
      <w:r>
        <w:t>Помимо оценки реакции рынка на новость о дивидендах, представляется важным также оценить взаимосвязь данной реакции с рядом факторов</w:t>
      </w:r>
      <w:r>
        <w:rPr>
          <w:color w:val="000000"/>
          <w:sz w:val="27"/>
          <w:szCs w:val="27"/>
        </w:rPr>
        <w:t xml:space="preserve"> – </w:t>
      </w:r>
      <w:r w:rsidRPr="00594E38">
        <w:rPr>
          <w:color w:val="000000"/>
          <w:szCs w:val="24"/>
        </w:rPr>
        <w:t>внутренних характеристик компании, а также контекста объявления, то есть состояния рынка, на фоне которого происходит объявление (доходность и волатильность).</w:t>
      </w:r>
      <w:r>
        <w:rPr>
          <w:color w:val="000000"/>
          <w:szCs w:val="24"/>
        </w:rPr>
        <w:t xml:space="preserve"> </w:t>
      </w:r>
    </w:p>
    <w:p w14:paraId="0775EC92" w14:textId="4DB675AA" w:rsidR="00594E38" w:rsidRDefault="00594E38" w:rsidP="00594E38">
      <w:r>
        <w:t xml:space="preserve">В исследовании будут рассмотрены российский и китайский рынки, обладающих характерными чертами развивающихся рынков – слабой защитой прав акционеров, высокой концентрацией собственности, значительным участием государства в публичных компаниях. В то же время на выбранных рынках имеются различия в налогообложении, </w:t>
      </w:r>
      <w:r w:rsidR="00130D1D">
        <w:t xml:space="preserve">законодательстве в отношении дивидендов и </w:t>
      </w:r>
      <w:r>
        <w:t xml:space="preserve">отраслевой специфике, что позволит изучить феномен реакции на дивиденды в разных институциональных условиях. </w:t>
      </w:r>
      <w:r w:rsidR="00130D1D">
        <w:t xml:space="preserve">Актуальность изучения этих двух рынков подтверждает статистика: </w:t>
      </w:r>
      <w:r w:rsidR="00130D1D" w:rsidRPr="00130D1D">
        <w:t xml:space="preserve">число частных инвесторов на российском фондовом рынке в период 2018–2020 гг. выросло с 2,2 до 9,9 млн чел., а к 2025 году ожидается рост до 48,2 млн чел. На китайских биржах число инвесторов в 2020г. росло примерно на 1,5 млн новых инвесторов в месяц и достигло 180 млн чел. </w:t>
      </w:r>
      <w:r w:rsidR="006764F4">
        <w:rPr>
          <w:rStyle w:val="aff"/>
        </w:rPr>
        <w:footnoteReference w:id="1"/>
      </w:r>
    </w:p>
    <w:p w14:paraId="6FF0CCDA" w14:textId="170B5262" w:rsidR="00095497" w:rsidRPr="006764F4" w:rsidRDefault="00095497" w:rsidP="00594E38">
      <w:r>
        <w:t>Цель данного исследования - о</w:t>
      </w:r>
      <w:r w:rsidRPr="006E4AA0">
        <w:t xml:space="preserve">ценить направление и </w:t>
      </w:r>
      <w:r w:rsidR="00FB525A">
        <w:t>факторы</w:t>
      </w:r>
      <w:r w:rsidRPr="006E4AA0">
        <w:t xml:space="preserve"> реакции развивающихся рынков</w:t>
      </w:r>
      <w:r w:rsidR="006E4AA0" w:rsidRPr="006E4AA0">
        <w:t xml:space="preserve"> России и Китая</w:t>
      </w:r>
      <w:r w:rsidRPr="006E4AA0">
        <w:t xml:space="preserve"> на объявлени</w:t>
      </w:r>
      <w:r w:rsidR="006E4AA0" w:rsidRPr="006E4AA0">
        <w:t>я с «дивидендным сюрпризом».</w:t>
      </w:r>
    </w:p>
    <w:p w14:paraId="061C130E" w14:textId="24D046F2" w:rsidR="006764F4" w:rsidRDefault="006E4AA0" w:rsidP="00594E38">
      <w:r>
        <w:t>Для достижения данной цели были поставлены следующие задачи:</w:t>
      </w:r>
    </w:p>
    <w:p w14:paraId="4BC172FC" w14:textId="77777777" w:rsidR="00634D14" w:rsidRPr="009217DB" w:rsidRDefault="00634D14" w:rsidP="0062395A">
      <w:pPr>
        <w:pStyle w:val="aff3"/>
        <w:numPr>
          <w:ilvl w:val="0"/>
          <w:numId w:val="17"/>
        </w:numPr>
        <w:shd w:val="clear" w:color="auto" w:fill="FFFFFF"/>
        <w:spacing w:before="0" w:beforeAutospacing="0" w:after="0" w:afterAutospacing="0" w:line="360" w:lineRule="auto"/>
        <w:jc w:val="both"/>
        <w:rPr>
          <w:color w:val="000000"/>
          <w:lang w:val="ru-RU"/>
        </w:rPr>
      </w:pPr>
      <w:r w:rsidRPr="009217DB">
        <w:rPr>
          <w:color w:val="000000"/>
          <w:lang w:val="ru-RU"/>
        </w:rPr>
        <w:t>Ознакомиться с теориями, объясняющими возможную реакцию рынка на объявления о дивидендах</w:t>
      </w:r>
    </w:p>
    <w:p w14:paraId="576508BC" w14:textId="7950FB67" w:rsidR="00634D14" w:rsidRPr="009217DB" w:rsidRDefault="00634D14" w:rsidP="0062395A">
      <w:pPr>
        <w:pStyle w:val="aff3"/>
        <w:numPr>
          <w:ilvl w:val="0"/>
          <w:numId w:val="17"/>
        </w:numPr>
        <w:shd w:val="clear" w:color="auto" w:fill="FFFFFF"/>
        <w:spacing w:before="0" w:beforeAutospacing="0" w:after="0" w:afterAutospacing="0" w:line="360" w:lineRule="auto"/>
        <w:jc w:val="both"/>
        <w:rPr>
          <w:color w:val="000000"/>
          <w:lang w:val="ru-RU"/>
        </w:rPr>
      </w:pPr>
      <w:bookmarkStart w:id="4" w:name="_Hlk104925816"/>
      <w:r w:rsidRPr="0062395A">
        <w:rPr>
          <w:color w:val="000000"/>
          <w:lang w:val="ru-RU"/>
        </w:rPr>
        <w:t xml:space="preserve">Оценить различия в </w:t>
      </w:r>
      <w:r w:rsidR="00FB525A">
        <w:rPr>
          <w:color w:val="000000"/>
          <w:lang w:val="ru-RU"/>
        </w:rPr>
        <w:t>специфике дивидендных выплат китайских и российских компаний</w:t>
      </w:r>
    </w:p>
    <w:bookmarkEnd w:id="4"/>
    <w:p w14:paraId="5A0CF04F" w14:textId="7215CB79" w:rsidR="00634D14" w:rsidRPr="009217DB" w:rsidRDefault="00634D14" w:rsidP="0062395A">
      <w:pPr>
        <w:pStyle w:val="aff3"/>
        <w:numPr>
          <w:ilvl w:val="0"/>
          <w:numId w:val="17"/>
        </w:numPr>
        <w:shd w:val="clear" w:color="auto" w:fill="FFFFFF"/>
        <w:spacing w:before="0" w:beforeAutospacing="0" w:after="0" w:afterAutospacing="0" w:line="360" w:lineRule="auto"/>
        <w:jc w:val="both"/>
        <w:rPr>
          <w:color w:val="000000"/>
          <w:lang w:val="ru-RU"/>
        </w:rPr>
      </w:pPr>
      <w:r w:rsidRPr="009217DB">
        <w:rPr>
          <w:color w:val="000000"/>
          <w:lang w:val="ru-RU"/>
        </w:rPr>
        <w:t xml:space="preserve">Проверить гипотезы о направлении и силе реакции исследуемых рынков на объявления </w:t>
      </w:r>
      <w:r w:rsidRPr="0062395A">
        <w:rPr>
          <w:color w:val="000000"/>
          <w:lang w:val="ru-RU"/>
        </w:rPr>
        <w:t>с дивидендными сюрпризами</w:t>
      </w:r>
      <w:r w:rsidRPr="009217DB">
        <w:rPr>
          <w:color w:val="000000"/>
          <w:lang w:val="ru-RU"/>
        </w:rPr>
        <w:t xml:space="preserve"> методом </w:t>
      </w:r>
      <w:r w:rsidR="006D1942">
        <w:rPr>
          <w:color w:val="000000"/>
          <w:lang w:val="ru-RU"/>
        </w:rPr>
        <w:t>анализа событий.</w:t>
      </w:r>
    </w:p>
    <w:p w14:paraId="5D155260" w14:textId="637BF925" w:rsidR="0062395A" w:rsidRPr="009217DB" w:rsidRDefault="0062395A" w:rsidP="0062395A">
      <w:pPr>
        <w:pStyle w:val="aff3"/>
        <w:numPr>
          <w:ilvl w:val="0"/>
          <w:numId w:val="17"/>
        </w:numPr>
        <w:shd w:val="clear" w:color="auto" w:fill="FFFFFF"/>
        <w:spacing w:before="0" w:beforeAutospacing="0" w:after="0" w:afterAutospacing="0" w:line="360" w:lineRule="auto"/>
        <w:jc w:val="both"/>
        <w:rPr>
          <w:color w:val="000000"/>
          <w:lang w:val="ru-RU"/>
        </w:rPr>
      </w:pPr>
      <w:r w:rsidRPr="0062395A">
        <w:rPr>
          <w:color w:val="000000"/>
          <w:lang w:val="ru-RU"/>
        </w:rPr>
        <w:t>Выявить отраслевые особенности реакции на дивидендые сюрпризы для каждого из рынков</w:t>
      </w:r>
    </w:p>
    <w:p w14:paraId="3D6BE2A3" w14:textId="77777777" w:rsidR="00634D14" w:rsidRPr="009217DB" w:rsidRDefault="00634D14" w:rsidP="0062395A">
      <w:pPr>
        <w:pStyle w:val="aff3"/>
        <w:numPr>
          <w:ilvl w:val="0"/>
          <w:numId w:val="17"/>
        </w:numPr>
        <w:shd w:val="clear" w:color="auto" w:fill="FFFFFF"/>
        <w:spacing w:before="0" w:beforeAutospacing="0" w:after="0" w:afterAutospacing="0" w:line="360" w:lineRule="auto"/>
        <w:jc w:val="both"/>
        <w:rPr>
          <w:color w:val="000000"/>
          <w:lang w:val="ru-RU"/>
        </w:rPr>
      </w:pPr>
      <w:r w:rsidRPr="009217DB">
        <w:rPr>
          <w:color w:val="000000"/>
          <w:lang w:val="ru-RU"/>
        </w:rPr>
        <w:t>Построить регрессионную модель и оценить взаимосвязь различных факторов с силой реакции на объявление</w:t>
      </w:r>
    </w:p>
    <w:p w14:paraId="6EE25C2E" w14:textId="77777777" w:rsidR="00634D14" w:rsidRPr="009217DB" w:rsidRDefault="00634D14" w:rsidP="0062395A">
      <w:pPr>
        <w:pStyle w:val="aff3"/>
        <w:numPr>
          <w:ilvl w:val="0"/>
          <w:numId w:val="17"/>
        </w:numPr>
        <w:shd w:val="clear" w:color="auto" w:fill="FFFFFF"/>
        <w:spacing w:before="0" w:beforeAutospacing="0" w:after="0" w:afterAutospacing="0" w:line="360" w:lineRule="auto"/>
        <w:jc w:val="both"/>
        <w:rPr>
          <w:color w:val="000000"/>
          <w:lang w:val="ru-RU"/>
        </w:rPr>
      </w:pPr>
      <w:r w:rsidRPr="009217DB">
        <w:rPr>
          <w:color w:val="000000"/>
          <w:lang w:val="ru-RU"/>
        </w:rPr>
        <w:t>Интерпретировать полученные результаты с точки зрения принятия/отклонения выдвинутых гипотез и сравнить их с результатами других исследований по теме</w:t>
      </w:r>
    </w:p>
    <w:p w14:paraId="653E7FC3" w14:textId="27FF3947" w:rsidR="00634D14" w:rsidRDefault="00634D14" w:rsidP="00594E38"/>
    <w:p w14:paraId="32CA0D86" w14:textId="3A6A5DFF" w:rsidR="00384B3A" w:rsidRDefault="00384B3A" w:rsidP="00384B3A">
      <w:r>
        <w:t>В качестве периода для исследования был выбран временной отрезок 2016–2019 гг. исходя из наиболее свежих данных и невключения ряда кризисов (</w:t>
      </w:r>
      <w:r>
        <w:rPr>
          <w:lang w:val="en-US"/>
        </w:rPr>
        <w:t>COVID</w:t>
      </w:r>
      <w:r w:rsidRPr="009217DB">
        <w:t xml:space="preserve">-19, </w:t>
      </w:r>
      <w:r>
        <w:t xml:space="preserve">валютный кризис в России 2014–2015 гг., обвал фондового рынка в Китае в 2015 г.). Кроме того, данный период интересен для анализа с точки зрения происходящих в это время событий в каждой из стран. </w:t>
      </w:r>
    </w:p>
    <w:p w14:paraId="782D2F96" w14:textId="7F2E6AF4" w:rsidR="00D53A7A" w:rsidRPr="008F1E71" w:rsidRDefault="00D53A7A" w:rsidP="0062395A">
      <w:r>
        <w:t xml:space="preserve">Данная работа построена следующим образом. В первой главе проводится обзор литературы, посвященной реакции рынка на новость о дивидендах, </w:t>
      </w:r>
      <w:r w:rsidR="008F1E71">
        <w:t xml:space="preserve">а также </w:t>
      </w:r>
      <w:r>
        <w:t>формулир</w:t>
      </w:r>
      <w:r w:rsidR="008F1E71">
        <w:t>уются</w:t>
      </w:r>
      <w:r>
        <w:t xml:space="preserve"> гипотез</w:t>
      </w:r>
      <w:r w:rsidR="008F1E71">
        <w:t>ы</w:t>
      </w:r>
      <w:r>
        <w:t xml:space="preserve"> исследования. Во второй главе кратко освещаются институциональные особенности изучаемых рынков. Третья глава посвящена эмпирическому исследованию</w:t>
      </w:r>
      <w:r w:rsidR="008F1E71">
        <w:t>.</w:t>
      </w:r>
      <w:r>
        <w:t xml:space="preserve"> </w:t>
      </w:r>
      <w:r w:rsidR="008F1E71">
        <w:t>В начале</w:t>
      </w:r>
      <w:r>
        <w:t xml:space="preserve"> описывается методология</w:t>
      </w:r>
      <w:r w:rsidRPr="009217DB">
        <w:t xml:space="preserve">: </w:t>
      </w:r>
      <w:r>
        <w:t xml:space="preserve">техника проведения </w:t>
      </w:r>
      <w:r w:rsidR="006D1942">
        <w:t xml:space="preserve">метода </w:t>
      </w:r>
      <w:r w:rsidR="006D1942">
        <w:rPr>
          <w:color w:val="000000"/>
        </w:rPr>
        <w:t>анализа событий</w:t>
      </w:r>
      <w:r w:rsidR="006D1942">
        <w:t xml:space="preserve"> </w:t>
      </w:r>
      <w:r>
        <w:t xml:space="preserve">и описание переменных для регрессионного анализа. Далее </w:t>
      </w:r>
      <w:r w:rsidR="008F1E71">
        <w:t xml:space="preserve">идет часть с процессом формирования выборки и описательной статистикой переменных. Затем представляются результаты </w:t>
      </w:r>
      <w:r w:rsidR="006D1942">
        <w:t xml:space="preserve">метода </w:t>
      </w:r>
      <w:r w:rsidR="006D1942">
        <w:rPr>
          <w:color w:val="000000"/>
        </w:rPr>
        <w:t>анализа событий</w:t>
      </w:r>
      <w:r w:rsidR="006D1942">
        <w:t xml:space="preserve"> </w:t>
      </w:r>
      <w:r w:rsidR="008F1E71">
        <w:t>с интерпретацией и отраслевым анализом. Глава завершается обсуждением результататов регрессионного анализа. В заключении работы подводятся итоги всего исследования с возможным применением их на практике.</w:t>
      </w:r>
    </w:p>
    <w:p w14:paraId="05451530" w14:textId="7ABC3378" w:rsidR="0062395A" w:rsidRPr="009217DB" w:rsidRDefault="0062395A" w:rsidP="0062395A">
      <w:r>
        <w:t xml:space="preserve">В качестве источника о консенсус-прогнозах дивидендов использовалась база данных </w:t>
      </w:r>
      <w:r>
        <w:rPr>
          <w:lang w:val="en-US"/>
        </w:rPr>
        <w:t>I</w:t>
      </w:r>
      <w:r w:rsidRPr="009217DB">
        <w:t>/</w:t>
      </w:r>
      <w:r>
        <w:rPr>
          <w:lang w:val="en-US"/>
        </w:rPr>
        <w:t>B</w:t>
      </w:r>
      <w:r w:rsidRPr="009217DB">
        <w:t>/</w:t>
      </w:r>
      <w:r>
        <w:rPr>
          <w:lang w:val="en-US"/>
        </w:rPr>
        <w:t>E</w:t>
      </w:r>
      <w:r w:rsidRPr="009217DB">
        <w:t>/</w:t>
      </w:r>
      <w:r>
        <w:rPr>
          <w:lang w:val="en-US"/>
        </w:rPr>
        <w:t>S</w:t>
      </w:r>
      <w:r w:rsidRPr="009217DB">
        <w:t xml:space="preserve">. </w:t>
      </w:r>
      <w:r>
        <w:t xml:space="preserve">Для построения регрессионной модели использовались данные о характеристиках компаний, выгруженные из баз данных </w:t>
      </w:r>
      <w:r>
        <w:rPr>
          <w:lang w:val="en-US"/>
        </w:rPr>
        <w:t>Refinitiv</w:t>
      </w:r>
      <w:r w:rsidRPr="009217DB">
        <w:t xml:space="preserve"> </w:t>
      </w:r>
      <w:r>
        <w:rPr>
          <w:lang w:val="en-US"/>
        </w:rPr>
        <w:t>Eikon</w:t>
      </w:r>
      <w:r w:rsidRPr="009217DB">
        <w:t xml:space="preserve"> </w:t>
      </w:r>
      <w:r>
        <w:t xml:space="preserve">и </w:t>
      </w:r>
      <w:r>
        <w:rPr>
          <w:lang w:val="en-US"/>
        </w:rPr>
        <w:t>Bloomberg</w:t>
      </w:r>
      <w:r w:rsidRPr="009217DB">
        <w:t>.</w:t>
      </w:r>
      <w:r>
        <w:t xml:space="preserve"> Вывод описательной статистики и построение регрессионной модели проводились с помощью инструментария в Stata.</w:t>
      </w:r>
    </w:p>
    <w:p w14:paraId="43051775" w14:textId="10DF4806" w:rsidR="00806661" w:rsidRDefault="00806661" w:rsidP="00806661">
      <w:pPr>
        <w:pStyle w:val="1"/>
      </w:pPr>
      <w:bookmarkStart w:id="5" w:name="_Toc104840345"/>
      <w:r>
        <w:t>1 ГЛАВА. ОБЗОР ИССЛЕДОВАНИЙ ПО ТЕМЕ</w:t>
      </w:r>
      <w:bookmarkEnd w:id="5"/>
    </w:p>
    <w:p w14:paraId="3561BDA5" w14:textId="77777777" w:rsidR="00806661" w:rsidRDefault="00806661" w:rsidP="00806661"/>
    <w:p w14:paraId="01B52A21" w14:textId="3F837C88" w:rsidR="00806661" w:rsidRDefault="00806661" w:rsidP="00806661">
      <w:pPr>
        <w:pStyle w:val="2"/>
      </w:pPr>
      <w:bookmarkStart w:id="6" w:name="_Toc104840346"/>
      <w:r>
        <w:t>1</w:t>
      </w:r>
      <w:r w:rsidRPr="008334CC">
        <w:t>.1 Мотивы дивидендных выплат</w:t>
      </w:r>
      <w:bookmarkEnd w:id="6"/>
    </w:p>
    <w:p w14:paraId="1E1DD688" w14:textId="5367E801" w:rsidR="00806661" w:rsidRDefault="00806661" w:rsidP="00806661">
      <w:pPr>
        <w:pStyle w:val="3"/>
      </w:pPr>
      <w:bookmarkStart w:id="7" w:name="_Toc104840347"/>
      <w:r>
        <w:t>1.1.1 Теория иррелевантности дивидендов</w:t>
      </w:r>
      <w:bookmarkEnd w:id="7"/>
    </w:p>
    <w:p w14:paraId="2FC7987B" w14:textId="51EC95D1" w:rsidR="00704E3C" w:rsidRDefault="00806661" w:rsidP="00806661">
      <w:r>
        <w:t xml:space="preserve">Проблема выбора </w:t>
      </w:r>
      <w:r w:rsidR="00B47496">
        <w:t xml:space="preserve">направления </w:t>
      </w:r>
      <w:r>
        <w:t>распределения свободного денежного потока давно является одним из важнейших предметов для изучения в области финансов. Одна из ранних работ по этой теме была подготовлена во второй половине 20 века Модильяни и Миллером, в рамках которой авторы заявили, что ценность компании не зависит от решений о распределении свободного денежного потока, в том числе решений о выплате дивидендов.</w:t>
      </w:r>
      <w:r>
        <w:rPr>
          <w:vertAlign w:val="superscript"/>
        </w:rPr>
        <w:footnoteReference w:id="2"/>
      </w:r>
      <w:r>
        <w:t xml:space="preserve"> </w:t>
      </w:r>
      <w:r w:rsidR="00E31E66">
        <w:t>Данное</w:t>
      </w:r>
      <w:r>
        <w:t xml:space="preserve"> утверждение </w:t>
      </w:r>
      <w:r w:rsidR="003502D5">
        <w:t xml:space="preserve">стало следствием модели, в которой </w:t>
      </w:r>
      <w:r w:rsidR="007C0B9F">
        <w:t>предполагалось</w:t>
      </w:r>
      <w:r w:rsidR="003502D5">
        <w:t xml:space="preserve"> соблюдение следующих условий</w:t>
      </w:r>
      <w:r w:rsidR="00704E3C">
        <w:t>: эффективность рынка (равный для всех инвесторов доступ к инф</w:t>
      </w:r>
      <w:r w:rsidR="003502D5">
        <w:t>ор</w:t>
      </w:r>
      <w:r w:rsidR="00704E3C">
        <w:t>мации об акциях компании</w:t>
      </w:r>
      <w:r w:rsidR="003502D5">
        <w:t xml:space="preserve"> и ее перспективах</w:t>
      </w:r>
      <w:r w:rsidR="00704E3C">
        <w:t xml:space="preserve">), отсутствие брокерских комиссий и прочих транзакционных издержек, отсутствие дифференциации в налогообложении доходов от дивидендов и от прироста капитала. В рамках модели также предполагалось «рациональное поведение» инвесторов, то есть их предпочтение большего богатства меньшему и </w:t>
      </w:r>
      <w:r w:rsidR="007C0B9F">
        <w:t>индифферентность</w:t>
      </w:r>
      <w:r w:rsidR="00704E3C">
        <w:t xml:space="preserve"> к форме получения богатства (в виде выплат или </w:t>
      </w:r>
      <w:r w:rsidR="00010DFE">
        <w:t xml:space="preserve">в виде роста рыночной ценности их акций). </w:t>
      </w:r>
      <w:r w:rsidR="00AD316B">
        <w:t xml:space="preserve">Однако </w:t>
      </w:r>
      <w:r w:rsidR="00E31E66">
        <w:t xml:space="preserve">авторы </w:t>
      </w:r>
      <w:r w:rsidR="00250473">
        <w:t>подчеркнули</w:t>
      </w:r>
      <w:r w:rsidR="00E31E66">
        <w:t xml:space="preserve">, что </w:t>
      </w:r>
      <w:r w:rsidR="00AD316B">
        <w:t xml:space="preserve">в реальности </w:t>
      </w:r>
      <w:r w:rsidR="00E31E66">
        <w:t xml:space="preserve">данные условия не соблюдаются, что приводит к «эффекту базы клиента», то есть ситуации, когда инвесторы могут отдавать предпочтение той или иной форме получения дохода, например, в силу разницы в налогообложении. </w:t>
      </w:r>
      <w:r w:rsidR="000D0E3C">
        <w:rPr>
          <w:rStyle w:val="aff"/>
        </w:rPr>
        <w:footnoteReference w:id="3"/>
      </w:r>
      <w:r w:rsidR="00E31E66">
        <w:t xml:space="preserve">Позднее, в работах других авторов были приведены и другие предпосылки для данного эффекта, в том числе поведенческие и социально-демографические. </w:t>
      </w:r>
    </w:p>
    <w:p w14:paraId="79BBEF21" w14:textId="2C6EE003" w:rsidR="00806661" w:rsidRDefault="00704E3C" w:rsidP="00806661">
      <w:r>
        <w:t xml:space="preserve"> </w:t>
      </w:r>
      <w:r w:rsidR="00806661">
        <w:t xml:space="preserve">В связи с </w:t>
      </w:r>
      <w:r w:rsidR="00E31E66">
        <w:t xml:space="preserve">тем, что реальность расходится с условиями в модели Модильяни и Миллера, проблематика </w:t>
      </w:r>
      <w:r w:rsidR="00806661">
        <w:t>изучения влияния решений о дивидендах на стоимость компании осталась актуальной и до сих пор остается темой многочисленных исследований.</w:t>
      </w:r>
    </w:p>
    <w:p w14:paraId="39D1C005" w14:textId="3FF487A3" w:rsidR="00806661" w:rsidRPr="007327C8" w:rsidRDefault="00806661" w:rsidP="00806661">
      <w:pPr>
        <w:pStyle w:val="3"/>
      </w:pPr>
      <w:bookmarkStart w:id="8" w:name="_Toc104840348"/>
      <w:r>
        <w:t xml:space="preserve">1.1.2 </w:t>
      </w:r>
      <w:r w:rsidRPr="007327C8">
        <w:t>Сигнальная теория</w:t>
      </w:r>
      <w:bookmarkEnd w:id="8"/>
    </w:p>
    <w:p w14:paraId="3EC0638C" w14:textId="0F1F3906" w:rsidR="00806661" w:rsidRDefault="00806661" w:rsidP="00806661">
      <w:r>
        <w:t xml:space="preserve">Одна из ключевых теорий, объясняющих мотивы дивидендных выплат, - сигнальная теория о том, что выплата дивидендов, превышающих по размеру предыдущие дивиденды, может служить сигналом для рынка о текущих или будущих доходах компании. </w:t>
      </w:r>
      <w:r w:rsidRPr="009217DB">
        <w:rPr>
          <w:lang w:val="en-US"/>
        </w:rPr>
        <w:t xml:space="preserve">(Bhattacharya (1979), John and Williams (1985), and Miller and Rock (1985), Daniels et al., 1997). </w:t>
      </w:r>
      <w:r>
        <w:t>Согласно этой теории, менеджеры как инсайдеры обладают большей информацией о положении дел в компании, чем внешние инвесторы, и могут отправлять сигналы рынку, отражая свои взгляды на будущую результативность компании. Так, увеличенный дивиденд трактуется как позитивный сигнал и влечет за собой рост цены акций компании, в то время как меньшая величина дивиденда относительно предыдущего будет воспринята рынком в качестве негативного сигнала, и такое объявление приведет к снижению стоимости ценных бумаг эмитента.</w:t>
      </w:r>
    </w:p>
    <w:p w14:paraId="74850DCF" w14:textId="61C08ED9" w:rsidR="00250473" w:rsidRDefault="003D3DD7" w:rsidP="00806661">
      <w:r>
        <w:t xml:space="preserve">Сигнальная роль дивидендов оказывает значительное влияние на дивидендную политику в компаниях, это, в частности, было утверждено </w:t>
      </w:r>
      <w:r w:rsidR="00E4189D">
        <w:t xml:space="preserve">эмпирическим путем </w:t>
      </w:r>
      <w:r>
        <w:t>еще в 1956 г. в работе Джона Линтнера</w:t>
      </w:r>
      <w:r w:rsidR="00E4189D">
        <w:t xml:space="preserve"> на выборке из </w:t>
      </w:r>
      <w:r w:rsidR="00D10077">
        <w:t>196 дивидендных объявлений</w:t>
      </w:r>
      <w:r>
        <w:t xml:space="preserve">. Согласно Линтнеру, </w:t>
      </w:r>
      <w:r w:rsidR="00250473">
        <w:t xml:space="preserve">принимая решение об изменении </w:t>
      </w:r>
      <w:r w:rsidR="00D873E2">
        <w:t xml:space="preserve">размера </w:t>
      </w:r>
      <w:r w:rsidR="00250473">
        <w:t>дивиденд</w:t>
      </w:r>
      <w:r w:rsidR="00D873E2">
        <w:t xml:space="preserve">а, </w:t>
      </w:r>
      <w:r w:rsidR="00FC7018">
        <w:t>руководство компании</w:t>
      </w:r>
      <w:r w:rsidR="00EC122F">
        <w:t xml:space="preserve"> </w:t>
      </w:r>
      <w:r w:rsidR="00250473">
        <w:t xml:space="preserve">обращает внимание не столько на новый </w:t>
      </w:r>
      <w:r w:rsidR="00D873E2">
        <w:t>дивиденд</w:t>
      </w:r>
      <w:r w:rsidR="00A61FF2">
        <w:t>,</w:t>
      </w:r>
      <w:r w:rsidR="00250473">
        <w:t xml:space="preserve"> сколько на </w:t>
      </w:r>
      <w:r w:rsidR="00A61FF2">
        <w:t>его</w:t>
      </w:r>
      <w:r w:rsidR="00250473">
        <w:t xml:space="preserve"> разницу с предыдущ</w:t>
      </w:r>
      <w:r w:rsidR="00A61FF2">
        <w:t>им</w:t>
      </w:r>
      <w:r w:rsidR="006E74EF">
        <w:t xml:space="preserve"> (поскольку рынок склонен реагировать на относительную величину выплат, а не абсолютную)</w:t>
      </w:r>
      <w:r w:rsidR="00A61FF2">
        <w:t xml:space="preserve"> и старается избегать значительных изменений. </w:t>
      </w:r>
      <w:r w:rsidR="00844C29">
        <w:t xml:space="preserve">Такой консервативный подход приводит к выраженным закономерностям в дивидендной политике компаний. Так, наблюдается практика изменения дивидендов в конкретный год в меньшем масштабе, чем изменение финансовых показателей. Дальнейшая корректировка в </w:t>
      </w:r>
      <w:r w:rsidR="00D873E2">
        <w:t>размере выплат</w:t>
      </w:r>
      <w:r w:rsidR="00844C29">
        <w:t xml:space="preserve"> проводи</w:t>
      </w:r>
      <w:r w:rsidR="00D873E2">
        <w:t>тся в последующие годы, что позволяет стабилизировать распределение дивидендных выплат и минимизировать негативные реакции со стороны инвесторов.</w:t>
      </w:r>
      <w:r w:rsidR="006E74EF">
        <w:t xml:space="preserve"> </w:t>
      </w:r>
      <w:r w:rsidR="00335B0A">
        <w:rPr>
          <w:rStyle w:val="aff"/>
        </w:rPr>
        <w:footnoteReference w:id="4"/>
      </w:r>
    </w:p>
    <w:p w14:paraId="75B7C2A1" w14:textId="42CF186A" w:rsidR="00806661" w:rsidRPr="007327C8" w:rsidRDefault="00806661" w:rsidP="00806661">
      <w:pPr>
        <w:pStyle w:val="3"/>
      </w:pPr>
      <w:bookmarkStart w:id="9" w:name="_Toc104840349"/>
      <w:r>
        <w:t>1</w:t>
      </w:r>
      <w:r w:rsidRPr="007327C8">
        <w:t>.1.3 Теория свободного денежного потока</w:t>
      </w:r>
      <w:bookmarkEnd w:id="9"/>
    </w:p>
    <w:p w14:paraId="25B29359" w14:textId="27BF47F7" w:rsidR="00806661" w:rsidRDefault="00806661" w:rsidP="00806661">
      <w:r>
        <w:t xml:space="preserve">Другая теория о мотивах дивидендных выплат была предложена Дженсеном в 1986 г. </w:t>
      </w:r>
      <w:r>
        <w:rPr>
          <w:vertAlign w:val="superscript"/>
        </w:rPr>
        <w:footnoteReference w:id="5"/>
      </w:r>
      <w:r>
        <w:t xml:space="preserve">В своей статье Дженсен утверждал, что в фирме, которая генерирует значительные денежные потоки, за отсутствием выгодных инвестиционных проектов менеджмент может принимать решения об инвестициях в проекты с отрицательной ценностью (например, с отрицательным NPV). В таких </w:t>
      </w:r>
      <w:r w:rsidR="009F3F72">
        <w:t>случаях</w:t>
      </w:r>
      <w:r>
        <w:t xml:space="preserve"> распределение «сверхдохода» в виде дивидендов может снизить вероятность неэффективных инвестиций. Данная теория была подтверждена в исследовании Ланга и Литзенберга (1989), которые заключили, что если фирмы переинвестируют (в качестве прокси переинвестирования был использован показатель Tobin’s Q), то увеличение дивидендов при прочих равных ведет к снижению переинвестирования и увеличению рыночной ценности фирмы. Эта теория получила название «теории свободного денежного потока», или «теории переинвестирования».</w:t>
      </w:r>
      <w:r>
        <w:rPr>
          <w:rStyle w:val="aff"/>
        </w:rPr>
        <w:footnoteReference w:id="6"/>
      </w:r>
    </w:p>
    <w:p w14:paraId="4ECB96B9" w14:textId="114A6B03" w:rsidR="00806661" w:rsidRPr="007327C8" w:rsidRDefault="00806661" w:rsidP="00806661">
      <w:pPr>
        <w:pStyle w:val="3"/>
      </w:pPr>
      <w:bookmarkStart w:id="10" w:name="_Toc104840350"/>
      <w:r>
        <w:t>1</w:t>
      </w:r>
      <w:r w:rsidRPr="007327C8">
        <w:t xml:space="preserve">.1.4 </w:t>
      </w:r>
      <w:r w:rsidRPr="007327C8">
        <w:rPr>
          <w:rStyle w:val="31"/>
          <w:b/>
        </w:rPr>
        <w:t>Теория агентских издержек</w:t>
      </w:r>
      <w:bookmarkEnd w:id="10"/>
    </w:p>
    <w:p w14:paraId="7362056E" w14:textId="41E6B14D" w:rsidR="00806661" w:rsidRDefault="00806661" w:rsidP="00806661">
      <w:r>
        <w:t xml:space="preserve">В работе Истербука (1984) была изложена похожая теория, согласно которой </w:t>
      </w:r>
      <w:r w:rsidR="00B47496">
        <w:t xml:space="preserve">в </w:t>
      </w:r>
      <w:r w:rsidR="00BB5CA0">
        <w:t xml:space="preserve">некоторых </w:t>
      </w:r>
      <w:r w:rsidR="00B47496">
        <w:t xml:space="preserve">компаниях </w:t>
      </w:r>
      <w:r>
        <w:t xml:space="preserve">получение значительного денежного потока может привести к тому, что менеджмент попытается использовать его часть в своих собственных интересах в связи с проблемой разделения собственности от менеджмента и потенциального «агентского конфликта». </w:t>
      </w:r>
      <w:r w:rsidR="00BB5CA0">
        <w:t xml:space="preserve">Данная проблема в большей степени характерна для компаний с распыленной собственностью, где </w:t>
      </w:r>
      <w:r w:rsidR="007A0103">
        <w:t xml:space="preserve">у </w:t>
      </w:r>
      <w:r w:rsidR="00225586">
        <w:t>акционер</w:t>
      </w:r>
      <w:r w:rsidR="007A0103">
        <w:t xml:space="preserve">ов </w:t>
      </w:r>
      <w:r w:rsidR="00225586">
        <w:t>не</w:t>
      </w:r>
      <w:r w:rsidR="007A0103">
        <w:t>т</w:t>
      </w:r>
      <w:r w:rsidR="00225586">
        <w:t xml:space="preserve"> </w:t>
      </w:r>
      <w:r w:rsidR="007A0103">
        <w:t>мотивации</w:t>
      </w:r>
      <w:r w:rsidR="00225586">
        <w:t xml:space="preserve"> нести </w:t>
      </w:r>
      <w:r w:rsidR="007A0103">
        <w:t xml:space="preserve">высокие </w:t>
      </w:r>
      <w:r w:rsidR="00225586">
        <w:t xml:space="preserve">издержки на мониторинг действий менеджмента или </w:t>
      </w:r>
      <w:r w:rsidR="007A0103">
        <w:t xml:space="preserve">они </w:t>
      </w:r>
      <w:r w:rsidR="00225586">
        <w:t xml:space="preserve">перекладывают ответственность за мониторинг на других («проблема безбилетника»). В результате менеджмент находится в условиях слабого контроля, создаются предпосылки для оппортунистического поведения. </w:t>
      </w:r>
      <w:r>
        <w:t xml:space="preserve">В этом случае высокие дивидендные выплаты могут стать инструментом, ограничивающим денежный поток, доступный менеджерам, а значит, могут снизить вероятность присвоения части доходов компании лицами на руководящих должностях. Из этой теории следует, что новость об увеличении дивидендов, вероятно, должен вызывать положительный эффект на цену акций компании. </w:t>
      </w:r>
      <w:r>
        <w:rPr>
          <w:rStyle w:val="aff"/>
        </w:rPr>
        <w:footnoteReference w:id="7"/>
      </w:r>
    </w:p>
    <w:p w14:paraId="12773F14" w14:textId="77777777" w:rsidR="00806661" w:rsidRDefault="00806661" w:rsidP="00806661">
      <w:r>
        <w:t xml:space="preserve">Подводя итог по всем упомянутым теориям, можно сделать вывод, что в условиях реального мира новость об увеличении дивидендов, скорее всего, будет воспринята инвесторами позитивно, так как, во-первых, может быть сигналом со стороны менеджеров об устойчивых денежных потоках в будущем, а во-вторых, увеличение дивидендов приведет к ограничению свободных средств в руках менеджеров, которые могли быть истрачены на проекты с отрицательным NPV либо использованы в личных интересах менеджмента. </w:t>
      </w:r>
    </w:p>
    <w:p w14:paraId="03BBAE52" w14:textId="77777777" w:rsidR="00806661" w:rsidRDefault="00806661" w:rsidP="00806661">
      <w:r>
        <w:t>Рассмотрим, как данное теоретическое заключение соотносится с практикой, то есть с результатами эмпирических исследований, проведенных на реальных компаниях.</w:t>
      </w:r>
    </w:p>
    <w:p w14:paraId="521B4147" w14:textId="77777777" w:rsidR="00806661" w:rsidRDefault="00806661" w:rsidP="00806661"/>
    <w:p w14:paraId="7AA41130" w14:textId="2463C3EA" w:rsidR="00806661" w:rsidRPr="008334CC" w:rsidRDefault="00806661" w:rsidP="00806661">
      <w:pPr>
        <w:pStyle w:val="2"/>
      </w:pPr>
      <w:bookmarkStart w:id="11" w:name="_Toc104840351"/>
      <w:r>
        <w:t>1</w:t>
      </w:r>
      <w:r w:rsidRPr="008334CC">
        <w:t xml:space="preserve">.2 Эмпирические исследования о </w:t>
      </w:r>
      <w:r>
        <w:t>реакции рынка на</w:t>
      </w:r>
      <w:r w:rsidRPr="008334CC">
        <w:t xml:space="preserve"> объявлени</w:t>
      </w:r>
      <w:r>
        <w:t>я</w:t>
      </w:r>
      <w:r w:rsidRPr="008334CC">
        <w:t xml:space="preserve"> о дивидендах</w:t>
      </w:r>
      <w:bookmarkEnd w:id="11"/>
      <w:r w:rsidRPr="008334CC">
        <w:t xml:space="preserve"> </w:t>
      </w:r>
    </w:p>
    <w:p w14:paraId="03345AD3" w14:textId="77777777" w:rsidR="00806661" w:rsidRDefault="00806661" w:rsidP="00806661">
      <w:r>
        <w:t xml:space="preserve">В таблице 1 сведены результаты исследований реакции российского и китайского рынков на объявления о дивидендах. Результаты различаются в зависимости от периода исследования: это связано с общей экономической ситуацией в стране в том или ином периоде, а также с изменением регулирования дивидендных выплат со стороны государства. </w:t>
      </w:r>
    </w:p>
    <w:p w14:paraId="0A8CF1D9" w14:textId="77777777" w:rsidR="00806661" w:rsidRPr="009912CA" w:rsidRDefault="00806661" w:rsidP="00806661">
      <w:pPr>
        <w:pStyle w:val="a"/>
      </w:pPr>
      <w:r w:rsidRPr="009912CA">
        <w:t>Результаты исследований реакции рынков на новость о дивидендах</w:t>
      </w:r>
    </w:p>
    <w:tbl>
      <w:tblPr>
        <w:tblStyle w:val="11"/>
        <w:tblW w:w="9345" w:type="dxa"/>
        <w:tblLayout w:type="fixed"/>
        <w:tblLook w:val="0400" w:firstRow="0" w:lastRow="0" w:firstColumn="0" w:lastColumn="0" w:noHBand="0" w:noVBand="1"/>
      </w:tblPr>
      <w:tblGrid>
        <w:gridCol w:w="1905"/>
        <w:gridCol w:w="1719"/>
        <w:gridCol w:w="1773"/>
        <w:gridCol w:w="1862"/>
        <w:gridCol w:w="2086"/>
      </w:tblGrid>
      <w:tr w:rsidR="00806661" w14:paraId="0922A712" w14:textId="77777777" w:rsidTr="00232BEF">
        <w:tc>
          <w:tcPr>
            <w:tcW w:w="1905" w:type="dxa"/>
          </w:tcPr>
          <w:p w14:paraId="5C26D737" w14:textId="77777777" w:rsidR="00806661" w:rsidRPr="009912CA" w:rsidRDefault="00806661" w:rsidP="00232BEF">
            <w:pPr>
              <w:pStyle w:val="ac"/>
            </w:pPr>
            <w:r w:rsidRPr="009912CA">
              <w:t>Исследование</w:t>
            </w:r>
          </w:p>
        </w:tc>
        <w:tc>
          <w:tcPr>
            <w:tcW w:w="1719" w:type="dxa"/>
          </w:tcPr>
          <w:p w14:paraId="591B5174" w14:textId="77777777" w:rsidR="00806661" w:rsidRPr="009912CA" w:rsidRDefault="00806661" w:rsidP="00232BEF">
            <w:pPr>
              <w:pStyle w:val="ac"/>
            </w:pPr>
            <w:r w:rsidRPr="009912CA">
              <w:t>Прокси для дивидендного сюрприза</w:t>
            </w:r>
          </w:p>
        </w:tc>
        <w:tc>
          <w:tcPr>
            <w:tcW w:w="1773" w:type="dxa"/>
          </w:tcPr>
          <w:p w14:paraId="0810C30F" w14:textId="77777777" w:rsidR="00806661" w:rsidRPr="009912CA" w:rsidRDefault="00806661" w:rsidP="00232BEF">
            <w:pPr>
              <w:pStyle w:val="ac"/>
            </w:pPr>
            <w:r w:rsidRPr="009912CA">
              <w:t>Период наблюдений</w:t>
            </w:r>
          </w:p>
        </w:tc>
        <w:tc>
          <w:tcPr>
            <w:tcW w:w="1862" w:type="dxa"/>
          </w:tcPr>
          <w:p w14:paraId="0617C9DB" w14:textId="77777777" w:rsidR="00806661" w:rsidRPr="009912CA" w:rsidRDefault="00806661" w:rsidP="00232BEF">
            <w:pPr>
              <w:pStyle w:val="ac"/>
            </w:pPr>
            <w:r w:rsidRPr="009912CA">
              <w:t>Реакция на «позитивный сюрприз»</w:t>
            </w:r>
          </w:p>
        </w:tc>
        <w:tc>
          <w:tcPr>
            <w:tcW w:w="2086" w:type="dxa"/>
          </w:tcPr>
          <w:p w14:paraId="59A77AE6" w14:textId="77777777" w:rsidR="00806661" w:rsidRPr="009912CA" w:rsidRDefault="00806661" w:rsidP="00232BEF">
            <w:pPr>
              <w:pStyle w:val="ac"/>
            </w:pPr>
            <w:r w:rsidRPr="009912CA">
              <w:t>Реакция на «негативный сюрприз»</w:t>
            </w:r>
          </w:p>
        </w:tc>
      </w:tr>
      <w:tr w:rsidR="00806661" w14:paraId="117DACD2" w14:textId="77777777" w:rsidTr="00232BEF">
        <w:tc>
          <w:tcPr>
            <w:tcW w:w="9345" w:type="dxa"/>
            <w:gridSpan w:val="5"/>
          </w:tcPr>
          <w:p w14:paraId="11700508" w14:textId="77777777" w:rsidR="00806661" w:rsidRDefault="00806661" w:rsidP="00232BEF">
            <w:pPr>
              <w:widowControl w:val="0"/>
              <w:pBdr>
                <w:top w:val="nil"/>
                <w:left w:val="nil"/>
                <w:bottom w:val="nil"/>
                <w:right w:val="nil"/>
                <w:between w:val="nil"/>
              </w:pBdr>
              <w:ind w:firstLine="0"/>
              <w:jc w:val="center"/>
              <w:rPr>
                <w:b/>
                <w:color w:val="000000"/>
              </w:rPr>
            </w:pPr>
            <w:r>
              <w:rPr>
                <w:rFonts w:eastAsia="Times New Roman"/>
                <w:b/>
                <w:color w:val="000000"/>
                <w:szCs w:val="24"/>
              </w:rPr>
              <w:t>Россия</w:t>
            </w:r>
          </w:p>
        </w:tc>
      </w:tr>
      <w:tr w:rsidR="00806661" w14:paraId="34BD3790" w14:textId="77777777" w:rsidTr="00232BEF">
        <w:tc>
          <w:tcPr>
            <w:tcW w:w="1905" w:type="dxa"/>
          </w:tcPr>
          <w:p w14:paraId="1D5BAE83" w14:textId="77777777" w:rsidR="00806661" w:rsidRDefault="00806661" w:rsidP="00232BEF">
            <w:pPr>
              <w:pStyle w:val="ae"/>
            </w:pPr>
            <w:r>
              <w:t>Теплова Т., 2008</w:t>
            </w:r>
          </w:p>
        </w:tc>
        <w:tc>
          <w:tcPr>
            <w:tcW w:w="1719" w:type="dxa"/>
          </w:tcPr>
          <w:p w14:paraId="6142903C" w14:textId="77777777" w:rsidR="00806661" w:rsidRDefault="00806661" w:rsidP="00232BEF">
            <w:pPr>
              <w:pStyle w:val="ae"/>
            </w:pPr>
            <w:r>
              <w:t>Изменение дивиденда</w:t>
            </w:r>
          </w:p>
        </w:tc>
        <w:tc>
          <w:tcPr>
            <w:tcW w:w="1773" w:type="dxa"/>
          </w:tcPr>
          <w:p w14:paraId="51A433EC" w14:textId="77777777" w:rsidR="00806661" w:rsidRDefault="00806661" w:rsidP="00232BEF">
            <w:pPr>
              <w:pStyle w:val="ae"/>
            </w:pPr>
            <w:r>
              <w:t>1996-2006гг.</w:t>
            </w:r>
          </w:p>
        </w:tc>
        <w:tc>
          <w:tcPr>
            <w:tcW w:w="1862" w:type="dxa"/>
          </w:tcPr>
          <w:p w14:paraId="2368D4AE" w14:textId="77777777" w:rsidR="00806661" w:rsidRDefault="00806661" w:rsidP="00232BEF">
            <w:pPr>
              <w:pStyle w:val="ae"/>
            </w:pPr>
            <w:r>
              <w:t>Негативная</w:t>
            </w:r>
          </w:p>
          <w:p w14:paraId="07B3D8ED" w14:textId="77777777" w:rsidR="00806661" w:rsidRDefault="00806661" w:rsidP="00232BEF">
            <w:pPr>
              <w:pStyle w:val="ae"/>
            </w:pPr>
            <w:r>
              <w:t>(исключение: нефтегазовый сектор)</w:t>
            </w:r>
          </w:p>
        </w:tc>
        <w:tc>
          <w:tcPr>
            <w:tcW w:w="2086" w:type="dxa"/>
          </w:tcPr>
          <w:p w14:paraId="1995BB0A" w14:textId="77777777" w:rsidR="00806661" w:rsidRDefault="00806661" w:rsidP="00232BEF">
            <w:pPr>
              <w:pStyle w:val="ae"/>
            </w:pPr>
            <w:r>
              <w:t>Негативная</w:t>
            </w:r>
          </w:p>
          <w:p w14:paraId="2035384A" w14:textId="77777777" w:rsidR="00806661" w:rsidRDefault="00806661" w:rsidP="00232BEF">
            <w:pPr>
              <w:pStyle w:val="ae"/>
            </w:pPr>
            <w:r>
              <w:t>(исключение: компании с высокими инвестиционными возможностями)</w:t>
            </w:r>
          </w:p>
        </w:tc>
      </w:tr>
      <w:tr w:rsidR="00806661" w14:paraId="37F28EF1" w14:textId="77777777" w:rsidTr="00232BEF">
        <w:tc>
          <w:tcPr>
            <w:tcW w:w="1905" w:type="dxa"/>
          </w:tcPr>
          <w:p w14:paraId="5A09707E" w14:textId="77777777" w:rsidR="00806661" w:rsidRDefault="00806661" w:rsidP="00232BEF">
            <w:pPr>
              <w:pStyle w:val="ae"/>
            </w:pPr>
            <w:r>
              <w:t>Теплова Т., 2011</w:t>
            </w:r>
          </w:p>
        </w:tc>
        <w:tc>
          <w:tcPr>
            <w:tcW w:w="1719" w:type="dxa"/>
          </w:tcPr>
          <w:p w14:paraId="372D822B" w14:textId="77777777" w:rsidR="00806661" w:rsidRDefault="00806661" w:rsidP="00232BEF">
            <w:pPr>
              <w:pStyle w:val="ae"/>
            </w:pPr>
            <w:r>
              <w:t>Изменение дивиденда</w:t>
            </w:r>
          </w:p>
        </w:tc>
        <w:tc>
          <w:tcPr>
            <w:tcW w:w="1773" w:type="dxa"/>
          </w:tcPr>
          <w:p w14:paraId="67E770C7" w14:textId="77777777" w:rsidR="00806661" w:rsidRDefault="00806661" w:rsidP="00232BEF">
            <w:pPr>
              <w:pStyle w:val="ae"/>
            </w:pPr>
            <w:r>
              <w:t>2008-2010гг.</w:t>
            </w:r>
          </w:p>
        </w:tc>
        <w:tc>
          <w:tcPr>
            <w:tcW w:w="1862" w:type="dxa"/>
          </w:tcPr>
          <w:p w14:paraId="34DE753C" w14:textId="77777777" w:rsidR="00806661" w:rsidRDefault="00806661" w:rsidP="00232BEF">
            <w:pPr>
              <w:pStyle w:val="ae"/>
            </w:pPr>
            <w:r>
              <w:t>Не получено значимых результатов</w:t>
            </w:r>
          </w:p>
        </w:tc>
        <w:tc>
          <w:tcPr>
            <w:tcW w:w="2086" w:type="dxa"/>
          </w:tcPr>
          <w:p w14:paraId="55444AB3" w14:textId="77777777" w:rsidR="00806661" w:rsidRDefault="00806661" w:rsidP="00232BEF">
            <w:pPr>
              <w:pStyle w:val="ae"/>
            </w:pPr>
            <w:r>
              <w:t>Положительная</w:t>
            </w:r>
          </w:p>
        </w:tc>
      </w:tr>
      <w:tr w:rsidR="00806661" w14:paraId="599ABC7C" w14:textId="77777777" w:rsidTr="00232BEF">
        <w:tc>
          <w:tcPr>
            <w:tcW w:w="1905" w:type="dxa"/>
          </w:tcPr>
          <w:p w14:paraId="6F628C30" w14:textId="77777777" w:rsidR="00806661" w:rsidRDefault="00806661" w:rsidP="00232BEF">
            <w:pPr>
              <w:pStyle w:val="ae"/>
            </w:pPr>
            <w:r>
              <w:t>И.В.Березинец, Л.А.Булатова, Ю.Б.Ильина, М.В.Смирнов, 2015</w:t>
            </w:r>
          </w:p>
        </w:tc>
        <w:tc>
          <w:tcPr>
            <w:tcW w:w="1719" w:type="dxa"/>
          </w:tcPr>
          <w:p w14:paraId="32A90912" w14:textId="77777777" w:rsidR="00806661" w:rsidRDefault="00806661" w:rsidP="00232BEF">
            <w:pPr>
              <w:pStyle w:val="ae"/>
            </w:pPr>
            <w:r>
              <w:t>Изменение дивиденда</w:t>
            </w:r>
          </w:p>
        </w:tc>
        <w:tc>
          <w:tcPr>
            <w:tcW w:w="1773" w:type="dxa"/>
          </w:tcPr>
          <w:p w14:paraId="19CDC64B" w14:textId="77777777" w:rsidR="00806661" w:rsidRDefault="00806661" w:rsidP="00232BEF">
            <w:pPr>
              <w:pStyle w:val="ae"/>
            </w:pPr>
            <w:r>
              <w:t>2010-2012гг.</w:t>
            </w:r>
          </w:p>
        </w:tc>
        <w:tc>
          <w:tcPr>
            <w:tcW w:w="1862" w:type="dxa"/>
          </w:tcPr>
          <w:p w14:paraId="063CDB0E" w14:textId="77777777" w:rsidR="00806661" w:rsidRDefault="00806661" w:rsidP="00232BEF">
            <w:pPr>
              <w:pStyle w:val="ae"/>
            </w:pPr>
            <w:r>
              <w:t>Негативная</w:t>
            </w:r>
          </w:p>
        </w:tc>
        <w:tc>
          <w:tcPr>
            <w:tcW w:w="2086" w:type="dxa"/>
          </w:tcPr>
          <w:p w14:paraId="67AC5737" w14:textId="77777777" w:rsidR="00806661" w:rsidRDefault="00806661" w:rsidP="00232BEF">
            <w:pPr>
              <w:pStyle w:val="ae"/>
            </w:pPr>
            <w:r>
              <w:t>Негативная</w:t>
            </w:r>
          </w:p>
        </w:tc>
      </w:tr>
      <w:tr w:rsidR="00806661" w14:paraId="520219EA" w14:textId="77777777" w:rsidTr="00232BEF">
        <w:tc>
          <w:tcPr>
            <w:tcW w:w="1905" w:type="dxa"/>
          </w:tcPr>
          <w:p w14:paraId="203DC348" w14:textId="77777777" w:rsidR="00806661" w:rsidRDefault="00806661" w:rsidP="00232BEF">
            <w:pPr>
              <w:pStyle w:val="ae"/>
            </w:pPr>
            <w:r>
              <w:t>И. Березинец, Ю. Ильиной, М.Смирнова и Л.Булатовой, 2017</w:t>
            </w:r>
          </w:p>
        </w:tc>
        <w:tc>
          <w:tcPr>
            <w:tcW w:w="1719" w:type="dxa"/>
          </w:tcPr>
          <w:p w14:paraId="7C7959A6" w14:textId="77777777" w:rsidR="00806661" w:rsidRDefault="00806661" w:rsidP="00232BEF">
            <w:pPr>
              <w:pStyle w:val="ae"/>
            </w:pPr>
            <w:r>
              <w:t>Ошибка прогноза</w:t>
            </w:r>
          </w:p>
        </w:tc>
        <w:tc>
          <w:tcPr>
            <w:tcW w:w="1773" w:type="dxa"/>
          </w:tcPr>
          <w:p w14:paraId="567133DC" w14:textId="77777777" w:rsidR="00806661" w:rsidRDefault="00806661" w:rsidP="00232BEF">
            <w:pPr>
              <w:pStyle w:val="ae"/>
            </w:pPr>
            <w:r>
              <w:t>2010-2014гг.</w:t>
            </w:r>
          </w:p>
        </w:tc>
        <w:tc>
          <w:tcPr>
            <w:tcW w:w="1862" w:type="dxa"/>
          </w:tcPr>
          <w:p w14:paraId="4FDF50D1" w14:textId="77777777" w:rsidR="00806661" w:rsidRDefault="00806661" w:rsidP="00232BEF">
            <w:pPr>
              <w:pStyle w:val="ae"/>
            </w:pPr>
            <w:r>
              <w:t>Негативная</w:t>
            </w:r>
          </w:p>
          <w:p w14:paraId="452C5038" w14:textId="77777777" w:rsidR="00806661" w:rsidRDefault="00806661" w:rsidP="00232BEF">
            <w:pPr>
              <w:pStyle w:val="ae"/>
            </w:pPr>
            <w:r>
              <w:t xml:space="preserve">(исключение: нефтегазовый </w:t>
            </w:r>
            <w:proofErr w:type="gramStart"/>
            <w:r>
              <w:t>сектор  и</w:t>
            </w:r>
            <w:proofErr w:type="gramEnd"/>
            <w:r>
              <w:t xml:space="preserve"> utilities)</w:t>
            </w:r>
          </w:p>
        </w:tc>
        <w:tc>
          <w:tcPr>
            <w:tcW w:w="2086" w:type="dxa"/>
          </w:tcPr>
          <w:p w14:paraId="500E5C91" w14:textId="77777777" w:rsidR="00806661" w:rsidRDefault="00806661" w:rsidP="00232BEF">
            <w:pPr>
              <w:pStyle w:val="ae"/>
            </w:pPr>
            <w:r>
              <w:t>Негативная</w:t>
            </w:r>
          </w:p>
        </w:tc>
      </w:tr>
      <w:tr w:rsidR="00806661" w14:paraId="3F84893D" w14:textId="77777777" w:rsidTr="00232BEF">
        <w:tc>
          <w:tcPr>
            <w:tcW w:w="1905" w:type="dxa"/>
          </w:tcPr>
          <w:p w14:paraId="35A90DC9" w14:textId="77777777" w:rsidR="00806661" w:rsidRDefault="00806661" w:rsidP="00232BEF">
            <w:pPr>
              <w:pStyle w:val="ae"/>
            </w:pPr>
            <w:r>
              <w:t>А. Филиппов, О.Сибанов, 2019</w:t>
            </w:r>
          </w:p>
        </w:tc>
        <w:tc>
          <w:tcPr>
            <w:tcW w:w="1719" w:type="dxa"/>
          </w:tcPr>
          <w:p w14:paraId="3182A173" w14:textId="77777777" w:rsidR="00806661" w:rsidRDefault="00806661" w:rsidP="00232BEF">
            <w:pPr>
              <w:pStyle w:val="ae"/>
            </w:pPr>
            <w:r>
              <w:t>Ошибка прогноза</w:t>
            </w:r>
          </w:p>
        </w:tc>
        <w:tc>
          <w:tcPr>
            <w:tcW w:w="1773" w:type="dxa"/>
          </w:tcPr>
          <w:p w14:paraId="7B7892EA" w14:textId="77777777" w:rsidR="00806661" w:rsidRDefault="00806661" w:rsidP="00232BEF">
            <w:pPr>
              <w:pStyle w:val="ae"/>
            </w:pPr>
            <w:r>
              <w:t>2006-2015гг.</w:t>
            </w:r>
          </w:p>
        </w:tc>
        <w:tc>
          <w:tcPr>
            <w:tcW w:w="1862" w:type="dxa"/>
          </w:tcPr>
          <w:p w14:paraId="5BA9088D" w14:textId="77777777" w:rsidR="00806661" w:rsidRDefault="00806661" w:rsidP="00232BEF">
            <w:pPr>
              <w:pStyle w:val="ae"/>
            </w:pPr>
            <w:r>
              <w:t>Позитивная</w:t>
            </w:r>
          </w:p>
        </w:tc>
        <w:tc>
          <w:tcPr>
            <w:tcW w:w="2086" w:type="dxa"/>
          </w:tcPr>
          <w:p w14:paraId="7EB9F8A3" w14:textId="77777777" w:rsidR="00806661" w:rsidRDefault="00806661" w:rsidP="00232BEF">
            <w:pPr>
              <w:pStyle w:val="ae"/>
            </w:pPr>
            <w:r>
              <w:t>Не получено значимых результатов</w:t>
            </w:r>
          </w:p>
        </w:tc>
      </w:tr>
      <w:tr w:rsidR="00806661" w14:paraId="2543250D" w14:textId="77777777" w:rsidTr="00232BEF">
        <w:tc>
          <w:tcPr>
            <w:tcW w:w="9345" w:type="dxa"/>
            <w:gridSpan w:val="5"/>
          </w:tcPr>
          <w:p w14:paraId="5A91C519" w14:textId="77777777" w:rsidR="00806661" w:rsidRDefault="00806661" w:rsidP="00232BEF">
            <w:pPr>
              <w:widowControl w:val="0"/>
              <w:pBdr>
                <w:top w:val="nil"/>
                <w:left w:val="nil"/>
                <w:bottom w:val="nil"/>
                <w:right w:val="nil"/>
                <w:between w:val="nil"/>
              </w:pBdr>
              <w:ind w:firstLine="0"/>
              <w:jc w:val="center"/>
              <w:rPr>
                <w:color w:val="000000"/>
                <w:sz w:val="20"/>
                <w:szCs w:val="20"/>
              </w:rPr>
            </w:pPr>
            <w:r>
              <w:rPr>
                <w:rFonts w:eastAsia="Times New Roman"/>
                <w:b/>
                <w:color w:val="000000"/>
                <w:szCs w:val="24"/>
              </w:rPr>
              <w:t>Китай</w:t>
            </w:r>
          </w:p>
        </w:tc>
      </w:tr>
      <w:tr w:rsidR="00806661" w14:paraId="78C91640" w14:textId="77777777" w:rsidTr="00232BEF">
        <w:tc>
          <w:tcPr>
            <w:tcW w:w="1905" w:type="dxa"/>
          </w:tcPr>
          <w:p w14:paraId="1BF13CD1" w14:textId="77777777" w:rsidR="00806661" w:rsidRPr="009217DB" w:rsidRDefault="00806661" w:rsidP="00232BEF">
            <w:pPr>
              <w:widowControl w:val="0"/>
              <w:pBdr>
                <w:top w:val="nil"/>
                <w:left w:val="nil"/>
                <w:bottom w:val="nil"/>
                <w:right w:val="nil"/>
                <w:between w:val="nil"/>
              </w:pBdr>
              <w:ind w:firstLine="0"/>
              <w:jc w:val="left"/>
              <w:rPr>
                <w:color w:val="000000"/>
                <w:sz w:val="20"/>
                <w:szCs w:val="20"/>
                <w:lang w:val="en-US"/>
              </w:rPr>
            </w:pPr>
            <w:r w:rsidRPr="009217DB">
              <w:rPr>
                <w:rFonts w:eastAsia="Times New Roman"/>
                <w:color w:val="000000"/>
                <w:sz w:val="20"/>
                <w:szCs w:val="20"/>
                <w:lang w:val="en-US"/>
              </w:rPr>
              <w:t>Dar-Hsin Chen, Hsiang-Hsi Liu, and Cheng-Ting Huang, 2009</w:t>
            </w:r>
          </w:p>
        </w:tc>
        <w:tc>
          <w:tcPr>
            <w:tcW w:w="1719" w:type="dxa"/>
          </w:tcPr>
          <w:p w14:paraId="10B6D048" w14:textId="77777777" w:rsidR="00806661" w:rsidRDefault="00806661" w:rsidP="00232BEF">
            <w:pPr>
              <w:widowControl w:val="0"/>
              <w:pBdr>
                <w:top w:val="nil"/>
                <w:left w:val="nil"/>
                <w:bottom w:val="nil"/>
                <w:right w:val="nil"/>
                <w:between w:val="nil"/>
              </w:pBdr>
              <w:ind w:firstLine="0"/>
              <w:jc w:val="left"/>
              <w:rPr>
                <w:color w:val="000000"/>
                <w:sz w:val="20"/>
                <w:szCs w:val="20"/>
              </w:rPr>
            </w:pPr>
            <w:r>
              <w:rPr>
                <w:rFonts w:eastAsia="Times New Roman"/>
                <w:color w:val="000000"/>
                <w:sz w:val="20"/>
                <w:szCs w:val="20"/>
              </w:rPr>
              <w:t>Изменение дивиденда</w:t>
            </w:r>
          </w:p>
        </w:tc>
        <w:tc>
          <w:tcPr>
            <w:tcW w:w="1773" w:type="dxa"/>
          </w:tcPr>
          <w:p w14:paraId="50611007" w14:textId="77777777" w:rsidR="00806661" w:rsidRDefault="00806661" w:rsidP="00232BEF">
            <w:pPr>
              <w:widowControl w:val="0"/>
              <w:pBdr>
                <w:top w:val="nil"/>
                <w:left w:val="nil"/>
                <w:bottom w:val="nil"/>
                <w:right w:val="nil"/>
                <w:between w:val="nil"/>
              </w:pBdr>
              <w:ind w:firstLine="0"/>
              <w:jc w:val="left"/>
              <w:rPr>
                <w:color w:val="000000"/>
                <w:sz w:val="20"/>
                <w:szCs w:val="20"/>
              </w:rPr>
            </w:pPr>
            <w:r>
              <w:rPr>
                <w:rFonts w:eastAsia="Times New Roman"/>
                <w:color w:val="000000"/>
                <w:sz w:val="20"/>
                <w:szCs w:val="20"/>
              </w:rPr>
              <w:t>1999г.</w:t>
            </w:r>
          </w:p>
        </w:tc>
        <w:tc>
          <w:tcPr>
            <w:tcW w:w="1862" w:type="dxa"/>
          </w:tcPr>
          <w:p w14:paraId="36B0CD63" w14:textId="77777777" w:rsidR="00806661" w:rsidRDefault="00806661" w:rsidP="00232BEF">
            <w:pPr>
              <w:widowControl w:val="0"/>
              <w:pBdr>
                <w:top w:val="nil"/>
                <w:left w:val="nil"/>
                <w:bottom w:val="nil"/>
                <w:right w:val="nil"/>
                <w:between w:val="nil"/>
              </w:pBdr>
              <w:ind w:firstLine="0"/>
              <w:jc w:val="left"/>
              <w:rPr>
                <w:color w:val="000000"/>
                <w:sz w:val="20"/>
                <w:szCs w:val="20"/>
              </w:rPr>
            </w:pPr>
            <w:r>
              <w:rPr>
                <w:rFonts w:eastAsia="Times New Roman"/>
                <w:color w:val="000000"/>
                <w:sz w:val="20"/>
                <w:szCs w:val="20"/>
              </w:rPr>
              <w:t>Негативная</w:t>
            </w:r>
          </w:p>
        </w:tc>
        <w:tc>
          <w:tcPr>
            <w:tcW w:w="2086" w:type="dxa"/>
          </w:tcPr>
          <w:p w14:paraId="37C41792" w14:textId="77777777" w:rsidR="00806661" w:rsidRDefault="00806661" w:rsidP="00232BEF">
            <w:pPr>
              <w:widowControl w:val="0"/>
              <w:pBdr>
                <w:top w:val="nil"/>
                <w:left w:val="nil"/>
                <w:bottom w:val="nil"/>
                <w:right w:val="nil"/>
                <w:between w:val="nil"/>
              </w:pBdr>
              <w:ind w:firstLine="0"/>
              <w:jc w:val="left"/>
              <w:rPr>
                <w:color w:val="000000"/>
                <w:sz w:val="20"/>
                <w:szCs w:val="20"/>
              </w:rPr>
            </w:pPr>
            <w:r>
              <w:rPr>
                <w:rFonts w:eastAsia="Times New Roman"/>
                <w:color w:val="000000"/>
                <w:sz w:val="20"/>
                <w:szCs w:val="20"/>
              </w:rPr>
              <w:t>Позитивная</w:t>
            </w:r>
          </w:p>
        </w:tc>
      </w:tr>
      <w:tr w:rsidR="00806661" w14:paraId="73555A79" w14:textId="77777777" w:rsidTr="00232BEF">
        <w:tc>
          <w:tcPr>
            <w:tcW w:w="1905" w:type="dxa"/>
          </w:tcPr>
          <w:p w14:paraId="556789C3" w14:textId="77777777" w:rsidR="00806661" w:rsidRPr="009217DB" w:rsidRDefault="00806661" w:rsidP="00232BEF">
            <w:pPr>
              <w:widowControl w:val="0"/>
              <w:pBdr>
                <w:top w:val="nil"/>
                <w:left w:val="nil"/>
                <w:bottom w:val="nil"/>
                <w:right w:val="nil"/>
                <w:between w:val="nil"/>
              </w:pBdr>
              <w:ind w:firstLine="0"/>
              <w:jc w:val="left"/>
              <w:rPr>
                <w:color w:val="000000"/>
                <w:sz w:val="20"/>
                <w:szCs w:val="20"/>
                <w:lang w:val="en-US"/>
              </w:rPr>
            </w:pPr>
            <w:r w:rsidRPr="009217DB">
              <w:rPr>
                <w:rFonts w:eastAsia="Times New Roman"/>
                <w:color w:val="000000"/>
                <w:sz w:val="20"/>
                <w:szCs w:val="20"/>
                <w:lang w:val="en-US"/>
              </w:rPr>
              <w:t>Dar-Hsin Chen, Hsiang-Hsi Liu, and Cheng-Ting Huang, 2009</w:t>
            </w:r>
          </w:p>
        </w:tc>
        <w:tc>
          <w:tcPr>
            <w:tcW w:w="1719" w:type="dxa"/>
          </w:tcPr>
          <w:p w14:paraId="001CE911" w14:textId="77777777" w:rsidR="00806661" w:rsidRDefault="00806661" w:rsidP="00232BEF">
            <w:pPr>
              <w:widowControl w:val="0"/>
              <w:pBdr>
                <w:top w:val="nil"/>
                <w:left w:val="nil"/>
                <w:bottom w:val="nil"/>
                <w:right w:val="nil"/>
                <w:between w:val="nil"/>
              </w:pBdr>
              <w:ind w:firstLine="0"/>
              <w:jc w:val="left"/>
              <w:rPr>
                <w:color w:val="000000"/>
                <w:sz w:val="20"/>
                <w:szCs w:val="20"/>
              </w:rPr>
            </w:pPr>
            <w:r>
              <w:rPr>
                <w:rFonts w:eastAsia="Times New Roman"/>
                <w:color w:val="000000"/>
                <w:sz w:val="20"/>
                <w:szCs w:val="20"/>
              </w:rPr>
              <w:t>Изменение дивиденда</w:t>
            </w:r>
          </w:p>
        </w:tc>
        <w:tc>
          <w:tcPr>
            <w:tcW w:w="1773" w:type="dxa"/>
          </w:tcPr>
          <w:p w14:paraId="7025E1E0" w14:textId="77777777" w:rsidR="00806661" w:rsidRDefault="00806661" w:rsidP="00232BEF">
            <w:pPr>
              <w:widowControl w:val="0"/>
              <w:pBdr>
                <w:top w:val="nil"/>
                <w:left w:val="nil"/>
                <w:bottom w:val="nil"/>
                <w:right w:val="nil"/>
                <w:between w:val="nil"/>
              </w:pBdr>
              <w:ind w:firstLine="0"/>
              <w:jc w:val="left"/>
              <w:rPr>
                <w:color w:val="000000"/>
                <w:sz w:val="20"/>
                <w:szCs w:val="20"/>
              </w:rPr>
            </w:pPr>
            <w:r>
              <w:rPr>
                <w:rFonts w:eastAsia="Times New Roman"/>
                <w:color w:val="000000"/>
                <w:sz w:val="20"/>
                <w:szCs w:val="20"/>
              </w:rPr>
              <w:t>2000-2004гг.</w:t>
            </w:r>
          </w:p>
        </w:tc>
        <w:tc>
          <w:tcPr>
            <w:tcW w:w="1862" w:type="dxa"/>
          </w:tcPr>
          <w:p w14:paraId="78575120" w14:textId="77777777" w:rsidR="00806661" w:rsidRDefault="00806661" w:rsidP="00232BEF">
            <w:pPr>
              <w:widowControl w:val="0"/>
              <w:pBdr>
                <w:top w:val="nil"/>
                <w:left w:val="nil"/>
                <w:bottom w:val="nil"/>
                <w:right w:val="nil"/>
                <w:between w:val="nil"/>
              </w:pBdr>
              <w:ind w:firstLine="0"/>
              <w:jc w:val="left"/>
              <w:rPr>
                <w:color w:val="000000"/>
                <w:sz w:val="20"/>
                <w:szCs w:val="20"/>
              </w:rPr>
            </w:pPr>
            <w:r>
              <w:rPr>
                <w:rFonts w:eastAsia="Times New Roman"/>
                <w:color w:val="000000"/>
                <w:sz w:val="20"/>
                <w:szCs w:val="20"/>
              </w:rPr>
              <w:t>Позитивная</w:t>
            </w:r>
          </w:p>
        </w:tc>
        <w:tc>
          <w:tcPr>
            <w:tcW w:w="2086" w:type="dxa"/>
          </w:tcPr>
          <w:p w14:paraId="48D01F80" w14:textId="77777777" w:rsidR="00806661" w:rsidRDefault="00806661" w:rsidP="00232BEF">
            <w:pPr>
              <w:widowControl w:val="0"/>
              <w:pBdr>
                <w:top w:val="nil"/>
                <w:left w:val="nil"/>
                <w:bottom w:val="nil"/>
                <w:right w:val="nil"/>
                <w:between w:val="nil"/>
              </w:pBdr>
              <w:ind w:firstLine="0"/>
              <w:jc w:val="left"/>
              <w:rPr>
                <w:color w:val="000000"/>
                <w:sz w:val="20"/>
                <w:szCs w:val="20"/>
              </w:rPr>
            </w:pPr>
            <w:r>
              <w:rPr>
                <w:rFonts w:eastAsia="Times New Roman"/>
                <w:color w:val="000000"/>
                <w:sz w:val="20"/>
                <w:szCs w:val="20"/>
              </w:rPr>
              <w:t>Позитивная</w:t>
            </w:r>
          </w:p>
        </w:tc>
      </w:tr>
      <w:tr w:rsidR="00806661" w14:paraId="52F0BE71" w14:textId="77777777" w:rsidTr="00232BEF">
        <w:tc>
          <w:tcPr>
            <w:tcW w:w="1905" w:type="dxa"/>
          </w:tcPr>
          <w:p w14:paraId="2C7CC028" w14:textId="77777777" w:rsidR="00806661" w:rsidRDefault="00806661" w:rsidP="00232BEF">
            <w:pPr>
              <w:widowControl w:val="0"/>
              <w:pBdr>
                <w:top w:val="nil"/>
                <w:left w:val="nil"/>
                <w:bottom w:val="nil"/>
                <w:right w:val="nil"/>
                <w:between w:val="nil"/>
              </w:pBdr>
              <w:ind w:firstLine="0"/>
              <w:jc w:val="left"/>
              <w:rPr>
                <w:color w:val="000000"/>
                <w:sz w:val="20"/>
                <w:szCs w:val="20"/>
              </w:rPr>
            </w:pPr>
            <w:r>
              <w:rPr>
                <w:rFonts w:eastAsia="Times New Roman"/>
                <w:color w:val="000000"/>
                <w:sz w:val="20"/>
                <w:szCs w:val="20"/>
              </w:rPr>
              <w:t>Hu Zuguang, 2010</w:t>
            </w:r>
          </w:p>
        </w:tc>
        <w:tc>
          <w:tcPr>
            <w:tcW w:w="1719" w:type="dxa"/>
          </w:tcPr>
          <w:p w14:paraId="48E47D19" w14:textId="77777777" w:rsidR="00806661" w:rsidRDefault="00806661" w:rsidP="00232BEF">
            <w:pPr>
              <w:widowControl w:val="0"/>
              <w:pBdr>
                <w:top w:val="nil"/>
                <w:left w:val="nil"/>
                <w:bottom w:val="nil"/>
                <w:right w:val="nil"/>
                <w:between w:val="nil"/>
              </w:pBdr>
              <w:ind w:firstLine="0"/>
              <w:jc w:val="left"/>
              <w:rPr>
                <w:color w:val="000000"/>
                <w:sz w:val="20"/>
                <w:szCs w:val="20"/>
              </w:rPr>
            </w:pPr>
            <w:r>
              <w:rPr>
                <w:rFonts w:eastAsia="Times New Roman"/>
                <w:color w:val="000000"/>
                <w:sz w:val="20"/>
                <w:szCs w:val="20"/>
              </w:rPr>
              <w:t>Изменение дивиденда</w:t>
            </w:r>
          </w:p>
        </w:tc>
        <w:tc>
          <w:tcPr>
            <w:tcW w:w="1773" w:type="dxa"/>
          </w:tcPr>
          <w:p w14:paraId="009FF543" w14:textId="77777777" w:rsidR="00806661" w:rsidRDefault="00806661" w:rsidP="00232BEF">
            <w:pPr>
              <w:widowControl w:val="0"/>
              <w:pBdr>
                <w:top w:val="nil"/>
                <w:left w:val="nil"/>
                <w:bottom w:val="nil"/>
                <w:right w:val="nil"/>
                <w:between w:val="nil"/>
              </w:pBdr>
              <w:ind w:firstLine="0"/>
              <w:jc w:val="left"/>
              <w:rPr>
                <w:color w:val="000000"/>
                <w:sz w:val="20"/>
                <w:szCs w:val="20"/>
              </w:rPr>
            </w:pPr>
            <w:r>
              <w:rPr>
                <w:rFonts w:eastAsia="Times New Roman"/>
                <w:color w:val="000000"/>
                <w:sz w:val="20"/>
                <w:szCs w:val="20"/>
              </w:rPr>
              <w:t>2005-2009гг.</w:t>
            </w:r>
          </w:p>
        </w:tc>
        <w:tc>
          <w:tcPr>
            <w:tcW w:w="1862" w:type="dxa"/>
          </w:tcPr>
          <w:p w14:paraId="1390C244" w14:textId="77777777" w:rsidR="00806661" w:rsidRDefault="00806661" w:rsidP="00232BEF">
            <w:pPr>
              <w:widowControl w:val="0"/>
              <w:pBdr>
                <w:top w:val="nil"/>
                <w:left w:val="nil"/>
                <w:bottom w:val="nil"/>
                <w:right w:val="nil"/>
                <w:between w:val="nil"/>
              </w:pBdr>
              <w:ind w:firstLine="0"/>
              <w:jc w:val="left"/>
              <w:rPr>
                <w:color w:val="000000"/>
                <w:sz w:val="20"/>
                <w:szCs w:val="20"/>
              </w:rPr>
            </w:pPr>
            <w:r>
              <w:rPr>
                <w:rFonts w:eastAsia="Times New Roman"/>
                <w:color w:val="000000"/>
                <w:sz w:val="20"/>
                <w:szCs w:val="20"/>
              </w:rPr>
              <w:t>Позитивная</w:t>
            </w:r>
          </w:p>
        </w:tc>
        <w:tc>
          <w:tcPr>
            <w:tcW w:w="2086" w:type="dxa"/>
          </w:tcPr>
          <w:p w14:paraId="337963A7" w14:textId="77777777" w:rsidR="00806661" w:rsidRDefault="00806661" w:rsidP="00232BEF">
            <w:pPr>
              <w:widowControl w:val="0"/>
              <w:pBdr>
                <w:top w:val="nil"/>
                <w:left w:val="nil"/>
                <w:bottom w:val="nil"/>
                <w:right w:val="nil"/>
                <w:between w:val="nil"/>
              </w:pBdr>
              <w:ind w:firstLine="0"/>
              <w:jc w:val="left"/>
              <w:rPr>
                <w:color w:val="000000"/>
                <w:sz w:val="20"/>
                <w:szCs w:val="20"/>
              </w:rPr>
            </w:pPr>
            <w:r>
              <w:rPr>
                <w:rFonts w:eastAsia="Times New Roman"/>
                <w:color w:val="000000"/>
                <w:sz w:val="20"/>
                <w:szCs w:val="20"/>
              </w:rPr>
              <w:t>Не получено значимых результатов</w:t>
            </w:r>
          </w:p>
        </w:tc>
      </w:tr>
    </w:tbl>
    <w:p w14:paraId="78C6E328" w14:textId="77777777" w:rsidR="00806661" w:rsidRDefault="00806661" w:rsidP="00806661"/>
    <w:p w14:paraId="01055F7C" w14:textId="77777777" w:rsidR="00806661" w:rsidRDefault="00806661" w:rsidP="00806661">
      <w:r>
        <w:t>Рассмотрим более подробно историю развития эмпирических исследований по данной теме.</w:t>
      </w:r>
    </w:p>
    <w:p w14:paraId="462CC587" w14:textId="77777777" w:rsidR="00806661" w:rsidRDefault="00806661" w:rsidP="00806661">
      <w:r>
        <w:t>Одно из самых ранних исследований, тестирующих реакцию рынка на объявления о дивидендах, было проведено в 1980 г. на 384 наблюдениях на американском рынке. Была зафиксирована избыточная доходность в день объявления в размере 0,36% в случае роста дивидендов и -1,13% в случае их снижения.</w:t>
      </w:r>
      <w:r>
        <w:rPr>
          <w:rStyle w:val="aff"/>
        </w:rPr>
        <w:footnoteReference w:id="8"/>
      </w:r>
    </w:p>
    <w:p w14:paraId="3EA2AFB3" w14:textId="77777777" w:rsidR="00806661" w:rsidRDefault="00806661" w:rsidP="00806661">
      <w:r>
        <w:t>В более поздней работе 1995 года П.С. Йун и Л.Т. Старкс также нашли подтверждение сигнальной теории на американском рынке, при этом отметив, что объявления о снижении дивидендов влекли за собой более выраженную реакцию (измеренную с помощью показателя накопленной избыточной доходности), нежели объявления об увеличении дивидендов. Авторы также обнаружили, что после объявления фирм о снижении дивидендов аналитики склонны корректировать свои прогнозы о прибыли компаний в меньшую сторону, в то время как их прогнозы после объявления об увеличении дивидендов не отличаются от сделанных ранее.</w:t>
      </w:r>
      <w:r>
        <w:rPr>
          <w:rStyle w:val="aff"/>
        </w:rPr>
        <w:footnoteReference w:id="9"/>
      </w:r>
      <w:r>
        <w:t xml:space="preserve"> Это соотносится с результатами исследования </w:t>
      </w:r>
      <w:r w:rsidRPr="00CB6BBD">
        <w:t>Уортер</w:t>
      </w:r>
      <w:r>
        <w:t>а</w:t>
      </w:r>
      <w:r w:rsidRPr="00CB6BBD">
        <w:t xml:space="preserve"> В. А.</w:t>
      </w:r>
      <w:r>
        <w:t xml:space="preserve"> (1994), в котором автор заключает, что дивиденды склонны иметь большую информацию, когда они уменьшаются, нежели в случае их роста. В его модели только «худшие» компании (наименее прибыльные) снижали размер дивидендов, в то время как большинство компаний склонны поддерживать выплаты на одном уровне либо постепенно увеличивать их.</w:t>
      </w:r>
      <w:r>
        <w:rPr>
          <w:rStyle w:val="aff"/>
        </w:rPr>
        <w:footnoteReference w:id="10"/>
      </w:r>
    </w:p>
    <w:p w14:paraId="023B3B4D" w14:textId="77777777" w:rsidR="00806661" w:rsidRDefault="00806661" w:rsidP="00806661">
      <w:r>
        <w:t xml:space="preserve">Одно из ранних исследований было проведено в 1996 г. на другом развитом рынке – Великобритании (Lonie </w:t>
      </w:r>
      <w:r>
        <w:rPr>
          <w:lang w:val="en-US"/>
        </w:rPr>
        <w:t>A</w:t>
      </w:r>
      <w:r w:rsidRPr="009217DB">
        <w:t xml:space="preserve">. </w:t>
      </w:r>
      <w:r>
        <w:t>et al, 1996)</w:t>
      </w:r>
      <w:r>
        <w:rPr>
          <w:rStyle w:val="aff"/>
        </w:rPr>
        <w:footnoteReference w:id="11"/>
      </w:r>
      <w:r>
        <w:t>. На выборке британских компаний также были обнаружены ценовые эффекты после объявлений о дивидендах в соответствии с сигнальной теорией. Кроме того, авторы обнаружили, что средняя избыточная доходность за день до объявления была статистически значимой, что говорит о том, что по крайней мере на момент 1991 г. британский фондовой рынок нельзя было назвать эффективным.</w:t>
      </w:r>
    </w:p>
    <w:p w14:paraId="355EA136" w14:textId="77777777" w:rsidR="00806661" w:rsidRDefault="00806661" w:rsidP="00806661">
      <w:r>
        <w:t>В исследовании, проведенном на рынке Германии на 200 компаниях в период с 1988 по 1992 гг., также была получены отрицательная избыточная доходность в случае снижения дивидендов, и позитивная – в случае увеличения, при этом значения AR были значимы и за день до объявления тоже.</w:t>
      </w:r>
      <w:r>
        <w:rPr>
          <w:rStyle w:val="aff"/>
        </w:rPr>
        <w:footnoteReference w:id="12"/>
      </w:r>
    </w:p>
    <w:p w14:paraId="0A5B5CDB" w14:textId="77777777" w:rsidR="00806661" w:rsidRDefault="00806661" w:rsidP="00806661">
      <w:r>
        <w:t xml:space="preserve">В то же время не все исследования, проведенные для развитых рынков, демонстрируют одинаковые результаты. Так, например, в относительно свежей работе (Karim </w:t>
      </w:r>
      <w:r>
        <w:rPr>
          <w:lang w:val="en-US"/>
        </w:rPr>
        <w:t>M</w:t>
      </w:r>
      <w:r w:rsidRPr="009217DB">
        <w:t>.</w:t>
      </w:r>
      <w:r>
        <w:t>, 2010) на выборке компаний, залистингованных на бирже LSE, были получены результаты, противоречащие сигнальной теории: в период с 2006 по 2008 гг. инвесторы положительно воспринимали новость об уменьшении дивидендов и отрицательно – новость об их увеличении. Автор предположил, что такой неожиданный результат связан с тем, что исследование проводилось на периоде, который характеризовался кризисом, новость об уменьшении дивидендов могла свидетельствовать о потенциале компании в отношении инвестиций в эффективные проекты, а новость об увеличении дивидендов – об отсутствии такого потенциала в условиях кризиса.</w:t>
      </w:r>
      <w:r>
        <w:rPr>
          <w:rStyle w:val="aff"/>
        </w:rPr>
        <w:footnoteReference w:id="13"/>
      </w:r>
    </w:p>
    <w:p w14:paraId="6E05E591" w14:textId="77777777" w:rsidR="00806661" w:rsidRDefault="00806661" w:rsidP="00806661">
      <w:r>
        <w:t>Если сначала исследования проводились в основном на развитых рынках – США, Великобритании, европейских странах – то со временем появились работы, анализирующие эффект дивидендных объявлений в развивающихся странах. Такие работы представляют особый интерес в силу особых институциональных условий, характерных для большинства развивающихся рынков: высокая степень концентрации собственности, слабое законодательство в отношении защиты прав миноритариев, значительная степень информационной асимметрии, а также, как правило, активное участие государства в публичных компаниях.</w:t>
      </w:r>
    </w:p>
    <w:p w14:paraId="7344EBBA" w14:textId="77777777" w:rsidR="00806661" w:rsidRDefault="00806661" w:rsidP="00806661">
      <w:r>
        <w:t xml:space="preserve">В частности, в исследованиях для российского рынка были получены разные результаты относительно сигнальной роли дивидендов в зависимости от периода. Так, например, исследование Тепловой Т., проведенное на временном отрезке 1996-2006гг., показало, что увеличение дивидендов вызывает негативную реакцию российского фондового рынка. </w:t>
      </w:r>
      <w:r>
        <w:rPr>
          <w:rStyle w:val="aff"/>
        </w:rPr>
        <w:footnoteReference w:id="14"/>
      </w:r>
      <w:r>
        <w:t>В выборку исследования вошли наиболее развивающиеся на выбранном периоде компании, соответственно, полученный результат можно объяснить «теорией свободного денежного потока», связывающей инвестиционные возможности компании и реакцию на ее дивиденды. Автор также отметила, что на зарубежных рынках негативная реакция была более выраженной, то есть западные инвесторы ожидают более высоких инвестиций и негативно воспринимают увеличение денежных выплат. На новость о снижении дивидендов рынок также реагировал негативно. Кроме того, для нефтегазовых компаний был получен результат, противоположный среднему по выборке: в компаниях этого сектора новость о росте дивидендов воспринималась позитивно. Автор предполагает, что это связано с восприятием нефтегазовых игроков как «дойных коров», которые могут себе позволить увеличивать дивиденды, не урезая при этом инвестиции в развитие. Дополнительно был проведено отдельное “event study” для подвыборки компаний с высокими инвестиционными возможностями и наличием финансовых ограничений: снижение дивидендов в таких компаниях влекло за собой четко выраженную позитивную реакцию, а увеличение дивидендов – негативную реакцию.</w:t>
      </w:r>
    </w:p>
    <w:p w14:paraId="361428BF" w14:textId="77777777" w:rsidR="00806661" w:rsidRDefault="00806661" w:rsidP="00806661">
      <w:r>
        <w:t xml:space="preserve">В более позднем исследовании Тепловой рассматривалось поведение цен акций в кризисный период, а именно объявления дивидендов </w:t>
      </w:r>
      <w:proofErr w:type="gramStart"/>
      <w:r>
        <w:t>2008-2010</w:t>
      </w:r>
      <w:proofErr w:type="gramEnd"/>
      <w:r w:rsidRPr="009217DB">
        <w:t xml:space="preserve"> </w:t>
      </w:r>
      <w:r>
        <w:t xml:space="preserve">гг. </w:t>
      </w:r>
      <w:r>
        <w:rPr>
          <w:rStyle w:val="aff"/>
        </w:rPr>
        <w:footnoteReference w:id="15"/>
      </w:r>
      <w:r>
        <w:t>Была зафиксирована уже положительная реакция на новость о снижении дивидендов в этот период, так как рынок «...рассматривает тактику поддержания денежной ликвидности как позитивный сигнал о возможности сохранить устойчивость». При этом негативный эффект объявления о росте дивидендов для компаний с высокими возможностями роста, обнаруженный ранее, в кризисный период только усилился.</w:t>
      </w:r>
    </w:p>
    <w:p w14:paraId="3E6BE9B3" w14:textId="77777777" w:rsidR="00806661" w:rsidRDefault="00806661" w:rsidP="00806661">
      <w:r>
        <w:t xml:space="preserve">В посткризисный период </w:t>
      </w:r>
      <w:proofErr w:type="gramStart"/>
      <w:r>
        <w:t>2010-2012</w:t>
      </w:r>
      <w:proofErr w:type="gramEnd"/>
      <w:r w:rsidRPr="009217DB">
        <w:t xml:space="preserve"> </w:t>
      </w:r>
      <w:r>
        <w:t>гг. результаты аналогичного исследования (Березинец И.В. и др., 2015)</w:t>
      </w:r>
      <w:r>
        <w:rPr>
          <w:rStyle w:val="aff"/>
        </w:rPr>
        <w:footnoteReference w:id="16"/>
      </w:r>
      <w:r>
        <w:t>оказались схожи с результатами для докризисного периода (Теплова, 2008), а именно рынок негативно реагировал как на новость о росте дивидендов, так и на новость об их сокращении. Авторы предполагают, что увеличение выплат могло восприниматься как сигнал об отсутствии инвестиционных возможностей в посткризисный период, который можно охарактеризовать как этап восстановительного роста экономики России. Другой причиной такой реакции, по мнению авторов, могла быть высокая концентрация собственности в доминирующей отрасли в выборке – электроэнергетической – и новость о росте дивидендов воспринималась инвесторами как попытка вывести доходы компании в руки контролирующих акционеров для реализации их личных интересов. В исследовании делается вывод о том, что в период экономического роста в стране компаниям следует придерживаться стабильного минимального размера выплат, чтобы одновременно были возможности для инвестиций и сдерживания конфликта между мажоритарными и миноритарными акционерами.</w:t>
      </w:r>
    </w:p>
    <w:p w14:paraId="4CF1485A" w14:textId="77777777" w:rsidR="00806661" w:rsidRDefault="00806661" w:rsidP="00806661">
      <w:r>
        <w:t>Также стоит отметить исследование Роговой и Бердниковой (2015), в котороам авторы тестировали реакцию рынка на дивиденды на широком периоде 2009-2013гг. Они обнаружили, что российский рынок негативно реагирует на новость об увеличении дивидендов и позитивно - на новость об их снижении. Авторы связали это с тем, что по всей видимости, для инвестирующих в российские компании важнее «будущий доход от инвестиционной деятельности, нежели текущий – от дивидендов». При этом для нефтегазовой отрасли негативная реакция на увеличение дивидендов меньше, так как компании этого сектора традиционно считают «дойными коровами». Для химической промышленности и компаний, добывающих полезные ископаемые (кроме топливно-энергетических), наоборот, была зафиксирована очень выраженная негативная реакция на новость об увеличении дивидендов, так как эт отрасли в наблдаемый пеиод демонстрировали быстрый рост.</w:t>
      </w:r>
    </w:p>
    <w:p w14:paraId="5F7173BE" w14:textId="77777777" w:rsidR="00806661" w:rsidRDefault="00806661" w:rsidP="00806661">
      <w:r>
        <w:t xml:space="preserve">Отдельно рассмотрим аналогичные исследования, проведенные для китайского рынка, который также, как и российский рынок, войдет в фокус данного исследования. </w:t>
      </w:r>
    </w:p>
    <w:p w14:paraId="1E723211" w14:textId="1FC2CFB1" w:rsidR="00806661" w:rsidRDefault="00806661" w:rsidP="00806661">
      <w:r>
        <w:t>Одно из ранних исследований на выборке китайских акций было проанализровано два периода – 1999 г. и 2000-2004гг.</w:t>
      </w:r>
      <w:r>
        <w:rPr>
          <w:rStyle w:val="aff"/>
        </w:rPr>
        <w:footnoteReference w:id="17"/>
      </w:r>
      <w:r w:rsidRPr="009217DB">
        <w:t xml:space="preserve"> </w:t>
      </w:r>
      <w:r>
        <w:t>1999 год в Китае характеризовался довольно низким уровнем дивидендных выплат, и основным источником дохода инвесторов был доход от прироста капитала, поэтому была обнаружена положительная реакция на новость о снижении дивидендов, и отрицательная – на новость об их увеличении. В 2001г. в Китае были введены меры государства</w:t>
      </w:r>
      <w:r>
        <w:rPr>
          <w:vertAlign w:val="superscript"/>
        </w:rPr>
        <w:footnoteReference w:id="18"/>
      </w:r>
      <w:r>
        <w:t xml:space="preserve">, стимулирующие дивидендные выплаты, и их средний уровень значительно возрос, так что дивиденды стали еще одним важным источником дохода для инвесторов. Это отразилось в результатах исследования для той же выборки на отрезке 2000-2004гг.: в этот период рынок реагировал позитивно на объявления о дивидендах любого характера. Примечательно, что авторы отдельно проводили </w:t>
      </w:r>
      <w:r w:rsidR="00193273">
        <w:t>событийный анализ</w:t>
      </w:r>
      <w:r>
        <w:t xml:space="preserve"> для разных бирж – Шанхайской и Шеньженьской, и не обнаружили сильных различий в поведении инвесторов.</w:t>
      </w:r>
    </w:p>
    <w:p w14:paraId="1DF77B30" w14:textId="77777777" w:rsidR="00806661" w:rsidRDefault="00806661" w:rsidP="00806661">
      <w:r>
        <w:t xml:space="preserve">В более позднем исследовании (Hu Zuguang, 2010) на выборке компаний с Шанхайской биржи, проведенном на временном отрезке 2005-2009гг. был получен аналогичный результат для новости о росте дивидендов, однако для случая новости о снижении дивидендов не было обнаружено значимых значений сверхдоходности, был сделан вывод об отсутствии информативного наполнения такой новости для инвесторов на Шанхайской биржи. Также был обнаружен более выраженный положительный эффект на новость о росте дивидендов с наличием большого изменения дивидендов (более чем на 50% в сравнении с предыдущим периодом). </w:t>
      </w:r>
      <w:r>
        <w:rPr>
          <w:rStyle w:val="aff"/>
        </w:rPr>
        <w:footnoteReference w:id="19"/>
      </w:r>
    </w:p>
    <w:p w14:paraId="3A3D9F14" w14:textId="77777777" w:rsidR="00806661" w:rsidRDefault="00806661" w:rsidP="00806661">
      <w:r>
        <w:t>Во всех вышеперечисленных научных работах в качестве прокси для неожиданного элемента объявления о дивидендах, в связи с которым возникает та или иная реакция, рассматривалась разница между объявленным дивидендом и дивидендом за предыдущий период. Такой подход в литературе называют «наивной моделью», однако есть и другой подход, а именно «модель дивидендных сюрпризов».   В этом подходе предполагается, что до объявления рынку становится доступна новая информация, которая в той или иной степени, в зависимости от уровня эффективности рынка, отражается в ценах акций, а также в прогнозах аналитиков по поводу ожидаемого размера дивиденда. Следовательно, «неожиданностью» в объявлении о дивидендах скорее является разница фактически объявленного дивиденда в сравнении с ожидаемым, а не с предыдущим дивидендом.</w:t>
      </w:r>
    </w:p>
    <w:p w14:paraId="690C9668" w14:textId="77777777" w:rsidR="00806661" w:rsidRDefault="00806661" w:rsidP="00806661">
      <w:r>
        <w:t>Последователями альтернативного подхода «дивидендных сюрпризов», например, являются Йун и Старкс, которые в своем исследовании заявили, что наивная модель отличается высокой предвзятостью и «нереалистична, так как эта модель не учитывает самые недавние ожидания относительно дивидендов» (1995).</w:t>
      </w:r>
      <w:r>
        <w:rPr>
          <w:rStyle w:val="aff"/>
        </w:rPr>
        <w:footnoteReference w:id="20"/>
      </w:r>
      <w:r>
        <w:t xml:space="preserve"> По сути, наивная модель не позволяет провести границу между ожидаемыми и неожиданными изменениями в дивидендах. </w:t>
      </w:r>
    </w:p>
    <w:p w14:paraId="22F31350" w14:textId="77777777" w:rsidR="00806661" w:rsidRDefault="00806661" w:rsidP="00806661">
      <w:r>
        <w:t>Одними из первых результативность такого подхода эмпирически подтвердили У. Диллон, К. Раман и Г. Рамирез в статье 2003 года.</w:t>
      </w:r>
      <w:r>
        <w:rPr>
          <w:vertAlign w:val="superscript"/>
        </w:rPr>
        <w:footnoteReference w:id="21"/>
      </w:r>
      <w:r>
        <w:t xml:space="preserve"> Авторы использовали базу прогнозов дивидендов от финансовой исследовательской фирмы Value Line для формирования выборки из 5511 наблюдений. Было посчитано, что классификация объявлений по принципу наивной модели приводит к некорректной интерпретации примерно трети всех объявлений, в частности, исключение объявлений дивидендов без изменений влечет за собой исключение большого числа дивидендных сюрпризов. В ходе исследования авторы сделали ряд выводов в пользу использования ошибки прогноза в качестве прокси дл измерения «сюрприза». Во-первых, результаты данной модели получились статистически значимыми и подтвердили сигнальную теорию: в ситуации, когда дивиденд оказывался выше прогнозного, была зафиксирована положительная реакция, в ситуации, когда дивиденд оказывался ниже ожидаемого – негативная реакция, а при соответствии фактического дивиденда прогнозному – реакция была незначима. Во-вторых, авторы обнаружили более выраженную рыночную реакцию на дивидендные сюрпризы, нежели на изменение дивидендов, а также обнаружили, что даже в ситуации, когда дивиденд остается неизменным, данное объявление все равно содержит информацию для рынка, если этот дивиденд отличается от прогноза. Наконец, в-третьих, авторы обнаруживают положительную взаимосвязь между дивидендными сюрпризами и сюрпризами по прибыли в дальнейшем: сюрпризы по прибыли в среднем позитивнее, если объявленные перед этим дивиденды превзошли ожидания рынка и в среднем негативнее, если объявленные дивиденды, наоборот, не оправдали ожиданий.</w:t>
      </w:r>
    </w:p>
    <w:p w14:paraId="62389D62" w14:textId="0F581458" w:rsidR="00806661" w:rsidRDefault="00806661" w:rsidP="00806661">
      <w:r>
        <w:t xml:space="preserve">К похожим выводам пришел К. Андрес и его соавторы в 2013 году в ходе исследования дивидендных объявлений на немецком рынке. </w:t>
      </w:r>
      <w:r>
        <w:rPr>
          <w:rStyle w:val="aff"/>
        </w:rPr>
        <w:footnoteReference w:id="22"/>
      </w:r>
      <w:r>
        <w:t xml:space="preserve">Авторы выявили, что из 500 наблюдений с объявлениями о росте дивидендов меньше половины представляют собой «позитивный сюрприз», то есть случай, когда объявленный дивиденд превышает консенсус-прогноз аналитиков (в качестве источника такого прогноза авторы использовали базу I/B/E/S). После проведения </w:t>
      </w:r>
      <w:r w:rsidR="00193273">
        <w:t>событийного анализа</w:t>
      </w:r>
      <w:r>
        <w:t xml:space="preserve"> ученые регрессировали полученные значения CAAR с переменной изменения дивиденда и переменной «сюрприза», то есть величины различия с прогнозом. В результате регрессионного анализа не было выявлено значимой взаимосвязи изменения дивиденда в зависимой переменной, в то время как переменная, отвечающая за величину «сюрприза», оказалась очень значимой. Авторы заключили, что модель, измеряющая величину сюрприза как ошибку прогноза, превосходит «наивную модель».</w:t>
      </w:r>
    </w:p>
    <w:p w14:paraId="30FA90B8" w14:textId="77777777" w:rsidR="00806661" w:rsidRDefault="00806661" w:rsidP="00806661">
      <w:r>
        <w:t xml:space="preserve">Впоследствии новый подход стал все чаще применяться в исследованиях реакции рынка на дивиденды. Так, в работе И. Березинец, Ю. Ильиной, М.Смирнова и Л.Булатовой (2017) исследовались дивидендные объявления в период с 2010 по 2014 гг. на российском и индийском рынках. </w:t>
      </w:r>
      <w:r>
        <w:rPr>
          <w:rStyle w:val="aff"/>
        </w:rPr>
        <w:footnoteReference w:id="23"/>
      </w:r>
      <w:r>
        <w:t>Были получены статистически значимые результаты: российский рынок в среднем негативно реагировал как на «позитивные», так и на «негативные» сюрпризы, в то время как индийский рынок положительно реагировал на «позитивные» сюрпризы и отрицательно – на «негативные» сюрпризы и ситуации без «сюрпризов», то есть ситуации соответствия прогнозного дивиденда фактическому. Возможное объяснение негативной реакции на «позитивный сюрприз», которое приводят авторы – «подозрительное» отношение инвесторов к агрессивной дивидендной политике компаний в посткризисный период (в том числе к «позитивно-агрессивной» политике). Среди прочих возможных факторов авторы приводят общее пессимистичное настроение на рынке и недоверие к финансовой системе. Кроме того, отдельный анализ компаний нефтегазового сектора и сектора “utilities” показал, что для них реакция на позитивный сюрприз была положительной.</w:t>
      </w:r>
    </w:p>
    <w:p w14:paraId="178EADB3" w14:textId="77777777" w:rsidR="00806661" w:rsidRDefault="00806661" w:rsidP="00806661">
      <w:r>
        <w:t>Еще одно исследование с применением модели «сюрпризов» на российском рынке было проведено А. Филипповым и О. Сибановым на временном отрезке 2006-2015гг. В отличие от предыдущих исследований, авторы используют в качестве источника прогнозов не базу I/B/E/S Thomson Reuters, а Bloomberg. В результате авторы обнаружили положительную реакцию на объявления о «позитивных» дивидендных сюрпризов. Противоречие полученных результатов с предыдущими работами авторы объяснили неидентичностью выборок исследований, а также выбором другого источника для данных о прогнозах.</w:t>
      </w:r>
      <w:r>
        <w:rPr>
          <w:rStyle w:val="aff"/>
        </w:rPr>
        <w:footnoteReference w:id="24"/>
      </w:r>
    </w:p>
    <w:p w14:paraId="57AA711C" w14:textId="77777777" w:rsidR="00806661" w:rsidRDefault="00806661" w:rsidP="00806661">
      <w:r>
        <w:t xml:space="preserve">В таблице 1 сведены результаты исследований реакции российского и китайского рынков на объявления о дивидендах. Результаты различаются в зависимости от периода исследования: это связано с общей экономической ситуацией в стране в том или ином периоде, а также с изменением регулирования дивидендных выплат со стороны государства. </w:t>
      </w:r>
    </w:p>
    <w:p w14:paraId="40C22B25" w14:textId="77777777" w:rsidR="00806661" w:rsidRPr="009912CA" w:rsidRDefault="00806661" w:rsidP="00806661">
      <w:pPr>
        <w:pStyle w:val="a"/>
      </w:pPr>
      <w:r w:rsidRPr="009912CA">
        <w:t>Результаты исследований реакции рынков на новость о дивидендах</w:t>
      </w:r>
    </w:p>
    <w:tbl>
      <w:tblPr>
        <w:tblStyle w:val="11"/>
        <w:tblW w:w="9345" w:type="dxa"/>
        <w:tblLayout w:type="fixed"/>
        <w:tblLook w:val="0400" w:firstRow="0" w:lastRow="0" w:firstColumn="0" w:lastColumn="0" w:noHBand="0" w:noVBand="1"/>
      </w:tblPr>
      <w:tblGrid>
        <w:gridCol w:w="1905"/>
        <w:gridCol w:w="1719"/>
        <w:gridCol w:w="1773"/>
        <w:gridCol w:w="1862"/>
        <w:gridCol w:w="2086"/>
      </w:tblGrid>
      <w:tr w:rsidR="00806661" w14:paraId="60D94902" w14:textId="77777777" w:rsidTr="00232BEF">
        <w:tc>
          <w:tcPr>
            <w:tcW w:w="1905" w:type="dxa"/>
          </w:tcPr>
          <w:p w14:paraId="73FDFA76" w14:textId="77777777" w:rsidR="00806661" w:rsidRPr="009912CA" w:rsidRDefault="00806661" w:rsidP="00232BEF">
            <w:pPr>
              <w:pStyle w:val="ac"/>
            </w:pPr>
            <w:r w:rsidRPr="009912CA">
              <w:t>Исследование</w:t>
            </w:r>
          </w:p>
        </w:tc>
        <w:tc>
          <w:tcPr>
            <w:tcW w:w="1719" w:type="dxa"/>
          </w:tcPr>
          <w:p w14:paraId="717E80C4" w14:textId="77777777" w:rsidR="00806661" w:rsidRPr="009912CA" w:rsidRDefault="00806661" w:rsidP="00232BEF">
            <w:pPr>
              <w:pStyle w:val="ac"/>
            </w:pPr>
            <w:r w:rsidRPr="009912CA">
              <w:t>Прокси для дивидендного сюрприза</w:t>
            </w:r>
          </w:p>
        </w:tc>
        <w:tc>
          <w:tcPr>
            <w:tcW w:w="1773" w:type="dxa"/>
          </w:tcPr>
          <w:p w14:paraId="1D1EE1CE" w14:textId="77777777" w:rsidR="00806661" w:rsidRPr="009912CA" w:rsidRDefault="00806661" w:rsidP="00232BEF">
            <w:pPr>
              <w:pStyle w:val="ac"/>
            </w:pPr>
            <w:r w:rsidRPr="009912CA">
              <w:t>Период наблюдений</w:t>
            </w:r>
          </w:p>
        </w:tc>
        <w:tc>
          <w:tcPr>
            <w:tcW w:w="1862" w:type="dxa"/>
          </w:tcPr>
          <w:p w14:paraId="44C96664" w14:textId="77777777" w:rsidR="00806661" w:rsidRPr="009912CA" w:rsidRDefault="00806661" w:rsidP="00232BEF">
            <w:pPr>
              <w:pStyle w:val="ac"/>
            </w:pPr>
            <w:r w:rsidRPr="009912CA">
              <w:t>Реакция на «позитивный сюрприз»</w:t>
            </w:r>
          </w:p>
        </w:tc>
        <w:tc>
          <w:tcPr>
            <w:tcW w:w="2086" w:type="dxa"/>
          </w:tcPr>
          <w:p w14:paraId="7D69D9E6" w14:textId="77777777" w:rsidR="00806661" w:rsidRPr="009912CA" w:rsidRDefault="00806661" w:rsidP="00232BEF">
            <w:pPr>
              <w:pStyle w:val="ac"/>
            </w:pPr>
            <w:r w:rsidRPr="009912CA">
              <w:t>Реакция на «негативный сюрприз»</w:t>
            </w:r>
          </w:p>
        </w:tc>
      </w:tr>
      <w:tr w:rsidR="00806661" w14:paraId="531D3C88" w14:textId="77777777" w:rsidTr="00232BEF">
        <w:tc>
          <w:tcPr>
            <w:tcW w:w="9345" w:type="dxa"/>
            <w:gridSpan w:val="5"/>
          </w:tcPr>
          <w:p w14:paraId="0AD2C6B1" w14:textId="77777777" w:rsidR="00806661" w:rsidRDefault="00806661" w:rsidP="00232BEF">
            <w:pPr>
              <w:widowControl w:val="0"/>
              <w:pBdr>
                <w:top w:val="nil"/>
                <w:left w:val="nil"/>
                <w:bottom w:val="nil"/>
                <w:right w:val="nil"/>
                <w:between w:val="nil"/>
              </w:pBdr>
              <w:ind w:firstLine="0"/>
              <w:jc w:val="center"/>
              <w:rPr>
                <w:b/>
                <w:color w:val="000000"/>
              </w:rPr>
            </w:pPr>
            <w:r>
              <w:rPr>
                <w:rFonts w:eastAsia="Times New Roman"/>
                <w:b/>
                <w:color w:val="000000"/>
                <w:szCs w:val="24"/>
              </w:rPr>
              <w:t>Россия</w:t>
            </w:r>
          </w:p>
        </w:tc>
      </w:tr>
      <w:tr w:rsidR="00806661" w14:paraId="128C95CE" w14:textId="77777777" w:rsidTr="00232BEF">
        <w:tc>
          <w:tcPr>
            <w:tcW w:w="1905" w:type="dxa"/>
          </w:tcPr>
          <w:p w14:paraId="23A80B25" w14:textId="77777777" w:rsidR="00806661" w:rsidRDefault="00806661" w:rsidP="00232BEF">
            <w:pPr>
              <w:pStyle w:val="ae"/>
            </w:pPr>
            <w:r>
              <w:t>Теплова Т., 2008</w:t>
            </w:r>
          </w:p>
        </w:tc>
        <w:tc>
          <w:tcPr>
            <w:tcW w:w="1719" w:type="dxa"/>
          </w:tcPr>
          <w:p w14:paraId="00C046D6" w14:textId="77777777" w:rsidR="00806661" w:rsidRDefault="00806661" w:rsidP="00232BEF">
            <w:pPr>
              <w:pStyle w:val="ae"/>
            </w:pPr>
            <w:r>
              <w:t>Изменение дивиденда</w:t>
            </w:r>
          </w:p>
        </w:tc>
        <w:tc>
          <w:tcPr>
            <w:tcW w:w="1773" w:type="dxa"/>
          </w:tcPr>
          <w:p w14:paraId="6B6A42A7" w14:textId="77777777" w:rsidR="00806661" w:rsidRDefault="00806661" w:rsidP="00232BEF">
            <w:pPr>
              <w:pStyle w:val="ae"/>
            </w:pPr>
            <w:r>
              <w:t>1996-2006гг.</w:t>
            </w:r>
          </w:p>
        </w:tc>
        <w:tc>
          <w:tcPr>
            <w:tcW w:w="1862" w:type="dxa"/>
          </w:tcPr>
          <w:p w14:paraId="668BE260" w14:textId="77777777" w:rsidR="00806661" w:rsidRDefault="00806661" w:rsidP="00232BEF">
            <w:pPr>
              <w:pStyle w:val="ae"/>
            </w:pPr>
            <w:r>
              <w:t>Негативная</w:t>
            </w:r>
          </w:p>
          <w:p w14:paraId="1F785CDC" w14:textId="77777777" w:rsidR="00806661" w:rsidRDefault="00806661" w:rsidP="00232BEF">
            <w:pPr>
              <w:pStyle w:val="ae"/>
            </w:pPr>
            <w:r>
              <w:t>(исключение: нефтегазовый сектор)</w:t>
            </w:r>
          </w:p>
        </w:tc>
        <w:tc>
          <w:tcPr>
            <w:tcW w:w="2086" w:type="dxa"/>
          </w:tcPr>
          <w:p w14:paraId="678F318C" w14:textId="77777777" w:rsidR="00806661" w:rsidRDefault="00806661" w:rsidP="00232BEF">
            <w:pPr>
              <w:pStyle w:val="ae"/>
            </w:pPr>
            <w:r>
              <w:t>Негативная</w:t>
            </w:r>
          </w:p>
          <w:p w14:paraId="7B6CA897" w14:textId="77777777" w:rsidR="00806661" w:rsidRDefault="00806661" w:rsidP="00232BEF">
            <w:pPr>
              <w:pStyle w:val="ae"/>
            </w:pPr>
            <w:r>
              <w:t>(исключение: компании с высокими инвестиционными возможностями)</w:t>
            </w:r>
          </w:p>
        </w:tc>
      </w:tr>
      <w:tr w:rsidR="00806661" w14:paraId="7CF4C2B7" w14:textId="77777777" w:rsidTr="00232BEF">
        <w:tc>
          <w:tcPr>
            <w:tcW w:w="1905" w:type="dxa"/>
          </w:tcPr>
          <w:p w14:paraId="365BB782" w14:textId="77777777" w:rsidR="00806661" w:rsidRDefault="00806661" w:rsidP="00232BEF">
            <w:pPr>
              <w:pStyle w:val="ae"/>
            </w:pPr>
            <w:r>
              <w:t>Теплова Т., 2011</w:t>
            </w:r>
          </w:p>
        </w:tc>
        <w:tc>
          <w:tcPr>
            <w:tcW w:w="1719" w:type="dxa"/>
          </w:tcPr>
          <w:p w14:paraId="779BCE7D" w14:textId="77777777" w:rsidR="00806661" w:rsidRDefault="00806661" w:rsidP="00232BEF">
            <w:pPr>
              <w:pStyle w:val="ae"/>
            </w:pPr>
            <w:r>
              <w:t>Изменение дивиденда</w:t>
            </w:r>
          </w:p>
        </w:tc>
        <w:tc>
          <w:tcPr>
            <w:tcW w:w="1773" w:type="dxa"/>
          </w:tcPr>
          <w:p w14:paraId="2F4D9091" w14:textId="77777777" w:rsidR="00806661" w:rsidRDefault="00806661" w:rsidP="00232BEF">
            <w:pPr>
              <w:pStyle w:val="ae"/>
            </w:pPr>
            <w:r>
              <w:t>2008-2010гг.</w:t>
            </w:r>
          </w:p>
        </w:tc>
        <w:tc>
          <w:tcPr>
            <w:tcW w:w="1862" w:type="dxa"/>
          </w:tcPr>
          <w:p w14:paraId="4DAFC798" w14:textId="77777777" w:rsidR="00806661" w:rsidRDefault="00806661" w:rsidP="00232BEF">
            <w:pPr>
              <w:pStyle w:val="ae"/>
            </w:pPr>
            <w:r>
              <w:t>Не получено значимых результатов</w:t>
            </w:r>
          </w:p>
        </w:tc>
        <w:tc>
          <w:tcPr>
            <w:tcW w:w="2086" w:type="dxa"/>
          </w:tcPr>
          <w:p w14:paraId="6B88DF8B" w14:textId="77777777" w:rsidR="00806661" w:rsidRDefault="00806661" w:rsidP="00232BEF">
            <w:pPr>
              <w:pStyle w:val="ae"/>
            </w:pPr>
            <w:r>
              <w:t>Положительная</w:t>
            </w:r>
          </w:p>
        </w:tc>
      </w:tr>
      <w:tr w:rsidR="00806661" w14:paraId="335177C1" w14:textId="77777777" w:rsidTr="00232BEF">
        <w:tc>
          <w:tcPr>
            <w:tcW w:w="1905" w:type="dxa"/>
          </w:tcPr>
          <w:p w14:paraId="54DEE3FC" w14:textId="77777777" w:rsidR="00806661" w:rsidRDefault="00806661" w:rsidP="00232BEF">
            <w:pPr>
              <w:pStyle w:val="ae"/>
            </w:pPr>
            <w:r>
              <w:t>Рогова, Бердникова, 2015</w:t>
            </w:r>
          </w:p>
        </w:tc>
        <w:tc>
          <w:tcPr>
            <w:tcW w:w="1719" w:type="dxa"/>
          </w:tcPr>
          <w:p w14:paraId="05DD1DFB" w14:textId="77777777" w:rsidR="00806661" w:rsidRDefault="00806661" w:rsidP="00232BEF">
            <w:pPr>
              <w:pStyle w:val="ae"/>
            </w:pPr>
            <w:r>
              <w:t>Изменение дивиденда</w:t>
            </w:r>
          </w:p>
        </w:tc>
        <w:tc>
          <w:tcPr>
            <w:tcW w:w="1773" w:type="dxa"/>
          </w:tcPr>
          <w:p w14:paraId="0ED3DB16" w14:textId="2605AE6C" w:rsidR="00806661" w:rsidRDefault="00D16B50" w:rsidP="00232BEF">
            <w:pPr>
              <w:pStyle w:val="ae"/>
            </w:pPr>
            <w:r>
              <w:t>2009–2013</w:t>
            </w:r>
          </w:p>
        </w:tc>
        <w:tc>
          <w:tcPr>
            <w:tcW w:w="1862" w:type="dxa"/>
          </w:tcPr>
          <w:p w14:paraId="7088979B" w14:textId="77777777" w:rsidR="00806661" w:rsidRDefault="00806661" w:rsidP="00232BEF">
            <w:pPr>
              <w:pStyle w:val="ae"/>
            </w:pPr>
            <w:r>
              <w:t>Негативная (менее негативная для нефтегазового сектора)</w:t>
            </w:r>
          </w:p>
        </w:tc>
        <w:tc>
          <w:tcPr>
            <w:tcW w:w="2086" w:type="dxa"/>
          </w:tcPr>
          <w:p w14:paraId="432D137D" w14:textId="77777777" w:rsidR="00806661" w:rsidRDefault="00806661" w:rsidP="00232BEF">
            <w:pPr>
              <w:pStyle w:val="ae"/>
            </w:pPr>
            <w:r>
              <w:t>Положительная</w:t>
            </w:r>
          </w:p>
        </w:tc>
      </w:tr>
      <w:tr w:rsidR="00806661" w14:paraId="181F213B" w14:textId="77777777" w:rsidTr="00232BEF">
        <w:tc>
          <w:tcPr>
            <w:tcW w:w="1905" w:type="dxa"/>
          </w:tcPr>
          <w:p w14:paraId="576BFCAE" w14:textId="77777777" w:rsidR="00806661" w:rsidRDefault="00806661" w:rsidP="00232BEF">
            <w:pPr>
              <w:pStyle w:val="ae"/>
            </w:pPr>
            <w:r>
              <w:t>И.В.Березинец, Л.А.Булатова, Ю.Б.Ильина, М.В.Смирнов, 2015</w:t>
            </w:r>
          </w:p>
        </w:tc>
        <w:tc>
          <w:tcPr>
            <w:tcW w:w="1719" w:type="dxa"/>
          </w:tcPr>
          <w:p w14:paraId="64C989AF" w14:textId="77777777" w:rsidR="00806661" w:rsidRDefault="00806661" w:rsidP="00232BEF">
            <w:pPr>
              <w:pStyle w:val="ae"/>
            </w:pPr>
            <w:r>
              <w:t>Изменение дивиденда</w:t>
            </w:r>
          </w:p>
        </w:tc>
        <w:tc>
          <w:tcPr>
            <w:tcW w:w="1773" w:type="dxa"/>
          </w:tcPr>
          <w:p w14:paraId="22B3DCB0" w14:textId="77777777" w:rsidR="00806661" w:rsidRDefault="00806661" w:rsidP="00232BEF">
            <w:pPr>
              <w:pStyle w:val="ae"/>
            </w:pPr>
            <w:r>
              <w:t>2010-2012гг.</w:t>
            </w:r>
          </w:p>
        </w:tc>
        <w:tc>
          <w:tcPr>
            <w:tcW w:w="1862" w:type="dxa"/>
          </w:tcPr>
          <w:p w14:paraId="692604CE" w14:textId="77777777" w:rsidR="00806661" w:rsidRDefault="00806661" w:rsidP="00232BEF">
            <w:pPr>
              <w:pStyle w:val="ae"/>
            </w:pPr>
            <w:r>
              <w:t>Негативная</w:t>
            </w:r>
          </w:p>
        </w:tc>
        <w:tc>
          <w:tcPr>
            <w:tcW w:w="2086" w:type="dxa"/>
          </w:tcPr>
          <w:p w14:paraId="72934DDE" w14:textId="77777777" w:rsidR="00806661" w:rsidRDefault="00806661" w:rsidP="00232BEF">
            <w:pPr>
              <w:pStyle w:val="ae"/>
            </w:pPr>
            <w:r>
              <w:t>Негативная</w:t>
            </w:r>
          </w:p>
        </w:tc>
      </w:tr>
      <w:tr w:rsidR="00806661" w14:paraId="25D4119A" w14:textId="77777777" w:rsidTr="00232BEF">
        <w:tc>
          <w:tcPr>
            <w:tcW w:w="1905" w:type="dxa"/>
          </w:tcPr>
          <w:p w14:paraId="7D4A9757" w14:textId="77777777" w:rsidR="00806661" w:rsidRDefault="00806661" w:rsidP="00232BEF">
            <w:pPr>
              <w:pStyle w:val="ae"/>
            </w:pPr>
            <w:r>
              <w:t>И. Березинец, Ю. Ильиной, М.Смирнова и Л.Булатовой, 2017</w:t>
            </w:r>
          </w:p>
        </w:tc>
        <w:tc>
          <w:tcPr>
            <w:tcW w:w="1719" w:type="dxa"/>
          </w:tcPr>
          <w:p w14:paraId="319CECAD" w14:textId="77777777" w:rsidR="00806661" w:rsidRDefault="00806661" w:rsidP="00232BEF">
            <w:pPr>
              <w:pStyle w:val="ae"/>
            </w:pPr>
            <w:r>
              <w:t>Ошибка прогноза</w:t>
            </w:r>
          </w:p>
        </w:tc>
        <w:tc>
          <w:tcPr>
            <w:tcW w:w="1773" w:type="dxa"/>
          </w:tcPr>
          <w:p w14:paraId="6C307D4A" w14:textId="77777777" w:rsidR="00806661" w:rsidRDefault="00806661" w:rsidP="00232BEF">
            <w:pPr>
              <w:pStyle w:val="ae"/>
            </w:pPr>
            <w:r>
              <w:t>2010-2014гг.</w:t>
            </w:r>
          </w:p>
        </w:tc>
        <w:tc>
          <w:tcPr>
            <w:tcW w:w="1862" w:type="dxa"/>
          </w:tcPr>
          <w:p w14:paraId="1B4374EC" w14:textId="77777777" w:rsidR="00806661" w:rsidRDefault="00806661" w:rsidP="00232BEF">
            <w:pPr>
              <w:pStyle w:val="ae"/>
            </w:pPr>
            <w:r>
              <w:t>Негативная</w:t>
            </w:r>
          </w:p>
          <w:p w14:paraId="05E95116" w14:textId="77777777" w:rsidR="00806661" w:rsidRDefault="00806661" w:rsidP="00232BEF">
            <w:pPr>
              <w:pStyle w:val="ae"/>
            </w:pPr>
            <w:r>
              <w:t xml:space="preserve">(исключение: нефтегазовый </w:t>
            </w:r>
            <w:proofErr w:type="gramStart"/>
            <w:r>
              <w:t>сектор  и</w:t>
            </w:r>
            <w:proofErr w:type="gramEnd"/>
            <w:r>
              <w:t xml:space="preserve"> utilities)</w:t>
            </w:r>
          </w:p>
        </w:tc>
        <w:tc>
          <w:tcPr>
            <w:tcW w:w="2086" w:type="dxa"/>
          </w:tcPr>
          <w:p w14:paraId="62D87A2E" w14:textId="77777777" w:rsidR="00806661" w:rsidRDefault="00806661" w:rsidP="00232BEF">
            <w:pPr>
              <w:pStyle w:val="ae"/>
            </w:pPr>
            <w:r>
              <w:t>Негативная</w:t>
            </w:r>
          </w:p>
        </w:tc>
      </w:tr>
      <w:tr w:rsidR="00806661" w14:paraId="5B5EB82D" w14:textId="77777777" w:rsidTr="00232BEF">
        <w:tc>
          <w:tcPr>
            <w:tcW w:w="1905" w:type="dxa"/>
          </w:tcPr>
          <w:p w14:paraId="53B40115" w14:textId="77777777" w:rsidR="00806661" w:rsidRDefault="00806661" w:rsidP="00232BEF">
            <w:pPr>
              <w:pStyle w:val="ae"/>
            </w:pPr>
            <w:r>
              <w:t>А. Филиппов, О.Сибанов, 2019</w:t>
            </w:r>
          </w:p>
        </w:tc>
        <w:tc>
          <w:tcPr>
            <w:tcW w:w="1719" w:type="dxa"/>
          </w:tcPr>
          <w:p w14:paraId="3B9A6F0D" w14:textId="77777777" w:rsidR="00806661" w:rsidRDefault="00806661" w:rsidP="00232BEF">
            <w:pPr>
              <w:pStyle w:val="ae"/>
            </w:pPr>
            <w:r>
              <w:t>Ошибка прогноза</w:t>
            </w:r>
          </w:p>
        </w:tc>
        <w:tc>
          <w:tcPr>
            <w:tcW w:w="1773" w:type="dxa"/>
          </w:tcPr>
          <w:p w14:paraId="2EA31932" w14:textId="77777777" w:rsidR="00806661" w:rsidRDefault="00806661" w:rsidP="00232BEF">
            <w:pPr>
              <w:pStyle w:val="ae"/>
            </w:pPr>
            <w:r>
              <w:t>2006-2015гг.</w:t>
            </w:r>
          </w:p>
        </w:tc>
        <w:tc>
          <w:tcPr>
            <w:tcW w:w="1862" w:type="dxa"/>
          </w:tcPr>
          <w:p w14:paraId="420A53FA" w14:textId="77777777" w:rsidR="00806661" w:rsidRDefault="00806661" w:rsidP="00232BEF">
            <w:pPr>
              <w:pStyle w:val="ae"/>
            </w:pPr>
            <w:r>
              <w:t>Позитивная</w:t>
            </w:r>
          </w:p>
        </w:tc>
        <w:tc>
          <w:tcPr>
            <w:tcW w:w="2086" w:type="dxa"/>
          </w:tcPr>
          <w:p w14:paraId="21447C3B" w14:textId="77777777" w:rsidR="00806661" w:rsidRDefault="00806661" w:rsidP="00232BEF">
            <w:pPr>
              <w:pStyle w:val="ae"/>
            </w:pPr>
            <w:r>
              <w:t>Не получено значимых результатов</w:t>
            </w:r>
          </w:p>
        </w:tc>
      </w:tr>
      <w:tr w:rsidR="00806661" w14:paraId="4F79B645" w14:textId="77777777" w:rsidTr="00232BEF">
        <w:tc>
          <w:tcPr>
            <w:tcW w:w="9345" w:type="dxa"/>
            <w:gridSpan w:val="5"/>
          </w:tcPr>
          <w:p w14:paraId="5BCC80E5" w14:textId="77777777" w:rsidR="00806661" w:rsidRDefault="00806661" w:rsidP="00232BEF">
            <w:pPr>
              <w:widowControl w:val="0"/>
              <w:pBdr>
                <w:top w:val="nil"/>
                <w:left w:val="nil"/>
                <w:bottom w:val="nil"/>
                <w:right w:val="nil"/>
                <w:between w:val="nil"/>
              </w:pBdr>
              <w:ind w:firstLine="0"/>
              <w:jc w:val="center"/>
              <w:rPr>
                <w:color w:val="000000"/>
                <w:sz w:val="20"/>
                <w:szCs w:val="20"/>
              </w:rPr>
            </w:pPr>
            <w:r>
              <w:rPr>
                <w:rFonts w:eastAsia="Times New Roman"/>
                <w:b/>
                <w:color w:val="000000"/>
                <w:szCs w:val="24"/>
              </w:rPr>
              <w:t>Китай</w:t>
            </w:r>
          </w:p>
        </w:tc>
      </w:tr>
      <w:tr w:rsidR="00806661" w14:paraId="7F88A71F" w14:textId="77777777" w:rsidTr="00232BEF">
        <w:tc>
          <w:tcPr>
            <w:tcW w:w="1905" w:type="dxa"/>
          </w:tcPr>
          <w:p w14:paraId="0B52502F" w14:textId="77777777" w:rsidR="00806661" w:rsidRPr="009217DB" w:rsidRDefault="00806661" w:rsidP="00232BEF">
            <w:pPr>
              <w:widowControl w:val="0"/>
              <w:pBdr>
                <w:top w:val="nil"/>
                <w:left w:val="nil"/>
                <w:bottom w:val="nil"/>
                <w:right w:val="nil"/>
                <w:between w:val="nil"/>
              </w:pBdr>
              <w:ind w:firstLine="0"/>
              <w:jc w:val="left"/>
              <w:rPr>
                <w:color w:val="000000"/>
                <w:sz w:val="20"/>
                <w:szCs w:val="20"/>
                <w:lang w:val="en-US"/>
              </w:rPr>
            </w:pPr>
            <w:r w:rsidRPr="009217DB">
              <w:rPr>
                <w:rFonts w:eastAsia="Times New Roman"/>
                <w:color w:val="000000"/>
                <w:sz w:val="20"/>
                <w:szCs w:val="20"/>
                <w:lang w:val="en-US"/>
              </w:rPr>
              <w:t>Dar-Hsin Chen, Hsiang-Hsi Liu, and Cheng-Ting Huang, 2009</w:t>
            </w:r>
          </w:p>
        </w:tc>
        <w:tc>
          <w:tcPr>
            <w:tcW w:w="1719" w:type="dxa"/>
          </w:tcPr>
          <w:p w14:paraId="6FDAC9C1" w14:textId="77777777" w:rsidR="00806661" w:rsidRDefault="00806661" w:rsidP="00232BEF">
            <w:pPr>
              <w:widowControl w:val="0"/>
              <w:pBdr>
                <w:top w:val="nil"/>
                <w:left w:val="nil"/>
                <w:bottom w:val="nil"/>
                <w:right w:val="nil"/>
                <w:between w:val="nil"/>
              </w:pBdr>
              <w:ind w:firstLine="0"/>
              <w:jc w:val="left"/>
              <w:rPr>
                <w:color w:val="000000"/>
                <w:sz w:val="20"/>
                <w:szCs w:val="20"/>
              </w:rPr>
            </w:pPr>
            <w:r>
              <w:rPr>
                <w:rFonts w:eastAsia="Times New Roman"/>
                <w:color w:val="000000"/>
                <w:sz w:val="20"/>
                <w:szCs w:val="20"/>
              </w:rPr>
              <w:t>Изменение дивиденда</w:t>
            </w:r>
          </w:p>
        </w:tc>
        <w:tc>
          <w:tcPr>
            <w:tcW w:w="1773" w:type="dxa"/>
          </w:tcPr>
          <w:p w14:paraId="377AD12C" w14:textId="77777777" w:rsidR="00806661" w:rsidRDefault="00806661" w:rsidP="00232BEF">
            <w:pPr>
              <w:widowControl w:val="0"/>
              <w:pBdr>
                <w:top w:val="nil"/>
                <w:left w:val="nil"/>
                <w:bottom w:val="nil"/>
                <w:right w:val="nil"/>
                <w:between w:val="nil"/>
              </w:pBdr>
              <w:ind w:firstLine="0"/>
              <w:jc w:val="left"/>
              <w:rPr>
                <w:color w:val="000000"/>
                <w:sz w:val="20"/>
                <w:szCs w:val="20"/>
              </w:rPr>
            </w:pPr>
            <w:r>
              <w:rPr>
                <w:rFonts w:eastAsia="Times New Roman"/>
                <w:color w:val="000000"/>
                <w:sz w:val="20"/>
                <w:szCs w:val="20"/>
              </w:rPr>
              <w:t>1999г.</w:t>
            </w:r>
          </w:p>
        </w:tc>
        <w:tc>
          <w:tcPr>
            <w:tcW w:w="1862" w:type="dxa"/>
          </w:tcPr>
          <w:p w14:paraId="7DB759BA" w14:textId="77777777" w:rsidR="00806661" w:rsidRDefault="00806661" w:rsidP="00232BEF">
            <w:pPr>
              <w:widowControl w:val="0"/>
              <w:pBdr>
                <w:top w:val="nil"/>
                <w:left w:val="nil"/>
                <w:bottom w:val="nil"/>
                <w:right w:val="nil"/>
                <w:between w:val="nil"/>
              </w:pBdr>
              <w:ind w:firstLine="0"/>
              <w:jc w:val="left"/>
              <w:rPr>
                <w:color w:val="000000"/>
                <w:sz w:val="20"/>
                <w:szCs w:val="20"/>
              </w:rPr>
            </w:pPr>
            <w:r>
              <w:rPr>
                <w:rFonts w:eastAsia="Times New Roman"/>
                <w:color w:val="000000"/>
                <w:sz w:val="20"/>
                <w:szCs w:val="20"/>
              </w:rPr>
              <w:t>Негативная</w:t>
            </w:r>
          </w:p>
        </w:tc>
        <w:tc>
          <w:tcPr>
            <w:tcW w:w="2086" w:type="dxa"/>
          </w:tcPr>
          <w:p w14:paraId="7DFA1F1D" w14:textId="77777777" w:rsidR="00806661" w:rsidRDefault="00806661" w:rsidP="00232BEF">
            <w:pPr>
              <w:widowControl w:val="0"/>
              <w:pBdr>
                <w:top w:val="nil"/>
                <w:left w:val="nil"/>
                <w:bottom w:val="nil"/>
                <w:right w:val="nil"/>
                <w:between w:val="nil"/>
              </w:pBdr>
              <w:ind w:firstLine="0"/>
              <w:jc w:val="left"/>
              <w:rPr>
                <w:color w:val="000000"/>
                <w:sz w:val="20"/>
                <w:szCs w:val="20"/>
              </w:rPr>
            </w:pPr>
            <w:r>
              <w:rPr>
                <w:rFonts w:eastAsia="Times New Roman"/>
                <w:color w:val="000000"/>
                <w:sz w:val="20"/>
                <w:szCs w:val="20"/>
              </w:rPr>
              <w:t>Позитивная</w:t>
            </w:r>
          </w:p>
        </w:tc>
      </w:tr>
      <w:tr w:rsidR="00806661" w14:paraId="073DFF76" w14:textId="77777777" w:rsidTr="00232BEF">
        <w:tc>
          <w:tcPr>
            <w:tcW w:w="1905" w:type="dxa"/>
          </w:tcPr>
          <w:p w14:paraId="38805FC0" w14:textId="77777777" w:rsidR="00806661" w:rsidRPr="009217DB" w:rsidRDefault="00806661" w:rsidP="00232BEF">
            <w:pPr>
              <w:widowControl w:val="0"/>
              <w:pBdr>
                <w:top w:val="nil"/>
                <w:left w:val="nil"/>
                <w:bottom w:val="nil"/>
                <w:right w:val="nil"/>
                <w:between w:val="nil"/>
              </w:pBdr>
              <w:ind w:firstLine="0"/>
              <w:jc w:val="left"/>
              <w:rPr>
                <w:color w:val="000000"/>
                <w:sz w:val="20"/>
                <w:szCs w:val="20"/>
                <w:lang w:val="en-US"/>
              </w:rPr>
            </w:pPr>
            <w:r w:rsidRPr="009217DB">
              <w:rPr>
                <w:rFonts w:eastAsia="Times New Roman"/>
                <w:color w:val="000000"/>
                <w:sz w:val="20"/>
                <w:szCs w:val="20"/>
                <w:lang w:val="en-US"/>
              </w:rPr>
              <w:t>Dar-Hsin Chen, Hsiang-Hsi Liu, and Cheng-Ting Huang, 2009</w:t>
            </w:r>
          </w:p>
        </w:tc>
        <w:tc>
          <w:tcPr>
            <w:tcW w:w="1719" w:type="dxa"/>
          </w:tcPr>
          <w:p w14:paraId="2FE61C99" w14:textId="77777777" w:rsidR="00806661" w:rsidRDefault="00806661" w:rsidP="00232BEF">
            <w:pPr>
              <w:widowControl w:val="0"/>
              <w:pBdr>
                <w:top w:val="nil"/>
                <w:left w:val="nil"/>
                <w:bottom w:val="nil"/>
                <w:right w:val="nil"/>
                <w:between w:val="nil"/>
              </w:pBdr>
              <w:ind w:firstLine="0"/>
              <w:jc w:val="left"/>
              <w:rPr>
                <w:color w:val="000000"/>
                <w:sz w:val="20"/>
                <w:szCs w:val="20"/>
              </w:rPr>
            </w:pPr>
            <w:r>
              <w:rPr>
                <w:rFonts w:eastAsia="Times New Roman"/>
                <w:color w:val="000000"/>
                <w:sz w:val="20"/>
                <w:szCs w:val="20"/>
              </w:rPr>
              <w:t>Изменение дивиденда</w:t>
            </w:r>
          </w:p>
        </w:tc>
        <w:tc>
          <w:tcPr>
            <w:tcW w:w="1773" w:type="dxa"/>
          </w:tcPr>
          <w:p w14:paraId="29E3D6E0" w14:textId="77777777" w:rsidR="00806661" w:rsidRDefault="00806661" w:rsidP="00232BEF">
            <w:pPr>
              <w:widowControl w:val="0"/>
              <w:pBdr>
                <w:top w:val="nil"/>
                <w:left w:val="nil"/>
                <w:bottom w:val="nil"/>
                <w:right w:val="nil"/>
                <w:between w:val="nil"/>
              </w:pBdr>
              <w:ind w:firstLine="0"/>
              <w:jc w:val="left"/>
              <w:rPr>
                <w:color w:val="000000"/>
                <w:sz w:val="20"/>
                <w:szCs w:val="20"/>
              </w:rPr>
            </w:pPr>
            <w:r>
              <w:rPr>
                <w:rFonts w:eastAsia="Times New Roman"/>
                <w:color w:val="000000"/>
                <w:sz w:val="20"/>
                <w:szCs w:val="20"/>
              </w:rPr>
              <w:t>2000-2004гг.</w:t>
            </w:r>
          </w:p>
        </w:tc>
        <w:tc>
          <w:tcPr>
            <w:tcW w:w="1862" w:type="dxa"/>
          </w:tcPr>
          <w:p w14:paraId="24B7192E" w14:textId="77777777" w:rsidR="00806661" w:rsidRDefault="00806661" w:rsidP="00232BEF">
            <w:pPr>
              <w:widowControl w:val="0"/>
              <w:pBdr>
                <w:top w:val="nil"/>
                <w:left w:val="nil"/>
                <w:bottom w:val="nil"/>
                <w:right w:val="nil"/>
                <w:between w:val="nil"/>
              </w:pBdr>
              <w:ind w:firstLine="0"/>
              <w:jc w:val="left"/>
              <w:rPr>
                <w:color w:val="000000"/>
                <w:sz w:val="20"/>
                <w:szCs w:val="20"/>
              </w:rPr>
            </w:pPr>
            <w:r>
              <w:rPr>
                <w:rFonts w:eastAsia="Times New Roman"/>
                <w:color w:val="000000"/>
                <w:sz w:val="20"/>
                <w:szCs w:val="20"/>
              </w:rPr>
              <w:t>Позитивная</w:t>
            </w:r>
          </w:p>
        </w:tc>
        <w:tc>
          <w:tcPr>
            <w:tcW w:w="2086" w:type="dxa"/>
          </w:tcPr>
          <w:p w14:paraId="1F4DD055" w14:textId="77777777" w:rsidR="00806661" w:rsidRDefault="00806661" w:rsidP="00232BEF">
            <w:pPr>
              <w:widowControl w:val="0"/>
              <w:pBdr>
                <w:top w:val="nil"/>
                <w:left w:val="nil"/>
                <w:bottom w:val="nil"/>
                <w:right w:val="nil"/>
                <w:between w:val="nil"/>
              </w:pBdr>
              <w:ind w:firstLine="0"/>
              <w:jc w:val="left"/>
              <w:rPr>
                <w:color w:val="000000"/>
                <w:sz w:val="20"/>
                <w:szCs w:val="20"/>
              </w:rPr>
            </w:pPr>
            <w:r>
              <w:rPr>
                <w:rFonts w:eastAsia="Times New Roman"/>
                <w:color w:val="000000"/>
                <w:sz w:val="20"/>
                <w:szCs w:val="20"/>
              </w:rPr>
              <w:t>Позитивная</w:t>
            </w:r>
          </w:p>
        </w:tc>
      </w:tr>
      <w:tr w:rsidR="00806661" w14:paraId="32C54F8F" w14:textId="77777777" w:rsidTr="00232BEF">
        <w:tc>
          <w:tcPr>
            <w:tcW w:w="1905" w:type="dxa"/>
          </w:tcPr>
          <w:p w14:paraId="707DF648" w14:textId="77777777" w:rsidR="00806661" w:rsidRDefault="00806661" w:rsidP="00232BEF">
            <w:pPr>
              <w:widowControl w:val="0"/>
              <w:pBdr>
                <w:top w:val="nil"/>
                <w:left w:val="nil"/>
                <w:bottom w:val="nil"/>
                <w:right w:val="nil"/>
                <w:between w:val="nil"/>
              </w:pBdr>
              <w:ind w:firstLine="0"/>
              <w:jc w:val="left"/>
              <w:rPr>
                <w:color w:val="000000"/>
                <w:sz w:val="20"/>
                <w:szCs w:val="20"/>
              </w:rPr>
            </w:pPr>
            <w:r>
              <w:rPr>
                <w:rFonts w:eastAsia="Times New Roman"/>
                <w:color w:val="000000"/>
                <w:sz w:val="20"/>
                <w:szCs w:val="20"/>
              </w:rPr>
              <w:t>Hu Zuguang, 2010</w:t>
            </w:r>
          </w:p>
        </w:tc>
        <w:tc>
          <w:tcPr>
            <w:tcW w:w="1719" w:type="dxa"/>
          </w:tcPr>
          <w:p w14:paraId="2B5E0CA3" w14:textId="77777777" w:rsidR="00806661" w:rsidRDefault="00806661" w:rsidP="00232BEF">
            <w:pPr>
              <w:widowControl w:val="0"/>
              <w:pBdr>
                <w:top w:val="nil"/>
                <w:left w:val="nil"/>
                <w:bottom w:val="nil"/>
                <w:right w:val="nil"/>
                <w:between w:val="nil"/>
              </w:pBdr>
              <w:ind w:firstLine="0"/>
              <w:jc w:val="left"/>
              <w:rPr>
                <w:color w:val="000000"/>
                <w:sz w:val="20"/>
                <w:szCs w:val="20"/>
              </w:rPr>
            </w:pPr>
            <w:r>
              <w:rPr>
                <w:rFonts w:eastAsia="Times New Roman"/>
                <w:color w:val="000000"/>
                <w:sz w:val="20"/>
                <w:szCs w:val="20"/>
              </w:rPr>
              <w:t>Изменение дивиденда</w:t>
            </w:r>
          </w:p>
        </w:tc>
        <w:tc>
          <w:tcPr>
            <w:tcW w:w="1773" w:type="dxa"/>
          </w:tcPr>
          <w:p w14:paraId="52179305" w14:textId="77777777" w:rsidR="00806661" w:rsidRDefault="00806661" w:rsidP="00232BEF">
            <w:pPr>
              <w:widowControl w:val="0"/>
              <w:pBdr>
                <w:top w:val="nil"/>
                <w:left w:val="nil"/>
                <w:bottom w:val="nil"/>
                <w:right w:val="nil"/>
                <w:between w:val="nil"/>
              </w:pBdr>
              <w:ind w:firstLine="0"/>
              <w:jc w:val="left"/>
              <w:rPr>
                <w:color w:val="000000"/>
                <w:sz w:val="20"/>
                <w:szCs w:val="20"/>
              </w:rPr>
            </w:pPr>
            <w:r>
              <w:rPr>
                <w:rFonts w:eastAsia="Times New Roman"/>
                <w:color w:val="000000"/>
                <w:sz w:val="20"/>
                <w:szCs w:val="20"/>
              </w:rPr>
              <w:t>2005-2009гг.</w:t>
            </w:r>
          </w:p>
        </w:tc>
        <w:tc>
          <w:tcPr>
            <w:tcW w:w="1862" w:type="dxa"/>
          </w:tcPr>
          <w:p w14:paraId="6D6FFD6E" w14:textId="77777777" w:rsidR="00806661" w:rsidRDefault="00806661" w:rsidP="00232BEF">
            <w:pPr>
              <w:widowControl w:val="0"/>
              <w:pBdr>
                <w:top w:val="nil"/>
                <w:left w:val="nil"/>
                <w:bottom w:val="nil"/>
                <w:right w:val="nil"/>
                <w:between w:val="nil"/>
              </w:pBdr>
              <w:ind w:firstLine="0"/>
              <w:jc w:val="left"/>
              <w:rPr>
                <w:color w:val="000000"/>
                <w:sz w:val="20"/>
                <w:szCs w:val="20"/>
              </w:rPr>
            </w:pPr>
            <w:r>
              <w:rPr>
                <w:rFonts w:eastAsia="Times New Roman"/>
                <w:color w:val="000000"/>
                <w:sz w:val="20"/>
                <w:szCs w:val="20"/>
              </w:rPr>
              <w:t>Позитивная</w:t>
            </w:r>
          </w:p>
        </w:tc>
        <w:tc>
          <w:tcPr>
            <w:tcW w:w="2086" w:type="dxa"/>
          </w:tcPr>
          <w:p w14:paraId="7C5A6443" w14:textId="77777777" w:rsidR="00806661" w:rsidRDefault="00806661" w:rsidP="00232BEF">
            <w:pPr>
              <w:widowControl w:val="0"/>
              <w:pBdr>
                <w:top w:val="nil"/>
                <w:left w:val="nil"/>
                <w:bottom w:val="nil"/>
                <w:right w:val="nil"/>
                <w:between w:val="nil"/>
              </w:pBdr>
              <w:ind w:firstLine="0"/>
              <w:jc w:val="left"/>
              <w:rPr>
                <w:color w:val="000000"/>
                <w:sz w:val="20"/>
                <w:szCs w:val="20"/>
              </w:rPr>
            </w:pPr>
            <w:r>
              <w:rPr>
                <w:rFonts w:eastAsia="Times New Roman"/>
                <w:color w:val="000000"/>
                <w:sz w:val="20"/>
                <w:szCs w:val="20"/>
              </w:rPr>
              <w:t>Не получено значимых результатов</w:t>
            </w:r>
          </w:p>
        </w:tc>
      </w:tr>
    </w:tbl>
    <w:p w14:paraId="5689E61B" w14:textId="77777777" w:rsidR="00806661" w:rsidRDefault="00806661" w:rsidP="00806661"/>
    <w:p w14:paraId="034D8CC1" w14:textId="77777777" w:rsidR="00806661" w:rsidRDefault="00806661" w:rsidP="00806661"/>
    <w:p w14:paraId="511D6DA7" w14:textId="7C8D3953" w:rsidR="00806661" w:rsidRPr="007327C8" w:rsidRDefault="00317A29" w:rsidP="00806661">
      <w:pPr>
        <w:pStyle w:val="2"/>
      </w:pPr>
      <w:bookmarkStart w:id="12" w:name="_Toc104840352"/>
      <w:r w:rsidRPr="009217DB">
        <w:t>1</w:t>
      </w:r>
      <w:r w:rsidR="00806661" w:rsidRPr="007327C8">
        <w:t>.3 Гипотезы</w:t>
      </w:r>
      <w:r w:rsidR="00046138">
        <w:t xml:space="preserve"> исследования</w:t>
      </w:r>
      <w:bookmarkEnd w:id="12"/>
      <w:r w:rsidR="00806661" w:rsidRPr="007327C8">
        <w:t xml:space="preserve"> </w:t>
      </w:r>
    </w:p>
    <w:p w14:paraId="71047995" w14:textId="400FEC54" w:rsidR="00806661" w:rsidRPr="00635D03" w:rsidRDefault="00046138" w:rsidP="00046138">
      <w:pPr>
        <w:ind w:firstLine="0"/>
      </w:pPr>
      <w:bookmarkStart w:id="13" w:name="_Toc104840353"/>
      <w:r w:rsidRPr="00046138">
        <w:rPr>
          <w:rStyle w:val="31"/>
        </w:rPr>
        <w:t>1.3.1 Гипотезы о направлении реакции рынка на объявления дивидендов</w:t>
      </w:r>
      <w:bookmarkEnd w:id="13"/>
      <w:r>
        <w:t xml:space="preserve"> </w:t>
      </w:r>
    </w:p>
    <w:p w14:paraId="2BDB5E14" w14:textId="2EBD1BFF" w:rsidR="00C309F4" w:rsidRDefault="00727C71" w:rsidP="00803D7A">
      <w:r>
        <w:t>Согласно теоретическим концепциям</w:t>
      </w:r>
      <w:r w:rsidR="00C309F4">
        <w:t>,</w:t>
      </w:r>
      <w:r>
        <w:t xml:space="preserve"> рассмотренным ранее в первой главе,</w:t>
      </w:r>
      <w:r w:rsidR="00C309F4">
        <w:t xml:space="preserve"> можно ожидать, что рынок будет реагировать положительно на новость с позитивным дивидендым сюрпризом</w:t>
      </w:r>
      <w:r w:rsidR="00AC4064">
        <w:t xml:space="preserve">, так как, во-первых, данная новость может быть сигналом со стороны </w:t>
      </w:r>
      <w:r w:rsidR="00803D7A">
        <w:t>фирмы</w:t>
      </w:r>
      <w:r w:rsidR="00AC4064">
        <w:t xml:space="preserve"> об устойчивых денежных потоках в будущем</w:t>
      </w:r>
      <w:r w:rsidR="001906E3">
        <w:t xml:space="preserve">, </w:t>
      </w:r>
      <w:r w:rsidR="00540898">
        <w:t xml:space="preserve">особенно с учетом </w:t>
      </w:r>
      <w:r w:rsidR="001906E3">
        <w:t>более высокой потребности в сигналах на развивающихся рынках по сравнению с развитыми.</w:t>
      </w:r>
      <w:r w:rsidR="00AC4064">
        <w:t xml:space="preserve"> </w:t>
      </w:r>
      <w:r w:rsidR="001906E3">
        <w:t>В</w:t>
      </w:r>
      <w:r w:rsidR="00AC4064">
        <w:t xml:space="preserve">о-вторых, более высокие дивиденды приведут к </w:t>
      </w:r>
      <w:r w:rsidR="00803D7A">
        <w:t xml:space="preserve">большему </w:t>
      </w:r>
      <w:r w:rsidR="00AC4064">
        <w:t xml:space="preserve">ограничению свободных средств в руках менеджеров, которые </w:t>
      </w:r>
      <w:r w:rsidR="00803D7A">
        <w:t>в противном случае могли бы</w:t>
      </w:r>
      <w:r w:rsidR="001906E3">
        <w:t xml:space="preserve"> потенциально</w:t>
      </w:r>
      <w:r w:rsidR="00AC4064">
        <w:t xml:space="preserve"> быть </w:t>
      </w:r>
      <w:r w:rsidR="00803D7A">
        <w:t>потрачены</w:t>
      </w:r>
      <w:r w:rsidR="00AC4064">
        <w:t xml:space="preserve"> на проекты с отрицательным NPV</w:t>
      </w:r>
      <w:r w:rsidR="00803D7A">
        <w:t xml:space="preserve"> (в соответствии с теорией свободного денежного потока)</w:t>
      </w:r>
      <w:r w:rsidR="00AC4064">
        <w:t xml:space="preserve"> либо использованы в личных интересах менеджмента</w:t>
      </w:r>
      <w:r w:rsidR="00803D7A">
        <w:t xml:space="preserve"> (в соответствии с теорией агенстких издержек). Аналогично </w:t>
      </w:r>
      <w:r w:rsidR="00E5198E">
        <w:t xml:space="preserve">для обратного случая, то есть для новости с негативным дивидендным сюрпризом, </w:t>
      </w:r>
      <w:r w:rsidR="00803D7A">
        <w:t>ожидается, что реакция будет отрицательной</w:t>
      </w:r>
      <w:r w:rsidR="00E5198E">
        <w:t>, в силу перечисленных выше теоретических концепций.</w:t>
      </w:r>
      <w:r w:rsidR="00540898">
        <w:t xml:space="preserve"> </w:t>
      </w:r>
    </w:p>
    <w:p w14:paraId="566DE943" w14:textId="6D272B68" w:rsidR="00727C71" w:rsidRPr="00635D03" w:rsidRDefault="00E5198E" w:rsidP="00727C71">
      <w:r>
        <w:t xml:space="preserve">В </w:t>
      </w:r>
      <w:r w:rsidR="001906E3">
        <w:t xml:space="preserve">ходе обзора эмпирических работ в предыдущей главе было выявлено, что в большинстве исследований гипотезы о направлении ценовой реакции на дивиденды были сформулированы аналогичным образом. </w:t>
      </w:r>
      <w:r w:rsidR="00664528">
        <w:t xml:space="preserve">Расхождения теории с эмпирическими результатами авторы работ, как правило, объясняют особенностями выборки и периода исследования. </w:t>
      </w:r>
      <w:r w:rsidR="00727C71">
        <w:t>Выбранный для анализа период 2016–2019 гг. для обеих стран – России и Китая – характеризовался устойчивым ростом ВВП, данный период нельзя назвать кризисным. Исключение составляет только 2016 год в России, когда страна начала выходить из стадии рецессии на фоне падения цен на нефть и геополитических событий в стадию стагнации (ВВП снизился на 0,6%). Кроме того, в течение выбранного периода не было произведено знчительных изменений в законодательстве в отношении дивидендов (новая норма выплат в 50% для госкомпаний в РФ начала действовать как раз начиная с в 2016 г.), то есть правовые условия оставались стабильными в течение данного периода.</w:t>
      </w:r>
    </w:p>
    <w:p w14:paraId="20ACACF7" w14:textId="45648B53" w:rsidR="00AC4064" w:rsidRDefault="00727C71" w:rsidP="00727C71">
      <w:r>
        <w:t>В связи с этим</w:t>
      </w:r>
      <w:r w:rsidR="00664528">
        <w:t xml:space="preserve"> ожидается, что теоретические доводы</w:t>
      </w:r>
      <w:r>
        <w:t xml:space="preserve"> относительно поведения цен в период объявления дивидендов</w:t>
      </w:r>
      <w:r w:rsidR="00664528">
        <w:t xml:space="preserve"> </w:t>
      </w:r>
      <w:r>
        <w:t>окажутся</w:t>
      </w:r>
      <w:r w:rsidR="00664528">
        <w:t xml:space="preserve"> справедливы</w:t>
      </w:r>
      <w:r>
        <w:t>ми</w:t>
      </w:r>
      <w:r w:rsidR="00664528">
        <w:t xml:space="preserve"> для </w:t>
      </w:r>
      <w:r>
        <w:t xml:space="preserve">выбранного </w:t>
      </w:r>
      <w:r w:rsidR="00664528">
        <w:t xml:space="preserve">временного отрезка. </w:t>
      </w:r>
    </w:p>
    <w:p w14:paraId="4E2D31AE" w14:textId="77777777" w:rsidR="00C309F4" w:rsidRDefault="00C309F4" w:rsidP="00806661">
      <w:pPr>
        <w:spacing w:after="160" w:line="259" w:lineRule="auto"/>
      </w:pPr>
    </w:p>
    <w:p w14:paraId="03C3D049" w14:textId="127BA0FA" w:rsidR="00806661" w:rsidRDefault="00806661" w:rsidP="00806661">
      <w:pPr>
        <w:spacing w:after="160" w:line="259" w:lineRule="auto"/>
        <w:rPr>
          <w:i/>
          <w:iCs/>
        </w:rPr>
      </w:pPr>
      <w:r w:rsidRPr="00995D2A">
        <w:rPr>
          <w:rFonts w:eastAsiaTheme="majorEastAsia" w:cstheme="majorBidi"/>
          <w:b/>
          <w:bCs/>
          <w:i/>
          <w:iCs/>
          <w:color w:val="000000" w:themeColor="text1"/>
          <w:sz w:val="26"/>
          <w:szCs w:val="26"/>
        </w:rPr>
        <w:t xml:space="preserve">Гипотеза 1.  </w:t>
      </w:r>
      <w:r w:rsidRPr="00995D2A">
        <w:rPr>
          <w:i/>
          <w:iCs/>
        </w:rPr>
        <w:t>Новость о «позитивном» дивидендном сюрпризе приведет к положительной реакции рынка, то есть положительной накопленной избыточной доходности</w:t>
      </w:r>
      <w:r w:rsidR="00BB5ADD">
        <w:rPr>
          <w:i/>
          <w:iCs/>
        </w:rPr>
        <w:t xml:space="preserve"> в окне события</w:t>
      </w:r>
      <w:r w:rsidRPr="00995D2A">
        <w:rPr>
          <w:i/>
          <w:iCs/>
        </w:rPr>
        <w:t xml:space="preserve"> после объявления.</w:t>
      </w:r>
    </w:p>
    <w:p w14:paraId="230977BA" w14:textId="28E7188F" w:rsidR="00B47496" w:rsidRPr="00995D2A" w:rsidRDefault="00B47496" w:rsidP="00B47496">
      <w:r>
        <w:t xml:space="preserve">Под «позитивным» сюрпризом в данном случае имеется в виду </w:t>
      </w:r>
      <w:r w:rsidRPr="00995D2A">
        <w:t>ситуаци</w:t>
      </w:r>
      <w:r>
        <w:t>я</w:t>
      </w:r>
      <w:r w:rsidRPr="00995D2A">
        <w:t>, когда объявленный дивиденд превышает консенсус-прогноз более чем на 5%</w:t>
      </w:r>
      <w:r>
        <w:t>.</w:t>
      </w:r>
    </w:p>
    <w:p w14:paraId="0A1A3785" w14:textId="41C73132" w:rsidR="00806661" w:rsidRDefault="00806661" w:rsidP="00806661">
      <w:pPr>
        <w:spacing w:after="160" w:line="259" w:lineRule="auto"/>
        <w:rPr>
          <w:i/>
          <w:iCs/>
        </w:rPr>
      </w:pPr>
      <w:r w:rsidRPr="00995D2A">
        <w:rPr>
          <w:rFonts w:eastAsiaTheme="majorEastAsia" w:cstheme="majorBidi"/>
          <w:b/>
          <w:bCs/>
          <w:i/>
          <w:iCs/>
          <w:color w:val="000000" w:themeColor="text1"/>
          <w:sz w:val="26"/>
          <w:szCs w:val="26"/>
        </w:rPr>
        <w:t xml:space="preserve">Гипотеза 2. </w:t>
      </w:r>
      <w:r w:rsidRPr="00995D2A">
        <w:rPr>
          <w:i/>
          <w:iCs/>
        </w:rPr>
        <w:t>Новость о «негативном» дивидендном сюрприз</w:t>
      </w:r>
      <w:r w:rsidR="00BB5ADD">
        <w:rPr>
          <w:i/>
          <w:iCs/>
        </w:rPr>
        <w:t xml:space="preserve">е </w:t>
      </w:r>
      <w:r w:rsidRPr="00995D2A">
        <w:rPr>
          <w:i/>
          <w:iCs/>
        </w:rPr>
        <w:t>приведет к отрицательной реакции рынка, то есть отрицательной накопленной избыточной доходности</w:t>
      </w:r>
      <w:r w:rsidR="00BB5ADD" w:rsidRPr="00BB5ADD">
        <w:rPr>
          <w:i/>
          <w:iCs/>
        </w:rPr>
        <w:t xml:space="preserve"> </w:t>
      </w:r>
      <w:r w:rsidR="00BB5ADD">
        <w:rPr>
          <w:i/>
          <w:iCs/>
        </w:rPr>
        <w:t>в окне события</w:t>
      </w:r>
      <w:r w:rsidRPr="00995D2A">
        <w:rPr>
          <w:i/>
          <w:iCs/>
        </w:rPr>
        <w:t xml:space="preserve"> после объявления.</w:t>
      </w:r>
    </w:p>
    <w:p w14:paraId="140CF05D" w14:textId="66CB862B" w:rsidR="00BB5ADD" w:rsidRPr="00995D2A" w:rsidRDefault="00BB5ADD" w:rsidP="00BB5ADD">
      <w:r>
        <w:t xml:space="preserve">Под «негативным» сюрпризом в данном случае имеется в виду </w:t>
      </w:r>
      <w:r w:rsidRPr="00995D2A">
        <w:t>ситуаци</w:t>
      </w:r>
      <w:r>
        <w:t>я</w:t>
      </w:r>
      <w:r w:rsidRPr="00995D2A">
        <w:t>, когда объявленный дивиденд оказался ниже консенсус-прогноза более чем на 5%</w:t>
      </w:r>
      <w:r>
        <w:t>.</w:t>
      </w:r>
    </w:p>
    <w:p w14:paraId="2AD0A93B" w14:textId="77777777" w:rsidR="00806661" w:rsidRDefault="00806661" w:rsidP="00806661"/>
    <w:p w14:paraId="6B7F311C" w14:textId="724CCD01" w:rsidR="00806661" w:rsidRDefault="00815DE4" w:rsidP="00815DE4">
      <w:pPr>
        <w:pStyle w:val="3"/>
      </w:pPr>
      <w:bookmarkStart w:id="14" w:name="_Toc104840354"/>
      <w:r>
        <w:t xml:space="preserve">1.3.2 Гипотезы </w:t>
      </w:r>
      <w:r w:rsidRPr="00815DE4">
        <w:t>о факторах реакции рынка на объявления о дивидендах</w:t>
      </w:r>
      <w:bookmarkEnd w:id="14"/>
    </w:p>
    <w:p w14:paraId="098BE53A" w14:textId="638520C2" w:rsidR="00806661" w:rsidRPr="000045F5" w:rsidRDefault="00317A29" w:rsidP="000045F5">
      <w:pPr>
        <w:pStyle w:val="4"/>
      </w:pPr>
      <w:r w:rsidRPr="000045F5">
        <w:t>1</w:t>
      </w:r>
      <w:r w:rsidR="00806661" w:rsidRPr="000045F5">
        <w:t>.</w:t>
      </w:r>
      <w:r w:rsidR="00815DE4" w:rsidRPr="000045F5">
        <w:t>3</w:t>
      </w:r>
      <w:r w:rsidR="00806661" w:rsidRPr="000045F5">
        <w:t>.</w:t>
      </w:r>
      <w:r w:rsidR="00815DE4" w:rsidRPr="000045F5">
        <w:t>2.1</w:t>
      </w:r>
      <w:r w:rsidR="00806661" w:rsidRPr="000045F5">
        <w:t xml:space="preserve"> Факторы, характеризующие степень информационного наполнения дивидендов</w:t>
      </w:r>
    </w:p>
    <w:p w14:paraId="56E5A4D5" w14:textId="77777777" w:rsidR="00806661" w:rsidRDefault="00806661" w:rsidP="00806661">
      <w:r>
        <w:t xml:space="preserve">Согласно сигнальной теории, описанной выше, менеджеры обладают большей информацией о внутреннем положении дел в компании по сравнению с инвесторами-аутсайдерами, и новость о дивидендах может служить дополнительным сигналом рынку о текущих или будущих денежных потоках в компании. </w:t>
      </w:r>
      <w:r w:rsidRPr="009217DB">
        <w:rPr>
          <w:lang w:val="en-US"/>
        </w:rPr>
        <w:t xml:space="preserve">(Bhattacharya (1979), John and Williams (1985), and Miller and Rock (1985), Daniels et al., 1997). </w:t>
      </w:r>
      <w:r>
        <w:t>Соответветственно разумно предположить, что чем больше асимметрия между инсайдерами и аутсайдерами в компании, тем больше информационное наполнение дивидендов, и, следовательно, тем сильнее будет реакция рынка на соответствующий сигнал.</w:t>
      </w:r>
    </w:p>
    <w:p w14:paraId="42F15326" w14:textId="77777777" w:rsidR="00806661" w:rsidRDefault="00806661" w:rsidP="00806661">
      <w:r>
        <w:t xml:space="preserve">В литературе приводится несколько возможных прокси-переменных для оценки информационной асимметричности в компании. Так, например, в исследовании </w:t>
      </w:r>
      <w:r w:rsidRPr="00A476E7">
        <w:t>Хоу И. М.</w:t>
      </w:r>
      <w:r w:rsidRPr="009217DB">
        <w:t xml:space="preserve"> </w:t>
      </w:r>
      <w:r>
        <w:t>и</w:t>
      </w:r>
      <w:r w:rsidRPr="00A476E7">
        <w:t xml:space="preserve"> Ким У. С. </w:t>
      </w:r>
      <w:r>
        <w:t>(1991) авторы оценивают информационную ассиметричность через размер компании, измеренный рыночной капитализацией.</w:t>
      </w:r>
      <w:r>
        <w:rPr>
          <w:rStyle w:val="aff"/>
        </w:rPr>
        <w:footnoteReference w:id="25"/>
      </w:r>
      <w:r>
        <w:t xml:space="preserve"> Они обнаруживают значимую негативную взаимосвязь между размером компании и величиной сверхдоходности вокруг объявления о дивидендах. Иными словами, чем крупнее компания, тем в среднем будет меньше реакция на новость об изменении ее дивидендов. Действительно, в крупных компаниях зачастую уровень раскрытия информации выше, а значит, потребность в сигнале со стороны компании не так велика, как в небольших фирмах. Аналогично в работе </w:t>
      </w:r>
      <w:r w:rsidRPr="00A476E7">
        <w:t>Баджадж М.</w:t>
      </w:r>
      <w:r>
        <w:t xml:space="preserve"> и </w:t>
      </w:r>
      <w:r w:rsidRPr="00A476E7">
        <w:t xml:space="preserve">Виджх А. М. </w:t>
      </w:r>
      <w:r>
        <w:t>(1990) эмпирически доказывается, что ценовая реакция на дивиденды, более выраженная для небольших фирм (размер фирмы также измеряется рыночной ценностью компании).</w:t>
      </w:r>
      <w:r>
        <w:rPr>
          <w:rStyle w:val="aff"/>
        </w:rPr>
        <w:footnoteReference w:id="26"/>
      </w:r>
    </w:p>
    <w:p w14:paraId="3F0FB57E" w14:textId="17A50D55" w:rsidR="00806661" w:rsidRDefault="00806661" w:rsidP="00806661">
      <w:pPr>
        <w:rPr>
          <w:i/>
        </w:rPr>
      </w:pPr>
      <w:r>
        <w:rPr>
          <w:b/>
          <w:i/>
        </w:rPr>
        <w:t>Гипотеза 3.</w:t>
      </w:r>
      <w:r>
        <w:rPr>
          <w:i/>
        </w:rPr>
        <w:t xml:space="preserve"> Рынок будет тем сильнее реагировать на «дивидендный сюрприз», чем меньше</w:t>
      </w:r>
      <w:r w:rsidR="008966CC">
        <w:rPr>
          <w:i/>
        </w:rPr>
        <w:t xml:space="preserve"> размер</w:t>
      </w:r>
      <w:r>
        <w:rPr>
          <w:i/>
        </w:rPr>
        <w:t xml:space="preserve"> компани</w:t>
      </w:r>
      <w:r w:rsidR="008966CC">
        <w:rPr>
          <w:i/>
        </w:rPr>
        <w:t>и</w:t>
      </w:r>
      <w:r>
        <w:rPr>
          <w:i/>
        </w:rPr>
        <w:t xml:space="preserve">.  </w:t>
      </w:r>
    </w:p>
    <w:p w14:paraId="58B270B3" w14:textId="21F7FFED" w:rsidR="00806661" w:rsidRDefault="00806661" w:rsidP="00806661">
      <w:r>
        <w:t xml:space="preserve">Другая прокси-переменная для оценки степени информационной асимметричности – ошибка прогноза (forecast error). В исследовании </w:t>
      </w:r>
      <w:r w:rsidRPr="00A476E7">
        <w:t>Бест</w:t>
      </w:r>
      <w:r>
        <w:t>а</w:t>
      </w:r>
      <w:r w:rsidRPr="00A476E7">
        <w:t xml:space="preserve"> Р. Дж.</w:t>
      </w:r>
      <w:r>
        <w:t xml:space="preserve"> и</w:t>
      </w:r>
      <w:r w:rsidRPr="00A476E7">
        <w:t xml:space="preserve"> Бест</w:t>
      </w:r>
      <w:r>
        <w:t>а</w:t>
      </w:r>
      <w:r w:rsidRPr="00A476E7">
        <w:t xml:space="preserve"> Р. У. </w:t>
      </w:r>
      <w:r>
        <w:t>(2001) авторы выдвигают гипотезу о том, что большая величина ошибки прогноза аналитиков подразумевает большую неопределенность в отношении будущих показателей деятельности компании.</w:t>
      </w:r>
      <w:r>
        <w:rPr>
          <w:rStyle w:val="aff"/>
        </w:rPr>
        <w:footnoteReference w:id="27"/>
      </w:r>
      <w:r>
        <w:t xml:space="preserve"> В условиях высокой неопределенности сигнальная роль дивидендов растет, что было подтверждено авторами эмпирически: новость о росте дивидендов содержит больше информации (то есть демонстрирует более высокие значения сверхдоходности) для фирм, в отношении которых аналитики наименее точны при прогнозировании прибыли. Любопытно, что авторы также обнаруживают связь объявлений о дивидендах и будущих ошибках прогноза прибыли: сверхдоходность фирм, чья реализованная прибыль в следующем финансовом году превысит прогнозы, значительно больше, чем средняя </w:t>
      </w:r>
      <w:r w:rsidR="0070063B">
        <w:t>сверхдоходность</w:t>
      </w:r>
      <w:r>
        <w:t xml:space="preserve"> для фирм, фактическая прибыль которых в будущем оказывается ниже прогнозов. Это говорит о том, что объявления об изменении дивидендов </w:t>
      </w:r>
      <w:r w:rsidR="0070063B">
        <w:t xml:space="preserve">могут содержать </w:t>
      </w:r>
      <w:r>
        <w:t>информацию для рынка о будущих прибылях.</w:t>
      </w:r>
    </w:p>
    <w:p w14:paraId="7BB7F4C6" w14:textId="2DF4E8BC" w:rsidR="0070063B" w:rsidRDefault="0070063B" w:rsidP="00806661">
      <w:r>
        <w:t>В данной работе будет проанализирована связь реакции на дивиденды с предшествующей объявлению о дивидендах «ошибкой прогноза» прибыли, которая выступает в качестве прокси для степени ассиметрии информации между инсайдерами и внешними инвесторами.</w:t>
      </w:r>
    </w:p>
    <w:p w14:paraId="509A5945" w14:textId="52D6FE4E" w:rsidR="00806661" w:rsidRDefault="00806661" w:rsidP="00806661">
      <w:pPr>
        <w:rPr>
          <w:i/>
        </w:rPr>
      </w:pPr>
      <w:r>
        <w:rPr>
          <w:b/>
          <w:i/>
        </w:rPr>
        <w:t>Гипотеза 4.</w:t>
      </w:r>
      <w:r>
        <w:rPr>
          <w:i/>
        </w:rPr>
        <w:t xml:space="preserve"> Рынок будет тем сильнее реагировать на «дивидендный сюрприз», чем больше</w:t>
      </w:r>
      <w:r w:rsidR="00EA7ABE">
        <w:rPr>
          <w:i/>
        </w:rPr>
        <w:t xml:space="preserve"> была зафиксирована</w:t>
      </w:r>
      <w:r>
        <w:rPr>
          <w:i/>
        </w:rPr>
        <w:t xml:space="preserve"> «ошибка прогноза» прибыли </w:t>
      </w:r>
      <w:r w:rsidR="0070063B">
        <w:rPr>
          <w:i/>
        </w:rPr>
        <w:t>для</w:t>
      </w:r>
      <w:r>
        <w:rPr>
          <w:i/>
        </w:rPr>
        <w:t xml:space="preserve"> компании</w:t>
      </w:r>
      <w:r w:rsidR="0070063B">
        <w:rPr>
          <w:i/>
        </w:rPr>
        <w:t>, предшествующая объявлению дивидендов</w:t>
      </w:r>
      <w:r>
        <w:rPr>
          <w:i/>
        </w:rPr>
        <w:t xml:space="preserve">.  </w:t>
      </w:r>
    </w:p>
    <w:p w14:paraId="4C5F8887" w14:textId="77777777" w:rsidR="00806661" w:rsidRDefault="00806661" w:rsidP="00806661">
      <w:r>
        <w:t xml:space="preserve">Степень информационного наполнения может также характеризоваться величиной «сюрприза». В ранее упомянутой статье Bajaj and Vijh (1990) авторы измеряют величину «дивидендного сюрприза» через процентное изменение дивидендов и обнаруживают, что эот показатель положительно взаимосвязан с ценовой реакцией на новость о дивидендах. В работе E.Viera (2011) автор приходит к похожему выводу: сильное процентное изменение дивидендов в меньшую сторону уменьшает вероятность, что рынок отреагирует позитивно на объявление о снижение дивидендов. </w:t>
      </w:r>
      <w:r>
        <w:rPr>
          <w:rStyle w:val="aff"/>
        </w:rPr>
        <w:footnoteReference w:id="28"/>
      </w:r>
    </w:p>
    <w:p w14:paraId="0805826E" w14:textId="77777777" w:rsidR="00806661" w:rsidRDefault="00806661" w:rsidP="00806661">
      <w:r>
        <w:t>Помимо относительного изменения дивидендов, величину «сюрприза» также можно измерять ошибкой прогноза дивидендов; именно исходя из такой трактовки сюрприза проводится классификация новостей на позитивные и негативные в данном исследовании. Включение двух этих показателей в модель: величина относительного изменения дивиденда и ошибка прогноза позволят оценить, какая прокси является лучшей для оценки «сюрприза».</w:t>
      </w:r>
    </w:p>
    <w:p w14:paraId="56697234" w14:textId="77777777" w:rsidR="00806661" w:rsidRDefault="00806661" w:rsidP="00806661">
      <w:pPr>
        <w:rPr>
          <w:i/>
        </w:rPr>
      </w:pPr>
      <w:r>
        <w:rPr>
          <w:b/>
          <w:i/>
        </w:rPr>
        <w:t>Гипотеза 5.</w:t>
      </w:r>
      <w:r>
        <w:rPr>
          <w:i/>
        </w:rPr>
        <w:t xml:space="preserve"> Рынок будет тем сильнее реагировать на «дивидендный сюрприз», чем больше величина «дивидендного сюрприза» в компании.  </w:t>
      </w:r>
    </w:p>
    <w:p w14:paraId="264F103B" w14:textId="77777777" w:rsidR="00806661" w:rsidRDefault="00806661" w:rsidP="00806661">
      <w:r>
        <w:t xml:space="preserve">Кроме того, рынок может оценивать новость о дивидендах как сигнал об устойчивости предшествующего изменения прибыли. Так, в исследовании </w:t>
      </w:r>
      <w:r w:rsidRPr="00865C08">
        <w:t>Кох</w:t>
      </w:r>
      <w:r>
        <w:t>а</w:t>
      </w:r>
      <w:r w:rsidRPr="00865C08">
        <w:t xml:space="preserve"> А. С.</w:t>
      </w:r>
      <w:r>
        <w:t xml:space="preserve"> и</w:t>
      </w:r>
      <w:r w:rsidRPr="00865C08">
        <w:t xml:space="preserve"> Син</w:t>
      </w:r>
      <w:r>
        <w:t>а</w:t>
      </w:r>
      <w:r w:rsidRPr="00865C08">
        <w:t xml:space="preserve"> А. Х. </w:t>
      </w:r>
      <w:r>
        <w:t>(2004) авторы тестируют гипотезу о том, что изменения дивидендов побуждают инвесторов пересмотреть свои ожидания в отношении устойчивости прошлых изменений прибыли.</w:t>
      </w:r>
      <w:r>
        <w:rPr>
          <w:rStyle w:val="aff"/>
        </w:rPr>
        <w:footnoteReference w:id="29"/>
      </w:r>
      <w:r>
        <w:t xml:space="preserve"> Результаты исследования на американских компаниях позволяют принять данную гипотезу: при условии, что изменение дивидендов следует </w:t>
      </w:r>
      <w:proofErr w:type="gramStart"/>
      <w:r>
        <w:t>за изменением</w:t>
      </w:r>
      <w:proofErr w:type="gramEnd"/>
      <w:r>
        <w:t xml:space="preserve"> прибыли того же знака, чем больше изменение прибыли, тем сильнее реакция на изменение дивидендов впоследствии. Таким образом, информационное наполнение новости о дивидендах зависит от предыдущего изменения прибыли.</w:t>
      </w:r>
    </w:p>
    <w:p w14:paraId="422E6B05" w14:textId="77777777" w:rsidR="00806661" w:rsidRDefault="00806661" w:rsidP="00806661">
      <w:r>
        <w:t>К похожим выводам о взаимосвязи новостей о прибыли и о дивидендах приходят авторы другого исследования (A.A. Lonie и др., 1996).</w:t>
      </w:r>
      <w:r>
        <w:rPr>
          <w:rStyle w:val="aff"/>
        </w:rPr>
        <w:footnoteReference w:id="30"/>
      </w:r>
      <w:r>
        <w:t xml:space="preserve"> Исследование на выборке британских компаний показало, что для случая увеличения дивидендов положительная реакция рынка была сильнее, если прибыль компания тоже увеличилась; а для случая снижения дивидендов негативная реакция была сильнее, если прибыль компании уменьшилась. Таким образом, новость о дивидендах является более сильным сигналом в случаях, когда она подтверждает новость об изменении прибыли.</w:t>
      </w:r>
    </w:p>
    <w:p w14:paraId="09CC7284" w14:textId="77777777" w:rsidR="00806661" w:rsidRDefault="00806661" w:rsidP="00806661"/>
    <w:p w14:paraId="0351E150" w14:textId="1F694E63" w:rsidR="00806661" w:rsidRDefault="00806661" w:rsidP="00806661">
      <w:pPr>
        <w:rPr>
          <w:i/>
        </w:rPr>
      </w:pPr>
      <w:r>
        <w:rPr>
          <w:b/>
          <w:i/>
        </w:rPr>
        <w:t xml:space="preserve"> Гипотеза 6. </w:t>
      </w:r>
      <w:r>
        <w:rPr>
          <w:i/>
        </w:rPr>
        <w:t>Рынок будет сильнее реагировать на «дивидендный сюрприз», если он будет того же направления (знака), что и изменение прибыли</w:t>
      </w:r>
      <w:r w:rsidR="00EA7ABE">
        <w:rPr>
          <w:i/>
        </w:rPr>
        <w:t xml:space="preserve"> за тот же</w:t>
      </w:r>
      <w:r w:rsidR="00FC65E3">
        <w:rPr>
          <w:i/>
        </w:rPr>
        <w:t xml:space="preserve"> период</w:t>
      </w:r>
      <w:r w:rsidR="00EA7ABE">
        <w:rPr>
          <w:i/>
        </w:rPr>
        <w:t>, по итогам которого объявляетя двиденд</w:t>
      </w:r>
      <w:r>
        <w:rPr>
          <w:i/>
        </w:rPr>
        <w:t>.</w:t>
      </w:r>
    </w:p>
    <w:p w14:paraId="773D65BE" w14:textId="77777777" w:rsidR="00806661" w:rsidRDefault="00806661" w:rsidP="00806661">
      <w:pPr>
        <w:rPr>
          <w:i/>
          <w:sz w:val="20"/>
          <w:szCs w:val="20"/>
        </w:rPr>
      </w:pPr>
    </w:p>
    <w:p w14:paraId="09752643" w14:textId="77777777" w:rsidR="00806661" w:rsidRDefault="00806661" w:rsidP="00806661">
      <w:pPr>
        <w:rPr>
          <w:i/>
          <w:sz w:val="20"/>
          <w:szCs w:val="20"/>
        </w:rPr>
      </w:pPr>
    </w:p>
    <w:p w14:paraId="6E4982AC" w14:textId="77777777" w:rsidR="00806661" w:rsidRDefault="00806661" w:rsidP="00806661">
      <w:pPr>
        <w:rPr>
          <w:i/>
          <w:sz w:val="20"/>
          <w:szCs w:val="20"/>
        </w:rPr>
      </w:pPr>
    </w:p>
    <w:p w14:paraId="1526F261" w14:textId="74929CAD" w:rsidR="00806661" w:rsidRPr="00815DE4" w:rsidRDefault="00317A29" w:rsidP="000045F5">
      <w:pPr>
        <w:pStyle w:val="4"/>
      </w:pPr>
      <w:r w:rsidRPr="00815DE4">
        <w:t>1</w:t>
      </w:r>
      <w:r w:rsidR="00806661" w:rsidRPr="00815DE4">
        <w:t>.</w:t>
      </w:r>
      <w:r w:rsidR="00815DE4">
        <w:t>3</w:t>
      </w:r>
      <w:r w:rsidR="00806661" w:rsidRPr="00815DE4">
        <w:t>.2</w:t>
      </w:r>
      <w:r w:rsidR="00815DE4">
        <w:t>.2</w:t>
      </w:r>
      <w:r w:rsidR="00806661" w:rsidRPr="00815DE4">
        <w:t xml:space="preserve"> Факторы, характеризующие инвестиционные возможности компании</w:t>
      </w:r>
    </w:p>
    <w:p w14:paraId="122D2A50" w14:textId="77777777" w:rsidR="00806661" w:rsidRDefault="00806661" w:rsidP="00806661">
      <w:pPr>
        <w:rPr>
          <w:rFonts w:ascii="Georgia" w:eastAsia="Georgia" w:hAnsi="Georgia" w:cs="Georgia"/>
          <w:color w:val="2E2E2E"/>
          <w:sz w:val="22"/>
        </w:rPr>
      </w:pPr>
      <w:r>
        <w:t xml:space="preserve">В 1986г. Дженсен утверждал, что фирма со значительным денежным потоком склонна «переинвестировать», то есть осуществлять чрезмерные инвестиции, в том числе принимая инвестиционные проекты с отрицательной чистой приведенной стоимостью. Для таких фирм увеличение дивидендов может стать инструментом ограничения переинвестирования и привести к росту ценности фирмы, уменьшение же дивидендов будет иметь обратный эффект. В 1989 году Ларри Ланг и Роберт Литценберг </w:t>
      </w:r>
      <w:r>
        <w:rPr>
          <w:vertAlign w:val="superscript"/>
        </w:rPr>
        <w:footnoteReference w:id="31"/>
      </w:r>
      <w:r>
        <w:t xml:space="preserve"> нашли подтверждение теории «переинвестирования» («the overinvestment hypothesis») на эмпирических данных: они установили, что в среднем доходность в день объявления об увеличении дивидендов значительно больше для фирм, склонных к переинвестированию (прокси для переинвестирования – значение показателя Tobin’s Q меньше 1).</w:t>
      </w:r>
      <w:r>
        <w:rPr>
          <w:rFonts w:ascii="Georgia" w:eastAsia="Georgia" w:hAnsi="Georgia" w:cs="Georgia"/>
          <w:color w:val="2E2E2E"/>
          <w:sz w:val="22"/>
        </w:rPr>
        <w:t xml:space="preserve"> </w:t>
      </w:r>
    </w:p>
    <w:p w14:paraId="69BD05F1" w14:textId="77777777" w:rsidR="00806661" w:rsidRDefault="00806661" w:rsidP="00806661">
      <w:r>
        <w:t>Помимо Tobin’s Q в исследованиях также используется показатель P/BV или отношение рыночной цены к балансовой цене акций для маркировки компаний, для которых характерно переинвестирование. К примеру, в работе (Veira, 2011) автор обнаружил, что при увеличении показателя P/BV как индикатора инвестиционных возможностей растет вероятность, что рынок негативно отреагирует на рост дивидендов, что соотносится с теорией Дженсена (1986).</w:t>
      </w:r>
    </w:p>
    <w:p w14:paraId="1399E850" w14:textId="77777777" w:rsidR="00806661" w:rsidRDefault="00806661" w:rsidP="00806661">
      <w:pPr>
        <w:rPr>
          <w:b/>
          <w:i/>
        </w:rPr>
      </w:pPr>
    </w:p>
    <w:p w14:paraId="406DA468" w14:textId="66FE16F5" w:rsidR="00EA7ABE" w:rsidRDefault="00806661" w:rsidP="00806661">
      <w:pPr>
        <w:rPr>
          <w:i/>
        </w:rPr>
      </w:pPr>
      <w:r>
        <w:rPr>
          <w:b/>
          <w:i/>
        </w:rPr>
        <w:t>Гипотеза 7</w:t>
      </w:r>
      <w:r w:rsidR="00EA7ABE">
        <w:rPr>
          <w:b/>
          <w:i/>
        </w:rPr>
        <w:t xml:space="preserve"> (а)</w:t>
      </w:r>
      <w:r>
        <w:rPr>
          <w:b/>
          <w:i/>
        </w:rPr>
        <w:t>.</w:t>
      </w:r>
      <w:r>
        <w:rPr>
          <w:i/>
        </w:rPr>
        <w:t xml:space="preserve"> </w:t>
      </w:r>
      <w:r w:rsidR="00EA7ABE">
        <w:rPr>
          <w:i/>
        </w:rPr>
        <w:t>Реакция</w:t>
      </w:r>
      <w:r>
        <w:rPr>
          <w:i/>
        </w:rPr>
        <w:t xml:space="preserve"> рынка на позитивный «дивидендный сюрприз» будет </w:t>
      </w:r>
      <w:r w:rsidR="00EA7ABE">
        <w:rPr>
          <w:i/>
        </w:rPr>
        <w:t>тем лучше, чем</w:t>
      </w:r>
      <w:r>
        <w:rPr>
          <w:i/>
        </w:rPr>
        <w:t xml:space="preserve"> </w:t>
      </w:r>
      <w:r w:rsidR="00EA7ABE">
        <w:rPr>
          <w:i/>
        </w:rPr>
        <w:t xml:space="preserve">меньше </w:t>
      </w:r>
      <w:r>
        <w:rPr>
          <w:i/>
        </w:rPr>
        <w:t>у компании инвестиционных возможностей</w:t>
      </w:r>
      <w:r w:rsidR="00EA7ABE">
        <w:rPr>
          <w:i/>
        </w:rPr>
        <w:t>.</w:t>
      </w:r>
    </w:p>
    <w:p w14:paraId="1271FEE9" w14:textId="26962067" w:rsidR="00806661" w:rsidRDefault="00806661" w:rsidP="00806661">
      <w:pPr>
        <w:rPr>
          <w:i/>
        </w:rPr>
      </w:pPr>
      <w:r>
        <w:rPr>
          <w:i/>
        </w:rPr>
        <w:t xml:space="preserve"> </w:t>
      </w:r>
      <w:r w:rsidR="00EA7ABE">
        <w:rPr>
          <w:b/>
          <w:i/>
        </w:rPr>
        <w:t xml:space="preserve">Гипотеза 7 (б). </w:t>
      </w:r>
      <w:r w:rsidR="00EA7ABE">
        <w:rPr>
          <w:i/>
        </w:rPr>
        <w:t>Реакция</w:t>
      </w:r>
      <w:r>
        <w:rPr>
          <w:i/>
        </w:rPr>
        <w:t xml:space="preserve"> рынка на негативный «дивидендный сюрприз» будет </w:t>
      </w:r>
      <w:r w:rsidR="00EA7ABE">
        <w:rPr>
          <w:i/>
        </w:rPr>
        <w:t>тем хуже,</w:t>
      </w:r>
      <w:r>
        <w:rPr>
          <w:i/>
        </w:rPr>
        <w:t xml:space="preserve"> </w:t>
      </w:r>
      <w:r w:rsidR="00EA7ABE">
        <w:rPr>
          <w:i/>
        </w:rPr>
        <w:t>чем меньше</w:t>
      </w:r>
      <w:r>
        <w:rPr>
          <w:i/>
        </w:rPr>
        <w:t xml:space="preserve"> у компании инвестиционных возможностей.</w:t>
      </w:r>
    </w:p>
    <w:p w14:paraId="3A4CECD0" w14:textId="77777777" w:rsidR="00806661" w:rsidRDefault="00806661" w:rsidP="00806661">
      <w:pPr>
        <w:rPr>
          <w:i/>
        </w:rPr>
      </w:pPr>
    </w:p>
    <w:p w14:paraId="3425BBEF" w14:textId="196AFAF5" w:rsidR="00806661" w:rsidRPr="00815DE4" w:rsidRDefault="00317A29" w:rsidP="000045F5">
      <w:pPr>
        <w:pStyle w:val="4"/>
      </w:pPr>
      <w:r w:rsidRPr="00815DE4">
        <w:t>1</w:t>
      </w:r>
      <w:r w:rsidR="00806661" w:rsidRPr="00815DE4">
        <w:t>.</w:t>
      </w:r>
      <w:r w:rsidR="00815DE4">
        <w:t>3</w:t>
      </w:r>
      <w:r w:rsidR="00806661" w:rsidRPr="00815DE4">
        <w:t>.</w:t>
      </w:r>
      <w:r w:rsidR="00815DE4">
        <w:t>2.3</w:t>
      </w:r>
      <w:r w:rsidR="00806661" w:rsidRPr="00815DE4">
        <w:t xml:space="preserve"> Факторы, характеризующие наличие «эффекта клиент</w:t>
      </w:r>
      <w:r w:rsidR="00EA7ABE" w:rsidRPr="00815DE4">
        <w:t>ской базы</w:t>
      </w:r>
      <w:r w:rsidR="00806661" w:rsidRPr="00815DE4">
        <w:t>»</w:t>
      </w:r>
    </w:p>
    <w:p w14:paraId="26A78788" w14:textId="77777777" w:rsidR="00806661" w:rsidRDefault="00806661" w:rsidP="00806661">
      <w:pPr>
        <w:keepNext/>
        <w:keepLines/>
        <w:pBdr>
          <w:top w:val="nil"/>
          <w:left w:val="nil"/>
          <w:bottom w:val="nil"/>
          <w:right w:val="nil"/>
          <w:between w:val="nil"/>
        </w:pBdr>
        <w:ind w:firstLine="0"/>
        <w:jc w:val="left"/>
        <w:rPr>
          <w:b/>
          <w:color w:val="000000"/>
        </w:rPr>
      </w:pPr>
    </w:p>
    <w:p w14:paraId="04073FBB" w14:textId="4115B6AC" w:rsidR="00806661" w:rsidRDefault="00806661" w:rsidP="00806661">
      <w:r>
        <w:t xml:space="preserve">Модильяни и Миллер (1974), Блэк и Шоулз (1974), Элтон и Грубер (1970) были одними из первых отметили, что некоторые инвесторы могут предпочитать дивидендный доход доходу от прироста капитала в силу налоговых или институциональных причин. </w:t>
      </w:r>
      <w:r>
        <w:rPr>
          <w:rFonts w:ascii="Calibri" w:eastAsia="Calibri" w:hAnsi="Calibri" w:cs="Calibri"/>
          <w:color w:val="000000"/>
          <w:sz w:val="22"/>
        </w:rPr>
        <w:t xml:space="preserve"> </w:t>
      </w:r>
      <w:r>
        <w:t>)</w:t>
      </w:r>
      <w:r>
        <w:rPr>
          <w:vertAlign w:val="superscript"/>
        </w:rPr>
        <w:footnoteReference w:id="32"/>
      </w:r>
      <w:r>
        <w:rPr>
          <w:rFonts w:ascii="Arial" w:eastAsia="Arial" w:hAnsi="Arial" w:cs="Arial"/>
          <w:color w:val="006621"/>
          <w:sz w:val="20"/>
          <w:szCs w:val="20"/>
          <w:highlight w:val="white"/>
        </w:rPr>
        <w:t xml:space="preserve">. </w:t>
      </w:r>
      <w:r w:rsidRPr="009F6685">
        <w:t>Впоследствии эта идея стала называться в литературе как «эффект клиент</w:t>
      </w:r>
      <w:r w:rsidR="00EA7ABE">
        <w:t>ской базы</w:t>
      </w:r>
      <w:r w:rsidRPr="009F6685">
        <w:t>»</w:t>
      </w:r>
      <w:r>
        <w:t xml:space="preserve"> («</w:t>
      </w:r>
      <w:r>
        <w:rPr>
          <w:lang w:val="en-US"/>
        </w:rPr>
        <w:t>clientele</w:t>
      </w:r>
      <w:r w:rsidRPr="009217DB">
        <w:t xml:space="preserve"> </w:t>
      </w:r>
      <w:r>
        <w:rPr>
          <w:lang w:val="en-US"/>
        </w:rPr>
        <w:t>effect</w:t>
      </w:r>
      <w:r>
        <w:t xml:space="preserve">»). Согласно этой теории, в условиях разного налогообложения дохода от прироста капитала и дивидендов для разных групп инвесторов, создаются предпосылки для формирования предпочтений в пользу того или иного дохода: группы инвесторов с более низкой ставкой налога на дивиденды по сравнению с налогом на прирост капитала выбирают акции с более высокой дивидендной доходностью, в то время как группы инвесторов с налоговым предпочтением дохода от курсовой динамики акций предпочитают акции с низкой дивидендной доходностью. </w:t>
      </w:r>
    </w:p>
    <w:p w14:paraId="25249BD0" w14:textId="77777777" w:rsidR="00806661" w:rsidRDefault="00806661" w:rsidP="00806661">
      <w:r>
        <w:t>Данная теория часто упоминается в работах, посвященных реакции рынка на объявления дивидендов, для объяснения взаимосвязи ценовой реакции и дивидендной доходности. Например, в работе Bajaj and Vijh (1990), выдвигается предположение о том, что инвесторы в фирмах с низкой дивидендной доходностью будут воспринимать рост дивидендов негативно, в то время как инвесторы в компаниях с высокой дивидендной доходностью, которые больше ценят дивиденды чем доход от прироста капитала, будут реагировать позитивно. Авторы эмпирически подтверждают наличие положительной взаимосвязи между ценовой реакцией на дивидендные изменения и величиной дивидендной доходности в компаниях. Результат интерпретируется исходя из теории клиента.</w:t>
      </w:r>
    </w:p>
    <w:p w14:paraId="087A3ADB" w14:textId="77777777" w:rsidR="00806661" w:rsidRDefault="00806661" w:rsidP="00806661">
      <w:r>
        <w:t xml:space="preserve">На исследуемых в данной работе рынках Китая и России тоже можно выделить группы, которые с точки зрения налогов будут отдавать предпочтение тому или иному виду дохода. В России “стратегические инвесторы” (владеющие не менее 50% капитала плательщика дивидендов не менее года) не облагаются налогом на дивидендный доход и, следовательно, могут отдавать предпочтение именно такому доходу. Аналогично нерезиденты в РФ облагаются ставкой в 15% при получении дивидендного дохода от российских компаний, и в 30% - от дохода с продажи акций, что также дает им основания предпочитать акции с высокой дивидендной доходностью. В </w:t>
      </w:r>
      <w:proofErr w:type="gramStart"/>
      <w:r>
        <w:t>Китае  прирост</w:t>
      </w:r>
      <w:proofErr w:type="gramEnd"/>
      <w:r>
        <w:t xml:space="preserve"> стоимости акций вообще не облагается налогом в отличии от дивидендов, поэтому инвесторы могут быть больше заинтересованы в акциях роста, нежели в дивидендных акциях; это не касается только инвесторов, владеющих акциями сроком более года - для них дивиденды тоже не облагаются налогом, и поэтому они могут быть индифферентны к виду получаемого дохода с точки зрения налогообложения.</w:t>
      </w:r>
    </w:p>
    <w:p w14:paraId="54309130" w14:textId="1AC788FE" w:rsidR="00806661" w:rsidRDefault="00806661" w:rsidP="00806661">
      <w:r>
        <w:t>Помимо налоговых выгод, есть и другие обоснования “эффекта клиент</w:t>
      </w:r>
      <w:r w:rsidR="00EA7ABE">
        <w:t>ской базы</w:t>
      </w:r>
      <w:r>
        <w:t>”. Так, например, в работе Х. Шефрина и М. Статмена (1984) обосновывается теория самоконтроля (“self-control”): розничные инвесторы хотят ограничить свои траты, откладывая средства на долгосрочную перспективу, и могут настраивать объем допустимого извлечения вложений через дивидендную доходность активов.</w:t>
      </w:r>
      <w:r>
        <w:rPr>
          <w:rStyle w:val="aff"/>
        </w:rPr>
        <w:footnoteReference w:id="33"/>
      </w:r>
      <w:r>
        <w:t xml:space="preserve"> Кроме того, авторы связывают “эффект клиент</w:t>
      </w:r>
      <w:r w:rsidR="007050E3">
        <w:t>ской базы</w:t>
      </w:r>
      <w:r>
        <w:t>” с неприязнью к сожалению: инвесторы испытывают больше сожаления при продаже акций чем при тратах дивидендов, поэтому склонны потреблять именно на доход от дивидендов нежели чем на доход от прироста капитала. В работе Д. Грэхэма и А. Кьюмара (2004) авторы также находят другие факторы, связанные с “эффектом клиент</w:t>
      </w:r>
      <w:r w:rsidR="007050E3">
        <w:t>ской базы</w:t>
      </w:r>
      <w:r>
        <w:t xml:space="preserve">”: эмпирически выявляется, что предпочтение дивидендной доходности растет с увеличением неприязни к риску и возрастом и уменьшается по мере снижения дохода. </w:t>
      </w:r>
      <w:r>
        <w:rPr>
          <w:rStyle w:val="aff"/>
        </w:rPr>
        <w:footnoteReference w:id="34"/>
      </w:r>
    </w:p>
    <w:p w14:paraId="663ED007" w14:textId="3AC511FC" w:rsidR="00806661" w:rsidRDefault="00806661" w:rsidP="00806661">
      <w:r>
        <w:t>“Эффект клиент</w:t>
      </w:r>
      <w:r w:rsidR="007050E3">
        <w:t>ской базы</w:t>
      </w:r>
      <w:r>
        <w:t xml:space="preserve">” был протестирован и на одном из рынков, исследуемых в данной работе, - в Китае. Исследование 2020 года выявило, что за три дня до экс-дивидендной даты цены акций стремительно </w:t>
      </w:r>
      <w:proofErr w:type="gramStart"/>
      <w:r>
        <w:t>растут ,</w:t>
      </w:r>
      <w:proofErr w:type="gramEnd"/>
      <w:r>
        <w:t xml:space="preserve"> так же как и объем торгов, в то время как в день экс-дивидендной даты наблюдается противоположная динамика. Это противоречит объяснению “эффекта клиент</w:t>
      </w:r>
      <w:r w:rsidR="007050E3">
        <w:t>ской базы</w:t>
      </w:r>
      <w:r>
        <w:t>” с точки зрения налогов, поскольку в Китае налог на прирост капитала отсутствует, и у инвесторов должно быть предпочтение в пользу этого дохода. В связи с этим авторы связывают предпочтение дивидендов со стороны китайских инвесторов с поведенческими теориями: теорией самоконтроля, сожаления, а также взаимосвязью с возрастом и уровнем дохода инвесторов.</w:t>
      </w:r>
      <w:r>
        <w:rPr>
          <w:rStyle w:val="aff"/>
        </w:rPr>
        <w:footnoteReference w:id="35"/>
      </w:r>
    </w:p>
    <w:p w14:paraId="12BF8479" w14:textId="66EA6EDA" w:rsidR="00806661" w:rsidRDefault="00806661" w:rsidP="00806661">
      <w:pPr>
        <w:rPr>
          <w:i/>
        </w:rPr>
      </w:pPr>
      <w:r>
        <w:rPr>
          <w:b/>
          <w:i/>
        </w:rPr>
        <w:t>Гипотеза 8.</w:t>
      </w:r>
      <w:r>
        <w:rPr>
          <w:i/>
        </w:rPr>
        <w:t xml:space="preserve"> Ценовая реакция на дивидендные сюрпризы будет расти по мере роста дивидендной доходности компании в связи с наличием “эффект клиент</w:t>
      </w:r>
      <w:r w:rsidR="00EA7ABE">
        <w:rPr>
          <w:i/>
        </w:rPr>
        <w:t>ской базы</w:t>
      </w:r>
      <w:r>
        <w:rPr>
          <w:i/>
        </w:rPr>
        <w:t>”</w:t>
      </w:r>
    </w:p>
    <w:p w14:paraId="5849C6F5" w14:textId="77777777" w:rsidR="00806661" w:rsidRPr="008334CC" w:rsidRDefault="00806661" w:rsidP="00806661">
      <w:pPr>
        <w:rPr>
          <w:b/>
          <w:i/>
        </w:rPr>
      </w:pPr>
    </w:p>
    <w:p w14:paraId="21629D44" w14:textId="755EDF27" w:rsidR="00806661" w:rsidRPr="00815DE4" w:rsidRDefault="00317A29" w:rsidP="000045F5">
      <w:pPr>
        <w:pStyle w:val="4"/>
      </w:pPr>
      <w:r w:rsidRPr="00815DE4">
        <w:t>1</w:t>
      </w:r>
      <w:r w:rsidR="00806661" w:rsidRPr="00815DE4">
        <w:t>.</w:t>
      </w:r>
      <w:r w:rsidR="00815DE4">
        <w:t>3.2.4</w:t>
      </w:r>
      <w:r w:rsidR="00806661" w:rsidRPr="00815DE4">
        <w:t xml:space="preserve"> Факторы, характеризующие влияние контекста </w:t>
      </w:r>
    </w:p>
    <w:p w14:paraId="5F3801A2" w14:textId="77777777" w:rsidR="00806661" w:rsidRDefault="00806661" w:rsidP="00806661">
      <w:r>
        <w:t>В 1999 году П. Веронеси была предложена модель равновесия, согласно которой в периоды высокой неопределенности инвесторы склонны реагировать более выраженно на новости. Например, если плохая новость объявляется во время хороших времен (подъема рынка), это повышает неуверенность инвесторов в будущих перспективах фирмы, которая закладывается в ставку дисконтирования денежных потоков, и усугубляет корректировку цен акций в сторону снижения.</w:t>
      </w:r>
      <w:r>
        <w:rPr>
          <w:rStyle w:val="aff"/>
        </w:rPr>
        <w:footnoteReference w:id="36"/>
      </w:r>
    </w:p>
    <w:p w14:paraId="02A38C15" w14:textId="77777777" w:rsidR="00806661" w:rsidRDefault="00806661" w:rsidP="00806661">
      <w:r>
        <w:t xml:space="preserve">В исследовании Д.Докинга и П.Коша эмпирически обнаруживают, что инвесторы действительно чувствительны к общим движениям на рынке: так, объявления о дивидендах вызывают большую ценовую реакцию, когда природа новости (позитивная или негативная) идет вразрез с направлением движения рынка во времена неопределенности. Например, объявления о снижении дивидендов провоцируют более выраженное снижение цен акций, если накануне доходность рынка была высокой и волатильной. </w:t>
      </w:r>
      <w:r>
        <w:rPr>
          <w:rStyle w:val="aff"/>
        </w:rPr>
        <w:footnoteReference w:id="37"/>
      </w:r>
    </w:p>
    <w:p w14:paraId="5741A824" w14:textId="0DD7D3B9" w:rsidR="00806661" w:rsidRDefault="00806661" w:rsidP="00806661">
      <w:pPr>
        <w:rPr>
          <w:i/>
        </w:rPr>
      </w:pPr>
      <w:r>
        <w:rPr>
          <w:b/>
          <w:i/>
        </w:rPr>
        <w:t>Гипотеза 9</w:t>
      </w:r>
      <w:r w:rsidR="0038016A">
        <w:rPr>
          <w:b/>
          <w:i/>
        </w:rPr>
        <w:t xml:space="preserve"> (а)</w:t>
      </w:r>
      <w:r>
        <w:rPr>
          <w:b/>
          <w:i/>
        </w:rPr>
        <w:t>.</w:t>
      </w:r>
      <w:r>
        <w:rPr>
          <w:i/>
        </w:rPr>
        <w:t xml:space="preserve"> Ценовая реакция на позитивные дивидендные сюрпризы будет больше</w:t>
      </w:r>
      <w:r w:rsidR="0038016A">
        <w:rPr>
          <w:i/>
        </w:rPr>
        <w:t xml:space="preserve">, еси накануне на рынке наблюдалась </w:t>
      </w:r>
      <w:r>
        <w:rPr>
          <w:i/>
        </w:rPr>
        <w:t xml:space="preserve">доходность </w:t>
      </w:r>
      <w:r w:rsidR="0038016A">
        <w:rPr>
          <w:i/>
        </w:rPr>
        <w:t>ниже среднего.</w:t>
      </w:r>
    </w:p>
    <w:p w14:paraId="01BB5A25" w14:textId="0D833C8D" w:rsidR="0038016A" w:rsidRDefault="0038016A" w:rsidP="00806661">
      <w:pPr>
        <w:rPr>
          <w:i/>
        </w:rPr>
      </w:pPr>
      <w:r>
        <w:rPr>
          <w:b/>
          <w:i/>
        </w:rPr>
        <w:t xml:space="preserve">Гипотеза 9 (б). </w:t>
      </w:r>
      <w:r>
        <w:rPr>
          <w:i/>
        </w:rPr>
        <w:t>Ценовая реакция на негативные дивидендные сюрпризы будет хуже, еси накануне на рынке наблюдалась доходность выше среднего.</w:t>
      </w:r>
    </w:p>
    <w:p w14:paraId="0CDC54DC" w14:textId="14DC4C3F" w:rsidR="00806661" w:rsidRDefault="00806661" w:rsidP="00806661">
      <w:pPr>
        <w:rPr>
          <w:i/>
        </w:rPr>
      </w:pPr>
      <w:r>
        <w:rPr>
          <w:b/>
          <w:i/>
        </w:rPr>
        <w:t>Гипотеза 10.</w:t>
      </w:r>
      <w:r>
        <w:rPr>
          <w:i/>
        </w:rPr>
        <w:t xml:space="preserve"> Ценовая реакция на дивидендные сюрпризы будет более выраженной в периоды </w:t>
      </w:r>
      <w:r w:rsidR="0038016A">
        <w:rPr>
          <w:i/>
        </w:rPr>
        <w:t>волатиельности выше среднего и менее выраженной - в периоды волатиельности ниже среднего.</w:t>
      </w:r>
    </w:p>
    <w:p w14:paraId="7BB035FD" w14:textId="77777777" w:rsidR="00806661" w:rsidRDefault="00806661" w:rsidP="00806661">
      <w:pPr>
        <w:rPr>
          <w:i/>
        </w:rPr>
      </w:pPr>
    </w:p>
    <w:p w14:paraId="32142259" w14:textId="2A76BDF0" w:rsidR="00806661" w:rsidRPr="00815DE4" w:rsidRDefault="00317A29" w:rsidP="000045F5">
      <w:pPr>
        <w:pStyle w:val="4"/>
      </w:pPr>
      <w:r w:rsidRPr="00815DE4">
        <w:t>1</w:t>
      </w:r>
      <w:r w:rsidR="00806661" w:rsidRPr="00815DE4">
        <w:t>.</w:t>
      </w:r>
      <w:r w:rsidR="00815DE4">
        <w:t>3</w:t>
      </w:r>
      <w:r w:rsidR="00806661" w:rsidRPr="00815DE4">
        <w:t>.</w:t>
      </w:r>
      <w:r w:rsidR="00815DE4">
        <w:t>2</w:t>
      </w:r>
      <w:r w:rsidR="000045F5">
        <w:t>.5</w:t>
      </w:r>
      <w:r w:rsidR="00806661" w:rsidRPr="00815DE4">
        <w:t xml:space="preserve"> Фактор контроля государства</w:t>
      </w:r>
    </w:p>
    <w:p w14:paraId="4976787D" w14:textId="20F58E55" w:rsidR="00806661" w:rsidRDefault="00806661" w:rsidP="00806661">
      <w:r>
        <w:t>Государство нуждается в денежном потоке для пополнения бюджета, который может обеспечить доход от дивидендов компаний с госучастием. В России в последние годы Правительство активно стимулирует госкомпании выплачивать высокие дивиденды, постепенно повышая требуемую норму выплат</w:t>
      </w:r>
      <w:r w:rsidR="0038016A">
        <w:t xml:space="preserve"> (с 2016г. действует норма в 50% от чистой прибыли по МСФО)</w:t>
      </w:r>
      <w:r>
        <w:t xml:space="preserve">. В исследовании Полугодиной и Репина (2009) на данных российских компаний за период с 2000 по 2007 год было выявлено, что увеличение доли акций во владении менеджеров и корпоративных инвесторов приводит к уменьшению дивидендов, а концентрация собственности у государства, напротив, приводит к увеличению дивидендных выплат. </w:t>
      </w:r>
    </w:p>
    <w:p w14:paraId="60F92A2D" w14:textId="77777777" w:rsidR="00806661" w:rsidRPr="009217DB" w:rsidRDefault="00806661" w:rsidP="00806661">
      <w:r>
        <w:t>В Китае отсутствует минимальная норма выплат для госкомпаний.</w:t>
      </w:r>
      <w:r w:rsidRPr="00DE7140">
        <w:t xml:space="preserve"> </w:t>
      </w:r>
      <w:r>
        <w:t xml:space="preserve">Тем не менее, в ряде исследований </w:t>
      </w:r>
      <w:r w:rsidRPr="00F536D3">
        <w:t>(</w:t>
      </w:r>
      <w:r>
        <w:t>Ванг Х. и др.,</w:t>
      </w:r>
      <w:r w:rsidRPr="00F536D3">
        <w:t xml:space="preserve"> 2010</w:t>
      </w:r>
      <w:r>
        <w:t>, Вэй Д. и др</w:t>
      </w:r>
      <w:r w:rsidRPr="009217DB">
        <w:t>.,</w:t>
      </w:r>
      <w:r>
        <w:t xml:space="preserve"> 2004</w:t>
      </w:r>
      <w:r w:rsidRPr="00F536D3">
        <w:t>) было выявлено, что компании, контролируемые государством в Китае, в среднем платят более высокие денежные дивиденды, чем компании, не контролируемые государством</w:t>
      </w:r>
      <w:r>
        <w:t xml:space="preserve">. </w:t>
      </w:r>
      <w:r>
        <w:rPr>
          <w:rStyle w:val="aff"/>
        </w:rPr>
        <w:footnoteReference w:id="38"/>
      </w:r>
      <w:r>
        <w:t xml:space="preserve"> </w:t>
      </w:r>
      <w:r>
        <w:rPr>
          <w:rStyle w:val="aff"/>
        </w:rPr>
        <w:footnoteReference w:id="39"/>
      </w:r>
      <w:r>
        <w:t xml:space="preserve"> Авторы исследований связывают это с потребностью государства в средствах для пополнения бюджета и решением агентской проблемы</w:t>
      </w:r>
      <w:r w:rsidRPr="009217DB">
        <w:t>.</w:t>
      </w:r>
    </w:p>
    <w:p w14:paraId="51D3E739" w14:textId="77777777" w:rsidR="00806661" w:rsidRDefault="00806661" w:rsidP="00806661">
      <w:r>
        <w:t>На обоих рынках госкомпании платят дивиденды выше, чем частные компании, а значит, можно предположить, что и ожидания в отношении дивидендов у инвесторов в госкомпании будут выше, поэтому ожидается, что реакция на неожиданные «сюрпризы» в дивидендах будет сильнее.</w:t>
      </w:r>
    </w:p>
    <w:p w14:paraId="495A5E9B" w14:textId="4F539DD0" w:rsidR="00806661" w:rsidRPr="009217DB" w:rsidRDefault="00806661" w:rsidP="00806661">
      <w:pPr>
        <w:rPr>
          <w:i/>
        </w:rPr>
      </w:pPr>
      <w:r>
        <w:rPr>
          <w:b/>
          <w:i/>
        </w:rPr>
        <w:t>Гипотеза 1</w:t>
      </w:r>
      <w:r w:rsidR="007050E3">
        <w:rPr>
          <w:b/>
          <w:i/>
        </w:rPr>
        <w:t>1</w:t>
      </w:r>
      <w:r>
        <w:rPr>
          <w:b/>
          <w:i/>
        </w:rPr>
        <w:t>.</w:t>
      </w:r>
      <w:r>
        <w:rPr>
          <w:i/>
        </w:rPr>
        <w:t xml:space="preserve"> Ценовая реакция на дивидендные сюрпризы будет более выраженной для компаний, контролируемых государством (доля обыкновенных акций </w:t>
      </w:r>
      <w:r w:rsidRPr="009217DB">
        <w:rPr>
          <w:i/>
        </w:rPr>
        <w:t>&gt;50%).</w:t>
      </w:r>
    </w:p>
    <w:p w14:paraId="70DA3D55" w14:textId="0BF454E2" w:rsidR="009912CA" w:rsidRPr="009D215C" w:rsidRDefault="00317A29" w:rsidP="009912CA">
      <w:pPr>
        <w:pStyle w:val="1"/>
      </w:pPr>
      <w:bookmarkStart w:id="16" w:name="_Toc104840355"/>
      <w:r w:rsidRPr="009217DB">
        <w:t>2</w:t>
      </w:r>
      <w:r w:rsidR="009D215C" w:rsidRPr="009217DB">
        <w:t xml:space="preserve"> </w:t>
      </w:r>
      <w:r w:rsidR="009D215C">
        <w:t xml:space="preserve">ГЛАВА. </w:t>
      </w:r>
      <w:bookmarkStart w:id="17" w:name="_Hlk104840547"/>
      <w:r w:rsidR="00B92047">
        <w:t>СПЕЦИФИКА ФОНДОВЫХ</w:t>
      </w:r>
      <w:r w:rsidR="00B233E1">
        <w:t xml:space="preserve"> РЫНКОВ И ДИВИДЕНДНЫХ ВЫПЛАТ В РОССИИ И КИТАЕ</w:t>
      </w:r>
      <w:bookmarkEnd w:id="16"/>
      <w:bookmarkEnd w:id="17"/>
    </w:p>
    <w:p w14:paraId="590679BA" w14:textId="77777777" w:rsidR="009912CA" w:rsidRDefault="009912CA" w:rsidP="009912CA">
      <w:pPr>
        <w:spacing w:line="240" w:lineRule="auto"/>
        <w:ind w:firstLine="0"/>
        <w:jc w:val="left"/>
      </w:pPr>
    </w:p>
    <w:p w14:paraId="6878CB08" w14:textId="77777777" w:rsidR="009912CA" w:rsidRDefault="009912CA" w:rsidP="009912CA">
      <w:pPr>
        <w:spacing w:line="240" w:lineRule="auto"/>
        <w:ind w:firstLine="0"/>
        <w:jc w:val="left"/>
      </w:pPr>
    </w:p>
    <w:p w14:paraId="2708344C" w14:textId="039CF11E" w:rsidR="00244F9D" w:rsidRPr="00244F9D" w:rsidRDefault="00244F9D" w:rsidP="00244F9D">
      <w:bookmarkStart w:id="18" w:name="_heading=h.gjdgxs" w:colFirst="0" w:colLast="0"/>
      <w:bookmarkEnd w:id="18"/>
      <w:r w:rsidRPr="00244F9D">
        <w:t>В данной главе рассмотрены особенности институциональной среды на исследуемых рыках - китайском и российском</w:t>
      </w:r>
      <w:r>
        <w:t>, а именно с</w:t>
      </w:r>
      <w:r w:rsidRPr="008334CC">
        <w:t xml:space="preserve">труктура собственности и </w:t>
      </w:r>
      <w:r>
        <w:t xml:space="preserve">степень </w:t>
      </w:r>
      <w:r w:rsidRPr="008334CC">
        <w:t>информационн</w:t>
      </w:r>
      <w:r>
        <w:t>ой</w:t>
      </w:r>
      <w:r w:rsidRPr="008334CC">
        <w:t xml:space="preserve"> прозрачност</w:t>
      </w:r>
      <w:r>
        <w:t xml:space="preserve">и, </w:t>
      </w:r>
      <w:r w:rsidR="006B02C8">
        <w:t xml:space="preserve">параметры </w:t>
      </w:r>
      <w:r>
        <w:t>дивидендны</w:t>
      </w:r>
      <w:r w:rsidR="006B02C8">
        <w:t>х</w:t>
      </w:r>
      <w:r>
        <w:t xml:space="preserve"> выплат и их регулирование со стороны государства, </w:t>
      </w:r>
      <w:r w:rsidR="006B02C8">
        <w:t xml:space="preserve">существующие нормы </w:t>
      </w:r>
      <w:r>
        <w:t>налогообложени</w:t>
      </w:r>
      <w:r w:rsidR="006B02C8">
        <w:t>я</w:t>
      </w:r>
      <w:r>
        <w:t xml:space="preserve"> доходов от инвестиций.</w:t>
      </w:r>
      <w:r w:rsidR="006B02C8">
        <w:t xml:space="preserve"> В конце главы кратко представлены результаты сравнительного анализа двух рынков.</w:t>
      </w:r>
    </w:p>
    <w:p w14:paraId="7D11D269" w14:textId="2F00A907" w:rsidR="009912CA" w:rsidRDefault="00694504" w:rsidP="00317A29">
      <w:pPr>
        <w:pStyle w:val="2"/>
        <w:numPr>
          <w:ilvl w:val="1"/>
          <w:numId w:val="27"/>
        </w:numPr>
      </w:pPr>
      <w:bookmarkStart w:id="19" w:name="_Toc104840356"/>
      <w:bookmarkStart w:id="20" w:name="_Hlk104840593"/>
      <w:r>
        <w:t>Характерные черты российского фондового рынка и дивидендных выплат российских компаний</w:t>
      </w:r>
      <w:bookmarkEnd w:id="19"/>
    </w:p>
    <w:p w14:paraId="2FC2048D" w14:textId="5C8B5984" w:rsidR="009912CA" w:rsidRPr="008334CC" w:rsidRDefault="00317A29" w:rsidP="008334CC">
      <w:pPr>
        <w:pStyle w:val="3"/>
      </w:pPr>
      <w:bookmarkStart w:id="21" w:name="_Toc104840357"/>
      <w:bookmarkEnd w:id="20"/>
      <w:r>
        <w:rPr>
          <w:lang w:val="en-US"/>
        </w:rPr>
        <w:t>2</w:t>
      </w:r>
      <w:r w:rsidR="009912CA" w:rsidRPr="008334CC">
        <w:t xml:space="preserve">.1.1 </w:t>
      </w:r>
      <w:r w:rsidR="00977BB1" w:rsidRPr="008334CC">
        <w:t>С</w:t>
      </w:r>
      <w:r w:rsidR="009912CA" w:rsidRPr="008334CC">
        <w:t>труктура собственности</w:t>
      </w:r>
      <w:r w:rsidR="00977BB1" w:rsidRPr="008334CC">
        <w:t xml:space="preserve"> и</w:t>
      </w:r>
      <w:r w:rsidR="009912CA" w:rsidRPr="008334CC">
        <w:t xml:space="preserve"> информационная прозрачность</w:t>
      </w:r>
      <w:bookmarkEnd w:id="21"/>
    </w:p>
    <w:p w14:paraId="4135592F" w14:textId="31EE7E5F" w:rsidR="009912CA" w:rsidRDefault="009912CA" w:rsidP="009912CA">
      <w:r>
        <w:t>Для России характерна высокая степень концентрации собственности</w:t>
      </w:r>
      <w:r w:rsidR="00652507">
        <w:t xml:space="preserve"> в публичных компаниях</w:t>
      </w:r>
      <w:r>
        <w:t xml:space="preserve">. При этом самым крупным акционером российских </w:t>
      </w:r>
      <w:r w:rsidR="00B47496">
        <w:t>компаний</w:t>
      </w:r>
      <w:r>
        <w:t xml:space="preserve"> является государство (БКС, 2018). Государство представлено в более чем 45% компаниях индекса Московской биржи через прямое или косвенное участие. Кроме того, Россия относится к странам со слабой защитой </w:t>
      </w:r>
      <w:r w:rsidR="00B47496">
        <w:t xml:space="preserve">миноритарных </w:t>
      </w:r>
      <w:r>
        <w:t xml:space="preserve">акционеров, в связи с чем увеличивается число корпоративных скандалов, связанных с нарушением прав миноритариев. </w:t>
      </w:r>
      <w:r>
        <w:rPr>
          <w:vertAlign w:val="superscript"/>
        </w:rPr>
        <w:footnoteReference w:id="40"/>
      </w:r>
      <w:r>
        <w:t xml:space="preserve"> </w:t>
      </w:r>
      <w:r w:rsidR="00E92C00">
        <w:t>В подобных условиях</w:t>
      </w:r>
      <w:r>
        <w:t xml:space="preserve"> дивиденды могут служить инструментом, решающим проблему экспроприации прав миноритариев </w:t>
      </w:r>
      <w:r w:rsidR="00977BB1">
        <w:rPr>
          <w:rFonts w:ascii="Arial" w:eastAsia="Arial" w:hAnsi="Arial" w:cs="Arial"/>
          <w:color w:val="70757A"/>
          <w:sz w:val="21"/>
          <w:szCs w:val="21"/>
          <w:highlight w:val="white"/>
        </w:rPr>
        <w:t xml:space="preserve">— </w:t>
      </w:r>
      <w:r w:rsidR="00977BB1" w:rsidRPr="00E92C00">
        <w:t>выплачивая</w:t>
      </w:r>
      <w:r>
        <w:t xml:space="preserve"> дивиденды, собственники-инсайдеры возвращают полученную прибыль инвесторам и не имеют возможности использовать ее в своих частных интересах.</w:t>
      </w:r>
    </w:p>
    <w:p w14:paraId="36AB3040" w14:textId="30D47B54" w:rsidR="009912CA" w:rsidRDefault="009912CA" w:rsidP="009912CA">
      <w:r>
        <w:t>Сигнальная роль дивидендов тоже играет значительную роль в российских реалиях в связи с относительно низкой степенью информационной прозрачности: согласно исследованию Standard &amp; Poor’s, проведенному для ОЭСР, показатель прозрачности российских компаний составил около 50%, при этом для госкомпаний он составил 47</w:t>
      </w:r>
      <w:r w:rsidR="00B92047">
        <w:t>%,</w:t>
      </w:r>
      <w:r>
        <w:t xml:space="preserve"> а для частных - 52%. </w:t>
      </w:r>
      <w:r w:rsidR="0068122C">
        <w:t xml:space="preserve">Всемирный банк оценивает степень раскрытия информации для инвесторов российскими публичными компаниями на уровне 6 из 10 баллов, </w:t>
      </w:r>
      <w:r w:rsidR="00B92047">
        <w:t>хуже,</w:t>
      </w:r>
      <w:r w:rsidR="0068122C">
        <w:t xml:space="preserve"> чем у 46% всех фондовых рынков.</w:t>
      </w:r>
      <w:r w:rsidR="00B92047">
        <w:t xml:space="preserve"> </w:t>
      </w:r>
      <w:r w:rsidR="00B92047">
        <w:rPr>
          <w:rStyle w:val="aff"/>
        </w:rPr>
        <w:footnoteReference w:id="41"/>
      </w:r>
      <w:r w:rsidR="0068122C">
        <w:t xml:space="preserve"> </w:t>
      </w:r>
      <w:r>
        <w:t>Низкий показатель прозрачности связан как с неполным раскрытием публичной отчетной информации, так и с неполным раскрытием в отношении ключевых сделок и решений.</w:t>
      </w:r>
    </w:p>
    <w:p w14:paraId="62216BB4" w14:textId="77777777" w:rsidR="009912CA" w:rsidRDefault="009912CA" w:rsidP="00977BB1">
      <w:pPr>
        <w:ind w:firstLine="0"/>
      </w:pPr>
    </w:p>
    <w:p w14:paraId="372DC304" w14:textId="2B609CB1" w:rsidR="009912CA" w:rsidRDefault="00317A29" w:rsidP="008334CC">
      <w:pPr>
        <w:pStyle w:val="3"/>
      </w:pPr>
      <w:bookmarkStart w:id="23" w:name="_Toc104840358"/>
      <w:r w:rsidRPr="009217DB">
        <w:t>2</w:t>
      </w:r>
      <w:r w:rsidR="009912CA">
        <w:t>.1.2 Динамика дивидендных выплат и их регулирование со стороны государства</w:t>
      </w:r>
      <w:bookmarkEnd w:id="23"/>
    </w:p>
    <w:p w14:paraId="719F3622" w14:textId="77777777" w:rsidR="009912CA" w:rsidRDefault="009912CA" w:rsidP="009912CA"/>
    <w:p w14:paraId="03ECB3B6" w14:textId="77777777" w:rsidR="009912CA" w:rsidRDefault="009912CA" w:rsidP="009912CA">
      <w:r>
        <w:t>В последние годы в России наблюдалась тенденция как к росту дивидендных выплат в абсолютном значении, так и к увеличению числа компаний, выплачивающих дивиденды. (см. Рис.1).</w:t>
      </w:r>
    </w:p>
    <w:p w14:paraId="2AB6FC40" w14:textId="77777777" w:rsidR="009912CA" w:rsidRDefault="009912CA" w:rsidP="009912CA">
      <w:pPr>
        <w:keepNext/>
        <w:keepLines/>
        <w:pBdr>
          <w:top w:val="nil"/>
          <w:left w:val="nil"/>
          <w:bottom w:val="nil"/>
          <w:right w:val="nil"/>
          <w:between w:val="nil"/>
        </w:pBdr>
        <w:spacing w:before="240"/>
        <w:ind w:firstLine="0"/>
        <w:jc w:val="center"/>
        <w:rPr>
          <w:color w:val="000000"/>
        </w:rPr>
      </w:pPr>
      <w:r>
        <w:rPr>
          <w:noProof/>
          <w:color w:val="000000"/>
        </w:rPr>
        <w:drawing>
          <wp:inline distT="0" distB="0" distL="0" distR="0" wp14:anchorId="52D53E20" wp14:editId="59BD37FA">
            <wp:extent cx="5940425" cy="3524250"/>
            <wp:effectExtent l="0" t="0" r="0" b="0"/>
            <wp:docPr id="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t="1823" b="6120"/>
                    <a:stretch>
                      <a:fillRect/>
                    </a:stretch>
                  </pic:blipFill>
                  <pic:spPr>
                    <a:xfrm>
                      <a:off x="0" y="0"/>
                      <a:ext cx="5940425" cy="3524250"/>
                    </a:xfrm>
                    <a:prstGeom prst="rect">
                      <a:avLst/>
                    </a:prstGeom>
                    <a:ln/>
                  </pic:spPr>
                </pic:pic>
              </a:graphicData>
            </a:graphic>
          </wp:inline>
        </w:drawing>
      </w:r>
      <w:r>
        <w:rPr>
          <w:rFonts w:eastAsia="Times New Roman" w:cs="Times New Roman"/>
          <w:color w:val="000000"/>
          <w:szCs w:val="24"/>
        </w:rPr>
        <w:t xml:space="preserve"> </w:t>
      </w:r>
    </w:p>
    <w:p w14:paraId="48F7E064" w14:textId="77777777" w:rsidR="009912CA" w:rsidRDefault="009912CA" w:rsidP="00F536D3">
      <w:pPr>
        <w:pStyle w:val="a0"/>
      </w:pPr>
      <w:r>
        <w:t xml:space="preserve">Динамика выплат дивидендов за </w:t>
      </w:r>
      <w:proofErr w:type="gramStart"/>
      <w:r>
        <w:t>2013-2018</w:t>
      </w:r>
      <w:proofErr w:type="gramEnd"/>
      <w:r>
        <w:t xml:space="preserve"> гг.                                                               Источник:</w:t>
      </w:r>
      <w:r>
        <w:rPr>
          <w:b/>
        </w:rPr>
        <w:t xml:space="preserve"> </w:t>
      </w:r>
      <w:bookmarkStart w:id="24" w:name="_Hlk101386637"/>
      <w:r>
        <w:t xml:space="preserve">Аналитический обзор «Дивидендные выплаты российских компаний за </w:t>
      </w:r>
      <w:proofErr w:type="gramStart"/>
      <w:r>
        <w:t>2013-2018</w:t>
      </w:r>
      <w:proofErr w:type="gramEnd"/>
      <w:r>
        <w:t xml:space="preserve"> гг.», НРА</w:t>
      </w:r>
      <w:bookmarkEnd w:id="24"/>
    </w:p>
    <w:p w14:paraId="0234D2D0" w14:textId="77777777" w:rsidR="009912CA" w:rsidRDefault="009912CA" w:rsidP="00314FDF">
      <w:pPr>
        <w:ind w:firstLine="0"/>
      </w:pPr>
    </w:p>
    <w:p w14:paraId="3F882764" w14:textId="6EFC7872" w:rsidR="009912CA" w:rsidRDefault="009912CA" w:rsidP="009912CA">
      <w:r>
        <w:t>В 2014 г. на фоне кризисной ситуации в стране уровень дивидендов в стране снизился, но уже к 2017</w:t>
      </w:r>
      <w:r w:rsidR="00977BB1">
        <w:t xml:space="preserve"> </w:t>
      </w:r>
      <w:r>
        <w:t>г. совокупный объем выплат превысил докризисный, а к 2019 г. совокупные выплаты превысили 3 трлн руб. Среднегодовой темп роста дивидендов в рублях за 5 лет составил 23,7%.</w:t>
      </w:r>
    </w:p>
    <w:p w14:paraId="655BF926" w14:textId="454B3DEB" w:rsidR="009912CA" w:rsidRDefault="009912CA" w:rsidP="009912CA">
      <w:r>
        <w:t xml:space="preserve">Кроме того, постепенно растет количество компаний, дивидендные политики которых подразумевают периодичность выплат более 1 раза в год: доля таких компаний в 2016 г. составляла 18%, к концу 2019г. эта доля уже выросла до 24%. </w:t>
      </w:r>
    </w:p>
    <w:p w14:paraId="2E80EC2D" w14:textId="3ED37D31" w:rsidR="00E338E1" w:rsidRDefault="00CF0757" w:rsidP="00E338E1">
      <w:pPr>
        <w:rPr>
          <w:noProof/>
        </w:rPr>
      </w:pPr>
      <w:r w:rsidRPr="00E338E1">
        <w:t>Проводя сравнение с зарубежными рынками, можно заметить, что Россия являлась лидером по средней дивидендной доходности за 2011-2020 гг. (см. Рис.</w:t>
      </w:r>
      <w:r w:rsidR="00E338E1">
        <w:t xml:space="preserve"> 2</w:t>
      </w:r>
      <w:r w:rsidR="00E338E1" w:rsidRPr="00E338E1">
        <w:t>), при</w:t>
      </w:r>
      <w:r w:rsidRPr="00E338E1">
        <w:t xml:space="preserve"> том, что средняя норма выплат дивидендов в России (</w:t>
      </w:r>
      <w:r w:rsidR="00E338E1">
        <w:t>около 37</w:t>
      </w:r>
      <w:proofErr w:type="gramStart"/>
      <w:r w:rsidR="00E338E1">
        <w:t xml:space="preserve">%) </w:t>
      </w:r>
      <w:r w:rsidRPr="00E338E1">
        <w:t xml:space="preserve"> за</w:t>
      </w:r>
      <w:proofErr w:type="gramEnd"/>
      <w:r w:rsidRPr="00E338E1">
        <w:t xml:space="preserve"> тот же период уступала норме в большинстве развитых стран. Высокая дивидендная доходность связана со значительной недооцененностью российских акций, которая будет более подробно рассмотрена в следующем разделе.</w:t>
      </w:r>
      <w:r w:rsidR="00E338E1" w:rsidRPr="00E338E1">
        <w:rPr>
          <w:noProof/>
        </w:rPr>
        <w:t xml:space="preserve"> </w:t>
      </w:r>
    </w:p>
    <w:p w14:paraId="0B852E57" w14:textId="47A560D7" w:rsidR="00E338E1" w:rsidRDefault="00E338E1" w:rsidP="00E338E1">
      <w:pPr>
        <w:pStyle w:val="a9"/>
      </w:pPr>
      <w:r w:rsidRPr="00E338E1">
        <w:rPr>
          <w:noProof/>
        </w:rPr>
        <w:drawing>
          <wp:inline distT="0" distB="0" distL="0" distR="0" wp14:anchorId="78C3BFBB" wp14:editId="435DF25A">
            <wp:extent cx="5940425" cy="2541905"/>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2541905"/>
                    </a:xfrm>
                    <a:prstGeom prst="rect">
                      <a:avLst/>
                    </a:prstGeom>
                  </pic:spPr>
                </pic:pic>
              </a:graphicData>
            </a:graphic>
          </wp:inline>
        </w:drawing>
      </w:r>
      <w:r w:rsidRPr="00E338E1">
        <w:t xml:space="preserve"> </w:t>
      </w:r>
    </w:p>
    <w:p w14:paraId="7293484B" w14:textId="52B60567" w:rsidR="00CF0757" w:rsidRDefault="00E338E1" w:rsidP="00E338E1">
      <w:pPr>
        <w:pStyle w:val="a0"/>
      </w:pPr>
      <w:r>
        <w:t>Среднегодовые значения показателя дивидендных выплат из чистойприбыли и дивидендной доходности за период 2011–2020 гг. по выборке из 30 стран                    Источник: [Абрамов и др., 2021]</w:t>
      </w:r>
    </w:p>
    <w:p w14:paraId="14722523" w14:textId="28B5F2AB" w:rsidR="009912CA" w:rsidRDefault="009912CA" w:rsidP="009912CA">
      <w:r w:rsidRPr="00FD0870">
        <w:t xml:space="preserve">Среди лидеров по </w:t>
      </w:r>
      <w:r w:rsidR="00B47496">
        <w:t>величине</w:t>
      </w:r>
      <w:r w:rsidRPr="00FD0870">
        <w:t xml:space="preserve"> дивидендных выплат в России преобладает нефтегазовый сектор и металлургические компании, также в десятку лидеров входит один представитель финансового сектора в виде Сбербанка. (см. Рис.</w:t>
      </w:r>
      <w:r w:rsidR="00E338E1">
        <w:t>3</w:t>
      </w:r>
      <w:r w:rsidRPr="00FD0870">
        <w:t>)</w:t>
      </w:r>
      <w:r>
        <w:t xml:space="preserve"> </w:t>
      </w:r>
    </w:p>
    <w:p w14:paraId="7A076CA1" w14:textId="77777777" w:rsidR="009912CA" w:rsidRDefault="009912CA" w:rsidP="009912CA">
      <w:pPr>
        <w:pStyle w:val="a9"/>
      </w:pPr>
      <w:r>
        <w:rPr>
          <w:noProof/>
        </w:rPr>
        <w:drawing>
          <wp:inline distT="0" distB="0" distL="0" distR="0" wp14:anchorId="4B19504E" wp14:editId="252A9C0D">
            <wp:extent cx="5423797" cy="4063135"/>
            <wp:effectExtent l="0" t="0" r="0" b="0"/>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9594" t="16733" r="15803" b="7330"/>
                    <a:stretch>
                      <a:fillRect/>
                    </a:stretch>
                  </pic:blipFill>
                  <pic:spPr>
                    <a:xfrm>
                      <a:off x="0" y="0"/>
                      <a:ext cx="5423797" cy="4063135"/>
                    </a:xfrm>
                    <a:prstGeom prst="rect">
                      <a:avLst/>
                    </a:prstGeom>
                    <a:ln/>
                  </pic:spPr>
                </pic:pic>
              </a:graphicData>
            </a:graphic>
          </wp:inline>
        </w:drawing>
      </w:r>
    </w:p>
    <w:p w14:paraId="09DF502E" w14:textId="5E12F107" w:rsidR="009912CA" w:rsidRDefault="009912CA" w:rsidP="00F536D3">
      <w:pPr>
        <w:pStyle w:val="a0"/>
      </w:pPr>
      <w:r>
        <w:t>Топ-10 эмитентов по дивидендным выплатам за 2018 г.</w:t>
      </w:r>
      <w:r w:rsidRPr="009217DB">
        <w:t xml:space="preserve">                               </w:t>
      </w:r>
      <w:r w:rsidR="00DE7140">
        <w:t xml:space="preserve">  </w:t>
      </w:r>
      <w:r w:rsidRPr="009217DB">
        <w:t xml:space="preserve">         </w:t>
      </w:r>
      <w:r w:rsidRPr="00FD0870">
        <w:t>Источник:</w:t>
      </w:r>
      <w:r w:rsidRPr="00FD0870">
        <w:rPr>
          <w:b/>
        </w:rPr>
        <w:t xml:space="preserve"> </w:t>
      </w:r>
      <w:r w:rsidRPr="00FD0870">
        <w:t xml:space="preserve">Аналитический обзор «Дивидендные выплаты российских компаний за </w:t>
      </w:r>
      <w:proofErr w:type="gramStart"/>
      <w:r w:rsidRPr="00FD0870">
        <w:t>2013-2018</w:t>
      </w:r>
      <w:proofErr w:type="gramEnd"/>
      <w:r w:rsidRPr="00FD0870">
        <w:t xml:space="preserve"> гг.», НРА</w:t>
      </w:r>
    </w:p>
    <w:p w14:paraId="5713B992" w14:textId="77777777" w:rsidR="009912CA" w:rsidRDefault="009912CA" w:rsidP="009912CA">
      <w:pPr>
        <w:ind w:firstLine="0"/>
      </w:pPr>
    </w:p>
    <w:p w14:paraId="2AC2ED1B" w14:textId="77777777" w:rsidR="009912CA" w:rsidRDefault="009912CA" w:rsidP="009912CA">
      <w:pPr>
        <w:rPr>
          <w:color w:val="111111"/>
        </w:rPr>
      </w:pPr>
      <w:r>
        <w:t>При этом несложно заметить, что в тройку лидеров входят компании, контролируемые государством – Газпром, Сбербанк, Роснефть. Одна из причин, объясняющих это, связана с мерами правительства по установлению минимального размера дивидендных выплат для компаний с госучастием. Так, в период с 2005 по 2012 год рекомендованная Правительством норма дивидендных выплат составляла 25% от чистой прибыли по РСБУ, позднее в 2016 г. эта норма была повышена до 50%, и начиная с 2017 г., приоритетом должен был отдаваться чистой прибыли по МСФО при расчета размера дивидендов. Однако многие компании, подлежащие следованию этим нормам, в действительности их не соблюдали, находя для этого различные предлоги. Например, «Газпром» объяснил это потребностью в финансировании инвестиционных программ. «Россети» получили убыток по РСБУ и, согласно своей дивидендной политике, могла не платить дивиденды. «Сбербанк» выплатил 36% вместо рекомендованных 50%, чтобы «не допустить дефолта банка».</w:t>
      </w:r>
      <w:r>
        <w:rPr>
          <w:vertAlign w:val="superscript"/>
        </w:rPr>
        <w:footnoteReference w:id="42"/>
      </w:r>
      <w:r>
        <w:t xml:space="preserve"> В июне 2021г. было опубликовано новое распоряжение Министерства финансов, в котором окончательно был закреплен уже обязательный характер норм выплат в размере 50% от чистой прибыли, при этом в базу расчета теперь не могут учитываться </w:t>
      </w:r>
      <w:r>
        <w:rPr>
          <w:color w:val="111111"/>
        </w:rPr>
        <w:t xml:space="preserve">доходы и расходы, не подтвержденные денежными потоками, например, от переоценки имущества или курсовых разниц. </w:t>
      </w:r>
    </w:p>
    <w:p w14:paraId="130F0133" w14:textId="61DFAA30" w:rsidR="009912CA" w:rsidRDefault="009912CA" w:rsidP="009912CA">
      <w:r>
        <w:rPr>
          <w:color w:val="111111"/>
        </w:rPr>
        <w:t xml:space="preserve">Стоит отметить, что вышеупомянутые меры уже успели продемонстрировать свою действенность, несмотря на отклонения от требований ряда госкомпаний. С 2017 года после указа о рекомендованном коэффициенте выплат в 50% доходы от дивидендов в федеральный бюджет выросли почти вдвое </w:t>
      </w:r>
      <w:r>
        <w:t>до 634 млрд рублей в 2020 году.</w:t>
      </w:r>
      <w:r>
        <w:rPr>
          <w:vertAlign w:val="superscript"/>
        </w:rPr>
        <w:footnoteReference w:id="43"/>
      </w:r>
      <w:r w:rsidR="00C2768C">
        <w:t xml:space="preserve"> Кроме того, заметно вырос средний показатель дивидендов по индексу российских акций, который в 2019г. и 2020гг. превысил отметку в 50%.</w:t>
      </w:r>
      <w:r w:rsidR="00C2768C">
        <w:rPr>
          <w:rStyle w:val="aff"/>
        </w:rPr>
        <w:footnoteReference w:id="44"/>
      </w:r>
    </w:p>
    <w:p w14:paraId="41ADB394" w14:textId="77777777" w:rsidR="009912CA" w:rsidRDefault="009912CA" w:rsidP="009912CA"/>
    <w:p w14:paraId="3FCF1B7E" w14:textId="72C4EEFD" w:rsidR="009912CA" w:rsidRPr="008334CC" w:rsidRDefault="00317A29" w:rsidP="009912CA">
      <w:pPr>
        <w:keepNext/>
        <w:keepLines/>
        <w:pBdr>
          <w:top w:val="nil"/>
          <w:left w:val="nil"/>
          <w:bottom w:val="nil"/>
          <w:right w:val="nil"/>
          <w:between w:val="nil"/>
        </w:pBdr>
        <w:ind w:firstLine="0"/>
        <w:jc w:val="left"/>
        <w:rPr>
          <w:rStyle w:val="31"/>
        </w:rPr>
      </w:pPr>
      <w:r w:rsidRPr="009217DB">
        <w:rPr>
          <w:rFonts w:eastAsia="Times New Roman" w:cs="Times New Roman"/>
          <w:b/>
          <w:color w:val="000000"/>
          <w:szCs w:val="24"/>
        </w:rPr>
        <w:t>2</w:t>
      </w:r>
      <w:r w:rsidR="009912CA" w:rsidRPr="008334CC">
        <w:rPr>
          <w:rStyle w:val="31"/>
        </w:rPr>
        <w:t xml:space="preserve">.1.3 Недооцененность российских акций </w:t>
      </w:r>
    </w:p>
    <w:p w14:paraId="075E8BBD" w14:textId="47E57E61" w:rsidR="009912CA" w:rsidRDefault="009912CA" w:rsidP="009912CA">
      <w:r>
        <w:t>На фоне тенденции роста уровня дивидендов в научной среде появились работы, объясняющие возможные причины такой динамики. Так, например, в недавнем исследовании (Абрамов и др., 2021) дивидендной политики российских компаний за период 2006-2017</w:t>
      </w:r>
      <w:r w:rsidR="000B46BF">
        <w:t xml:space="preserve"> </w:t>
      </w:r>
      <w:r>
        <w:t>гг. авторами было выдвинуто предположение о двух ключевых мотивах повышения дивидендных выплат в акционерных обществах, один из которых – это уже упомянутое повышение требований государства по минимальному размеру дивидендов,а второй мотив - попытка повысить инвестиционную привлекательность акций за счет дивидендов. Рассмотрим более подробно предпосылки к такой мотивации менеджмента.</w:t>
      </w:r>
      <w:r w:rsidR="003D54E3">
        <w:rPr>
          <w:rStyle w:val="aff"/>
        </w:rPr>
        <w:footnoteReference w:id="45"/>
      </w:r>
    </w:p>
    <w:p w14:paraId="512398C4" w14:textId="4900D6E8" w:rsidR="009912CA" w:rsidRDefault="009912CA" w:rsidP="009912CA">
      <w:r>
        <w:t xml:space="preserve">Акции российских компаний существенно недооценены в сравнении с акциями других стран. Так, в вышеупомянутом исследовании было проведено сравнение показателя P/E за период 2011-2020гг. в разрезе 30 стран, как развитых, так и развивающихся. Результаты сравнительного анализа представлены на рисунке </w:t>
      </w:r>
      <w:r w:rsidR="00314FDF">
        <w:t>4</w:t>
      </w:r>
      <w:r>
        <w:t>.</w:t>
      </w:r>
    </w:p>
    <w:p w14:paraId="5DA87F80" w14:textId="77777777" w:rsidR="009912CA" w:rsidRDefault="009912CA" w:rsidP="009912CA">
      <w:pPr>
        <w:keepNext/>
        <w:keepLines/>
        <w:pBdr>
          <w:top w:val="nil"/>
          <w:left w:val="nil"/>
          <w:bottom w:val="nil"/>
          <w:right w:val="nil"/>
          <w:between w:val="nil"/>
        </w:pBdr>
        <w:spacing w:before="240"/>
        <w:ind w:firstLine="0"/>
        <w:jc w:val="center"/>
        <w:rPr>
          <w:color w:val="000000"/>
        </w:rPr>
      </w:pPr>
      <w:r>
        <w:rPr>
          <w:noProof/>
          <w:color w:val="000000"/>
          <w:shd w:val="clear" w:color="auto" w:fill="F6F6F5"/>
        </w:rPr>
        <w:drawing>
          <wp:inline distT="0" distB="0" distL="0" distR="0" wp14:anchorId="6EB15EC9" wp14:editId="258E2A79">
            <wp:extent cx="5490511" cy="3536697"/>
            <wp:effectExtent l="0" t="0" r="0" b="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490511" cy="3536697"/>
                    </a:xfrm>
                    <a:prstGeom prst="rect">
                      <a:avLst/>
                    </a:prstGeom>
                    <a:ln/>
                  </pic:spPr>
                </pic:pic>
              </a:graphicData>
            </a:graphic>
          </wp:inline>
        </w:drawing>
      </w:r>
    </w:p>
    <w:p w14:paraId="24304BB6" w14:textId="77777777" w:rsidR="009912CA" w:rsidRDefault="009912CA" w:rsidP="00F536D3">
      <w:pPr>
        <w:pStyle w:val="a0"/>
      </w:pPr>
      <w:r>
        <w:t xml:space="preserve">Рентабельность активов и мультипликатор «цена/чистая прибыль на акцию» в среднем за год, </w:t>
      </w:r>
      <w:proofErr w:type="gramStart"/>
      <w:r>
        <w:t>2011-2020</w:t>
      </w:r>
      <w:proofErr w:type="gramEnd"/>
      <w:r>
        <w:t xml:space="preserve"> гг.                                                                                                                Источник: [</w:t>
      </w:r>
      <w:bookmarkStart w:id="25" w:name="_Hlk101386654"/>
      <w:r>
        <w:t>Абрамов и др., 2021</w:t>
      </w:r>
      <w:bookmarkEnd w:id="25"/>
      <w:r>
        <w:t>]</w:t>
      </w:r>
    </w:p>
    <w:p w14:paraId="6BD54268" w14:textId="13B71B2D" w:rsidR="009912CA" w:rsidRDefault="009912CA" w:rsidP="009912CA">
      <w:r>
        <w:t>Из 30 стран по уровню рентабельности активов (ROA) российские компании занимали второе место после аргентинских: средний ROA для России составил около 4,5% по сравнению со средним по всем странам 1,8%. При этом показатель P/E, характеризующий соотношение рыночной оценки и прибыли по акции, в среднем в России оказался ниже, чем во всех остальных странах: он составил 7,5 против среднего значения по всей выборке</w:t>
      </w:r>
      <w:r w:rsidR="0030379F">
        <w:t xml:space="preserve"> -</w:t>
      </w:r>
      <w:r>
        <w:t xml:space="preserve"> 22. </w:t>
      </w:r>
    </w:p>
    <w:p w14:paraId="6F617FF2" w14:textId="6BB8DCD8" w:rsidR="009912CA" w:rsidRPr="0030379F" w:rsidRDefault="009912CA" w:rsidP="009912CA">
      <w:r>
        <w:t xml:space="preserve">Подобная статистика является индикатором значительной недооцененности российских компаний, и авторы исследования (Абрамов и др., 2021) отмечают, что в условиях низкой оценки рынка при высокой прибыльности </w:t>
      </w:r>
      <w:r w:rsidR="00977BB1">
        <w:t>компании стремятся</w:t>
      </w:r>
      <w:r>
        <w:t xml:space="preserve"> повышать привлекательность акций компании в глазах инвесторов за счет более высоких дивидендов. </w:t>
      </w:r>
      <w:r w:rsidR="0030379F">
        <w:t>Результаты данного исследования позволят выявить, действительно ли более высокие дивиденды по сравнению с ожидаемыми воспринимаются рынком позитивно, то есть являются инстрмуентом повышения привлекательности акций компаний.</w:t>
      </w:r>
    </w:p>
    <w:p w14:paraId="0A7663F9" w14:textId="77777777" w:rsidR="009912CA" w:rsidRDefault="009912CA" w:rsidP="009912CA">
      <w:pPr>
        <w:ind w:firstLine="0"/>
      </w:pPr>
    </w:p>
    <w:p w14:paraId="7AE60113" w14:textId="62FC7515" w:rsidR="009912CA" w:rsidRDefault="00317A29" w:rsidP="008334CC">
      <w:pPr>
        <w:pStyle w:val="3"/>
      </w:pPr>
      <w:bookmarkStart w:id="26" w:name="_Toc104840359"/>
      <w:r w:rsidRPr="009217DB">
        <w:t>2</w:t>
      </w:r>
      <w:r w:rsidR="009912CA">
        <w:t>.</w:t>
      </w:r>
      <w:r w:rsidR="009D215C">
        <w:t>1</w:t>
      </w:r>
      <w:r w:rsidR="009912CA">
        <w:t>.3 Налогообложение доходов от инвестиций в России</w:t>
      </w:r>
      <w:bookmarkEnd w:id="26"/>
    </w:p>
    <w:p w14:paraId="64C429E4" w14:textId="77777777" w:rsidR="009912CA" w:rsidRDefault="009912CA" w:rsidP="009912CA">
      <w:pPr>
        <w:keepNext/>
        <w:keepLines/>
        <w:pBdr>
          <w:top w:val="nil"/>
          <w:left w:val="nil"/>
          <w:bottom w:val="nil"/>
          <w:right w:val="nil"/>
          <w:between w:val="nil"/>
        </w:pBdr>
        <w:ind w:firstLine="0"/>
        <w:jc w:val="left"/>
        <w:rPr>
          <w:b/>
          <w:color w:val="000000"/>
        </w:rPr>
      </w:pPr>
    </w:p>
    <w:p w14:paraId="380F13E1" w14:textId="6696F028" w:rsidR="00F536D3" w:rsidRDefault="00F536D3" w:rsidP="009912CA">
      <w:r>
        <w:t>Особенности налогообложения, а именно разница в налогах на доход от продажи акций и дивидендный доход, важны для понимания того, какому виду дохода могут отдавать предпочтение те или иные группы инвесторов.</w:t>
      </w:r>
    </w:p>
    <w:p w14:paraId="5487F08F" w14:textId="0A81FE8D" w:rsidR="009912CA" w:rsidRDefault="009912CA" w:rsidP="009912CA">
      <w:r>
        <w:t>В России налог на прирост от стоимости капитала приравнивается к НДФЛ и составляет 13%, столько же составляет налог на дивиденды также составляет 13%.</w:t>
      </w:r>
      <w:r w:rsidR="0030379F">
        <w:t xml:space="preserve"> </w:t>
      </w:r>
      <w:r>
        <w:t>При этом организации, которые являются «стратегическими инвесторами», то есть владеют не менее 50% капитала плательщика дивидендов не менее года, вообще не облагаются налогом на дивидендный доход</w:t>
      </w:r>
      <w:r w:rsidR="0030379F">
        <w:t>.</w:t>
      </w:r>
    </w:p>
    <w:p w14:paraId="7E248AE4" w14:textId="77777777" w:rsidR="009912CA" w:rsidRDefault="009912CA" w:rsidP="009912CA">
      <w:r>
        <w:t xml:space="preserve">Нерезиденты в РФ облагаются другими ставками: доход от прироста капитала облагается ставкой в 30%, а дивидендный доход - в 15%. </w:t>
      </w:r>
    </w:p>
    <w:p w14:paraId="5AF15113" w14:textId="77777777" w:rsidR="009912CA" w:rsidRDefault="009912CA" w:rsidP="009912CA">
      <w:pPr>
        <w:keepNext/>
        <w:keepLines/>
        <w:pBdr>
          <w:top w:val="nil"/>
          <w:left w:val="nil"/>
          <w:bottom w:val="nil"/>
          <w:right w:val="nil"/>
          <w:between w:val="nil"/>
        </w:pBdr>
        <w:ind w:firstLine="0"/>
        <w:jc w:val="left"/>
        <w:rPr>
          <w:b/>
          <w:color w:val="000000"/>
        </w:rPr>
      </w:pPr>
    </w:p>
    <w:p w14:paraId="76C036AB" w14:textId="72246681" w:rsidR="009912CA" w:rsidRDefault="00694504" w:rsidP="00317A29">
      <w:pPr>
        <w:pStyle w:val="2"/>
        <w:numPr>
          <w:ilvl w:val="1"/>
          <w:numId w:val="28"/>
        </w:numPr>
      </w:pPr>
      <w:bookmarkStart w:id="27" w:name="_heading=h.2tgg3zuk9uil" w:colFirst="0" w:colLast="0"/>
      <w:bookmarkStart w:id="28" w:name="_Toc104840360"/>
      <w:bookmarkEnd w:id="27"/>
      <w:r>
        <w:t>Характерные черты китайского фондового рынка и дивидендных выплат китайских компаний</w:t>
      </w:r>
      <w:bookmarkEnd w:id="28"/>
    </w:p>
    <w:p w14:paraId="46FE261F" w14:textId="77777777" w:rsidR="009912CA" w:rsidRDefault="009912CA" w:rsidP="009912CA">
      <w:pPr>
        <w:keepNext/>
        <w:keepLines/>
        <w:pBdr>
          <w:top w:val="nil"/>
          <w:left w:val="nil"/>
          <w:bottom w:val="nil"/>
          <w:right w:val="nil"/>
          <w:between w:val="nil"/>
        </w:pBdr>
        <w:ind w:left="390" w:firstLine="0"/>
        <w:jc w:val="left"/>
        <w:rPr>
          <w:b/>
          <w:color w:val="000000"/>
        </w:rPr>
      </w:pPr>
    </w:p>
    <w:p w14:paraId="1F095199" w14:textId="56D04051" w:rsidR="009912CA" w:rsidRPr="008334CC" w:rsidRDefault="00317A29" w:rsidP="008334CC">
      <w:pPr>
        <w:pStyle w:val="3"/>
      </w:pPr>
      <w:bookmarkStart w:id="29" w:name="_Toc104840361"/>
      <w:r w:rsidRPr="009217DB">
        <w:t>2</w:t>
      </w:r>
      <w:r w:rsidR="009912CA" w:rsidRPr="008334CC">
        <w:t xml:space="preserve">.2.1 </w:t>
      </w:r>
      <w:r w:rsidR="00AE5772">
        <w:t xml:space="preserve">Структура </w:t>
      </w:r>
      <w:r w:rsidR="009912CA" w:rsidRPr="008334CC">
        <w:t>собственности, информационная прозрачность, защита акционеров</w:t>
      </w:r>
      <w:bookmarkEnd w:id="29"/>
    </w:p>
    <w:p w14:paraId="438C285C" w14:textId="77777777" w:rsidR="009912CA" w:rsidRDefault="009912CA" w:rsidP="009912CA">
      <w:r>
        <w:t xml:space="preserve">Рынок Китая, как и российский, существует не так давно: Шенженьская биржа была открыта в 1990 г., Шанхайская – в 1991г., в первую очередь, для привлечения средств в госбюджет и госкомпании. </w:t>
      </w:r>
      <w:bookmarkStart w:id="30" w:name="_Hlk101386672"/>
      <w:r>
        <w:t xml:space="preserve">(Areddy et al., 2008; Joyce, 2008). </w:t>
      </w:r>
      <w:bookmarkEnd w:id="30"/>
      <w:r>
        <w:t>Однако на сегодняшний день это крупнейший фондовый рынок после США, а добавление китайских акций типа А в индекс развивающихся рынков Morgan Stanley в 2017 г. еще больше поспособствовало притоку инвесторов и росту торгового оборота на китайских биржах.</w:t>
      </w:r>
      <w:r>
        <w:rPr>
          <w:vertAlign w:val="superscript"/>
        </w:rPr>
        <w:footnoteReference w:id="46"/>
      </w:r>
    </w:p>
    <w:p w14:paraId="72F519BA" w14:textId="77777777" w:rsidR="009912CA" w:rsidRDefault="009912CA" w:rsidP="009912CA">
      <w:r>
        <w:t>На сегодняшний день в Китае существует три основных типа компаний по признаку собственности. Первый тип – SOECG – компании во владении высших административных органов Китая, функционирующие в стратегических областях (коммунальные услуги, транспорт, энергетика, тяжелая промышленность и др.) и ориентированные на реализацию политических и экономических целей государства. Второй тип – SOELG – компании во владении местных властей, они фокусируются на обеспечении благосостояния местных жителей и генерации выручки для локальных правительств. Наконец, третий тип – PF – частные фирмы, происходящие из семейных бизнесов в нестратегических отраслях. Конечная цель PF – максимизация богатства акционеров компании.</w:t>
      </w:r>
    </w:p>
    <w:p w14:paraId="3FE8D946" w14:textId="77777777" w:rsidR="009912CA" w:rsidRDefault="009912CA" w:rsidP="009912CA">
      <w:r>
        <w:t>При этом владение акциями со стороны иностранных и институциональных инвесторов слабо распространено в Китае, по сравнению с развитыми рынками США и Великобритании. К тому же большая часть существующих институциональных инвесторов – это китайские инвестиционные фонды и страховые компании, многие из которых находятся во владении государства.</w:t>
      </w:r>
      <w:r>
        <w:rPr>
          <w:vertAlign w:val="superscript"/>
        </w:rPr>
        <w:footnoteReference w:id="47"/>
      </w:r>
    </w:p>
    <w:p w14:paraId="6F4F6F8A" w14:textId="54021351" w:rsidR="003500BC" w:rsidRDefault="009912CA" w:rsidP="009912CA">
      <w:r>
        <w:t xml:space="preserve">Стоит отметить, что </w:t>
      </w:r>
      <w:r w:rsidR="003500BC">
        <w:t xml:space="preserve">не так давно </w:t>
      </w:r>
      <w:r>
        <w:t>публичные китайские компании име</w:t>
      </w:r>
      <w:r w:rsidR="003500BC">
        <w:t>ли</w:t>
      </w:r>
      <w:r>
        <w:t xml:space="preserve"> структуру акций, разделенную на две части: TS («tradable shares» - акции в свободном обращении) и NTS (“non-tradable shares” – неторгуемые акции) в зависимости от возможности свободно торговать ими. Контролирующим собственникам в лице государства, семей или институциональных инвесторов, как правило, принадлежа</w:t>
      </w:r>
      <w:r w:rsidR="003500BC">
        <w:t>ли</w:t>
      </w:r>
      <w:r>
        <w:t xml:space="preserve"> именно NTS. При этом доход владельцев таких акций состо</w:t>
      </w:r>
      <w:r w:rsidR="003500BC">
        <w:t>ял</w:t>
      </w:r>
      <w:r>
        <w:t xml:space="preserve"> исключительно из денежных дивидендов, в то время как владельцы первого типа (“tradable shares”) мог</w:t>
      </w:r>
      <w:r w:rsidR="003500BC">
        <w:t>ли</w:t>
      </w:r>
      <w:r>
        <w:t xml:space="preserve"> заработать еще и на курсовой динамике акций. Таким образом, контролирующие акционеры обычно очень заинтересованы в высоких дивидендах и мог</w:t>
      </w:r>
      <w:r w:rsidR="003500BC">
        <w:t>ли</w:t>
      </w:r>
      <w:r>
        <w:t xml:space="preserve"> принимать решения, потенциально ущемляющие интересы остальных акционеров</w:t>
      </w:r>
      <w:r w:rsidR="0092321A">
        <w:t>.</w:t>
      </w:r>
    </w:p>
    <w:p w14:paraId="0FF146A6" w14:textId="29199108" w:rsidR="00E1024E" w:rsidRDefault="003500BC" w:rsidP="00E1024E">
      <w:r>
        <w:t>В 2005 году была принята реформа по отказу от дробной структуры акций</w:t>
      </w:r>
      <w:r w:rsidRPr="009217DB">
        <w:t xml:space="preserve"> </w:t>
      </w:r>
      <w:r>
        <w:rPr>
          <w:lang w:val="en-US"/>
        </w:rPr>
        <w:t>SSSR</w:t>
      </w:r>
      <w:r>
        <w:t xml:space="preserve"> (</w:t>
      </w:r>
      <w:r w:rsidRPr="009217DB">
        <w:t>“</w:t>
      </w:r>
      <w:r>
        <w:t>split share structure reform</w:t>
      </w:r>
      <w:r w:rsidRPr="009217DB">
        <w:t>”)</w:t>
      </w:r>
      <w:r>
        <w:t>, которая положила начало конвертации всех неторгуемых акций (</w:t>
      </w:r>
      <w:r>
        <w:rPr>
          <w:lang w:val="en-US"/>
        </w:rPr>
        <w:t>NTS</w:t>
      </w:r>
      <w:r w:rsidRPr="009217DB">
        <w:t xml:space="preserve">) </w:t>
      </w:r>
      <w:r>
        <w:t>в акции, свободно обращающиеся на рынке</w:t>
      </w:r>
      <w:r w:rsidRPr="009217DB">
        <w:t xml:space="preserve">. </w:t>
      </w:r>
      <w:r w:rsidR="00D606AC">
        <w:t xml:space="preserve">При этом конвертация должна была происходить постепенно: в течение </w:t>
      </w:r>
      <w:r w:rsidR="00C25932">
        <w:t>12 месяцев (24 месяцев)</w:t>
      </w:r>
      <w:r w:rsidR="00D606AC">
        <w:t xml:space="preserve"> можно было конвертировать только до 5%</w:t>
      </w:r>
      <w:r w:rsidR="00C25932">
        <w:t xml:space="preserve"> (10%)</w:t>
      </w:r>
      <w:r w:rsidR="00D606AC">
        <w:t xml:space="preserve"> акций. Долгосрочный эффект от данной реформы был подробно рассмотрен в работе Yufan Zhao1 и Sin Huei Ng (2021). </w:t>
      </w:r>
      <w:r w:rsidR="007A3A30">
        <w:t xml:space="preserve">Авторы сравнили </w:t>
      </w:r>
      <w:r w:rsidR="007720FB">
        <w:t>период полного обращения всех акций (2014–2017) и период до принятия реформы (</w:t>
      </w:r>
      <w:r w:rsidR="00E1024E">
        <w:t>2001–2004</w:t>
      </w:r>
      <w:r w:rsidR="007720FB">
        <w:t>) и выяснили, что средняя доля компаний с контролируемым собственником снизилась с 37,9% до 16,31%, увеличилась доля независимых директоров в компаниях, дивидендные выплаты стали более стабильными.</w:t>
      </w:r>
      <w:r w:rsidR="007720FB" w:rsidRPr="007720FB">
        <w:t xml:space="preserve"> </w:t>
      </w:r>
      <w:r w:rsidR="007720FB">
        <w:t>Информационное содержание дивидендов выросло, поскольку стих так называемый эффект «</w:t>
      </w:r>
      <w:r w:rsidR="007720FB">
        <w:rPr>
          <w:lang w:val="en-US"/>
        </w:rPr>
        <w:t>tunneling</w:t>
      </w:r>
      <w:r w:rsidR="007720FB">
        <w:t>», когда контролирующий акционер выводил из компании денежные средства для собственных нужд</w:t>
      </w:r>
      <w:r w:rsidR="00E1024E">
        <w:t xml:space="preserve">, и дивиденды стали полноценном инструментом сигнала о положении дел в компании и ее перспективах. </w:t>
      </w:r>
      <w:r w:rsidR="007720FB">
        <w:rPr>
          <w:rStyle w:val="aff"/>
        </w:rPr>
        <w:footnoteReference w:id="48"/>
      </w:r>
    </w:p>
    <w:p w14:paraId="54DD9F98" w14:textId="7B560370" w:rsidR="00B6796F" w:rsidRDefault="00B6796F" w:rsidP="00B6796F">
      <w:r>
        <w:t>Кроме того, в последние годы в Китае растет уровень информационной прозрачности публичных компаний. Так, в 2008 году в исследовании К. Чана и соавторов было обнаружено, что переменные, отвечающие за доступность информации для внешних инвесторов, объясняют более 40% вариации дисконта к цене китайских компаний.</w:t>
      </w:r>
      <w:r>
        <w:rPr>
          <w:rStyle w:val="aff"/>
        </w:rPr>
        <w:footnoteReference w:id="49"/>
      </w:r>
      <w:r>
        <w:t xml:space="preserve"> Для решения этой проблемы были предприняты меры со стороны правительства: в 2007 г. были введены административные меры с требованиями к китайским публичным компаниям по раскрытию информации. Меры государства в совокупности с потребностью китайских компаний в привлечении инвестиций привели к тому, что по последним данным на конец 2019 года Всемирный банк оценивал степень раскрытия информации для инвесторов в Китае на уровне 10 из 10 возможных баллов, что даже выше оценки развитого рынка США, равной 7,5.</w:t>
      </w:r>
      <w:r w:rsidR="00B92047">
        <w:rPr>
          <w:rStyle w:val="aff"/>
        </w:rPr>
        <w:footnoteReference w:id="50"/>
      </w:r>
    </w:p>
    <w:p w14:paraId="673B1C76" w14:textId="03948492" w:rsidR="009912CA" w:rsidRDefault="00E1024E" w:rsidP="00E1024E">
      <w:r>
        <w:t>Несмотря на заметные улучшения в корпоративном управлении</w:t>
      </w:r>
      <w:r w:rsidR="009912CA" w:rsidRPr="00E1024E">
        <w:t xml:space="preserve">, в Китае </w:t>
      </w:r>
      <w:r>
        <w:t xml:space="preserve">в последние годы все же </w:t>
      </w:r>
      <w:r w:rsidR="009912CA" w:rsidRPr="00E1024E">
        <w:t>наблюда</w:t>
      </w:r>
      <w:r>
        <w:t>лась</w:t>
      </w:r>
      <w:r w:rsidR="009912CA" w:rsidRPr="00E1024E">
        <w:t xml:space="preserve"> высокая степень концентрации собственности, обычно в</w:t>
      </w:r>
      <w:r w:rsidR="009912CA">
        <w:t xml:space="preserve"> руках государства или семьи-основателя. Так, на конец 2016г. в китайских компаниях, входящих в индекс S&amp;P China BMI (более 2000 компаний) доля крупнейшего акционера в среднем составляла 40%.</w:t>
      </w:r>
    </w:p>
    <w:p w14:paraId="75C20DA5" w14:textId="43FC0D0D" w:rsidR="009912CA" w:rsidRDefault="009912CA" w:rsidP="009912CA">
      <w:r>
        <w:t>В условиях высокой концентрации собственности</w:t>
      </w:r>
      <w:r w:rsidR="00B6796F">
        <w:t xml:space="preserve"> и</w:t>
      </w:r>
      <w:r>
        <w:t xml:space="preserve"> слабой защиты малых и средних акционеров в Китае дивиденды могут быть способом ограничения апроприации прав миноритариев или вмешательства государства в ущерб интересов акционеров, а также дополнительным сигналом для аутсайдеров о финансовом положении компании. </w:t>
      </w:r>
    </w:p>
    <w:p w14:paraId="309256E6" w14:textId="77777777" w:rsidR="009912CA" w:rsidRDefault="009912CA" w:rsidP="009912CA"/>
    <w:p w14:paraId="791C7504" w14:textId="4FDD6963" w:rsidR="009912CA" w:rsidRDefault="00317A29" w:rsidP="008334CC">
      <w:pPr>
        <w:pStyle w:val="3"/>
      </w:pPr>
      <w:bookmarkStart w:id="31" w:name="_Toc104840362"/>
      <w:r w:rsidRPr="009217DB">
        <w:t>2</w:t>
      </w:r>
      <w:r w:rsidR="009912CA">
        <w:t>.2.2 Динамика дивидендных выплат и их регулирование со стороны государства</w:t>
      </w:r>
      <w:bookmarkEnd w:id="31"/>
    </w:p>
    <w:p w14:paraId="53C214E3" w14:textId="0ACC4192" w:rsidR="009912CA" w:rsidRDefault="009912CA" w:rsidP="009912CA">
      <w:r>
        <w:t>Государство активно внедряет меры по увеличению уровня дивидендов в публичных компаниях. Впервые минимальный размер выплат был установлен в 2006 году. Комиссия по китайским ценным бумагам выпустила распоряжение, согласно которому, если компания собиралась привлекать средства на рынке капитала, то должна была платить дивиденды (как денежные, так и в форме акций) не меньше, чем 20% от чистой прибыли в течени</w:t>
      </w:r>
      <w:r w:rsidR="00F536D3">
        <w:t>е</w:t>
      </w:r>
      <w:r>
        <w:t xml:space="preserve"> трех лет до публичного размещения либо доразмещения акций. В 2008 году это распоряжение было изменено, и обязательная норма выплат выросла до 30%, а также принимались в расчет только денежные дивиденды. Дополнительно было установлено, что дивиде</w:t>
      </w:r>
      <w:r w:rsidR="00E210F6">
        <w:t>нд</w:t>
      </w:r>
      <w:r>
        <w:t>ая политика компаний должна быть освещена в их Уставе, а выплаты дивидендов должны быть непрерывными и стабильными. Это распоряжение остается в силе в Китае и по сей день.</w:t>
      </w:r>
    </w:p>
    <w:p w14:paraId="57A81ACF" w14:textId="196B5858" w:rsidR="009912CA" w:rsidRDefault="009912CA" w:rsidP="009912CA">
      <w:r>
        <w:t xml:space="preserve">Меры со стороны государства стали одним из факторов, послуживших росту дивидендных выплат. На Рисунке </w:t>
      </w:r>
      <w:r w:rsidR="00314FDF">
        <w:t>5</w:t>
      </w:r>
      <w:r>
        <w:t xml:space="preserve"> можно проследить положительную динамику изменений в абсолютном и относительном размере дивидендов в китайких публичных компаниях. </w:t>
      </w:r>
    </w:p>
    <w:p w14:paraId="671968F0" w14:textId="77777777" w:rsidR="009912CA" w:rsidRDefault="009912CA" w:rsidP="009912CA">
      <w:pPr>
        <w:keepNext/>
        <w:keepLines/>
        <w:pBdr>
          <w:top w:val="nil"/>
          <w:left w:val="nil"/>
          <w:bottom w:val="nil"/>
          <w:right w:val="nil"/>
          <w:between w:val="nil"/>
        </w:pBdr>
        <w:spacing w:before="240"/>
        <w:ind w:firstLine="0"/>
        <w:jc w:val="center"/>
        <w:rPr>
          <w:color w:val="000000"/>
        </w:rPr>
      </w:pPr>
      <w:r>
        <w:rPr>
          <w:noProof/>
          <w:color w:val="000000"/>
          <w:shd w:val="clear" w:color="auto" w:fill="F6F6F5"/>
        </w:rPr>
        <w:drawing>
          <wp:inline distT="0" distB="0" distL="0" distR="0" wp14:anchorId="5A003BB2" wp14:editId="55FF1067">
            <wp:extent cx="5492423" cy="2152620"/>
            <wp:effectExtent l="0" t="0" r="0" b="0"/>
            <wp:docPr id="26" name="image6.png" descr="Изображение выглядит как стол&#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6.png" descr="Изображение выглядит как стол&#10;&#10;Автоматически созданное описание"/>
                    <pic:cNvPicPr preferRelativeResize="0"/>
                  </pic:nvPicPr>
                  <pic:blipFill>
                    <a:blip r:embed="rId14"/>
                    <a:srcRect t="8896" b="15600"/>
                    <a:stretch>
                      <a:fillRect/>
                    </a:stretch>
                  </pic:blipFill>
                  <pic:spPr>
                    <a:xfrm>
                      <a:off x="0" y="0"/>
                      <a:ext cx="5492423" cy="2152620"/>
                    </a:xfrm>
                    <a:prstGeom prst="rect">
                      <a:avLst/>
                    </a:prstGeom>
                    <a:ln/>
                  </pic:spPr>
                </pic:pic>
              </a:graphicData>
            </a:graphic>
          </wp:inline>
        </w:drawing>
      </w:r>
    </w:p>
    <w:p w14:paraId="54DBB50C" w14:textId="77777777" w:rsidR="009912CA" w:rsidRDefault="009912CA" w:rsidP="00A4255D">
      <w:pPr>
        <w:pStyle w:val="a0"/>
      </w:pPr>
      <w:r>
        <w:t>История дивидендных выплат в Китае                                                                                               Источник: Dow Jones Indices LLC, FactSet.</w:t>
      </w:r>
    </w:p>
    <w:p w14:paraId="0BBD82DA" w14:textId="77777777" w:rsidR="009912CA" w:rsidRDefault="009912CA" w:rsidP="009912CA">
      <w:r>
        <w:t xml:space="preserve">За 7 лет коэффициент выплат вырос с 26,3% до 33,7%, превысив установленный минимум, а доля компаний, выплачивающих дивиденды, возросла с 53,6% до 67,5%. </w:t>
      </w:r>
    </w:p>
    <w:p w14:paraId="0051917B" w14:textId="28944A9F" w:rsidR="009912CA" w:rsidRDefault="009912CA" w:rsidP="009912CA">
      <w:r>
        <w:t xml:space="preserve">На рисунке </w:t>
      </w:r>
      <w:r w:rsidR="00314FDF">
        <w:t>6</w:t>
      </w:r>
      <w:r>
        <w:t xml:space="preserve"> видно, что среднегодовой темп роста дивидендных выплат в Китае оказался самым высоким по сравнению с прочими странами, составив 10,5%. </w:t>
      </w:r>
    </w:p>
    <w:p w14:paraId="5446DC92" w14:textId="77777777" w:rsidR="009912CA" w:rsidRDefault="009912CA" w:rsidP="009912CA">
      <w:pPr>
        <w:keepNext/>
        <w:keepLines/>
        <w:pBdr>
          <w:top w:val="nil"/>
          <w:left w:val="nil"/>
          <w:bottom w:val="nil"/>
          <w:right w:val="nil"/>
          <w:between w:val="nil"/>
        </w:pBdr>
        <w:spacing w:before="240"/>
        <w:ind w:firstLine="0"/>
        <w:jc w:val="center"/>
        <w:rPr>
          <w:color w:val="000000"/>
        </w:rPr>
      </w:pPr>
      <w:r>
        <w:rPr>
          <w:noProof/>
          <w:color w:val="000000"/>
        </w:rPr>
        <w:drawing>
          <wp:inline distT="0" distB="0" distL="0" distR="0" wp14:anchorId="3525191C" wp14:editId="6B410AE8">
            <wp:extent cx="5252877" cy="2257115"/>
            <wp:effectExtent l="0" t="0" r="0" b="0"/>
            <wp:docPr id="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t="6742" b="22821"/>
                    <a:stretch>
                      <a:fillRect/>
                    </a:stretch>
                  </pic:blipFill>
                  <pic:spPr>
                    <a:xfrm>
                      <a:off x="0" y="0"/>
                      <a:ext cx="5252877" cy="2257115"/>
                    </a:xfrm>
                    <a:prstGeom prst="rect">
                      <a:avLst/>
                    </a:prstGeom>
                    <a:ln/>
                  </pic:spPr>
                </pic:pic>
              </a:graphicData>
            </a:graphic>
          </wp:inline>
        </w:drawing>
      </w:r>
    </w:p>
    <w:p w14:paraId="3D88B26B" w14:textId="081BF4A3" w:rsidR="009912CA" w:rsidRDefault="009912CA" w:rsidP="00F536D3">
      <w:pPr>
        <w:pStyle w:val="a0"/>
      </w:pPr>
      <w:r>
        <w:t>Сравнение дивидендов в Китае</w:t>
      </w:r>
      <w:r w:rsidR="00D16B50">
        <w:t xml:space="preserve"> (правый столбец)</w:t>
      </w:r>
      <w:r>
        <w:t xml:space="preserve"> с другими странами</w:t>
      </w:r>
      <w:r w:rsidR="00D16B50">
        <w:t xml:space="preserve"> </w:t>
      </w:r>
      <w:r>
        <w:t xml:space="preserve">                                                       Источник: Dow Jones Indices LLC, FactSet.</w:t>
      </w:r>
    </w:p>
    <w:p w14:paraId="403191E1" w14:textId="77777777" w:rsidR="009912CA" w:rsidRDefault="009912CA" w:rsidP="009912CA">
      <w:r>
        <w:t>Примечательно, что средняя норма выплат в Китае на уровне 34% (по состоянию на 2016г.)  очень близка к этому показателю в других странах, в том числе развитых, уступая только европейским государствам со средним уровнем выплат 63%.</w:t>
      </w:r>
    </w:p>
    <w:p w14:paraId="48B64ADE" w14:textId="27804136" w:rsidR="009912CA" w:rsidRDefault="009912CA" w:rsidP="009912CA">
      <w:r>
        <w:t xml:space="preserve">Говоря про отраслевую специфику дивидендных выплат в Китае, обратимся к рисунку </w:t>
      </w:r>
      <w:r w:rsidR="00314FDF">
        <w:t>7</w:t>
      </w:r>
      <w:r>
        <w:t>. Наибольшая сумма дивидендов в 2019 и в 2020 годах была выплачена в банковском секторе, за ним с большим отрывом следуют пищевая отрасль и промышленные товары. Минимальные дивидендные выплаты наблюдаются в секторах технологий, путешествий, ритейла, медиа и др.</w:t>
      </w:r>
    </w:p>
    <w:p w14:paraId="1462F03B" w14:textId="77777777" w:rsidR="009912CA" w:rsidRDefault="009912CA" w:rsidP="009912CA">
      <w:pPr>
        <w:keepNext/>
        <w:keepLines/>
        <w:pBdr>
          <w:top w:val="nil"/>
          <w:left w:val="nil"/>
          <w:bottom w:val="nil"/>
          <w:right w:val="nil"/>
          <w:between w:val="nil"/>
        </w:pBdr>
        <w:spacing w:before="240"/>
        <w:ind w:firstLine="0"/>
        <w:jc w:val="center"/>
        <w:rPr>
          <w:color w:val="000000"/>
        </w:rPr>
      </w:pPr>
      <w:r>
        <w:rPr>
          <w:noProof/>
          <w:color w:val="000000"/>
          <w:shd w:val="clear" w:color="auto" w:fill="F6F6F5"/>
        </w:rPr>
        <w:drawing>
          <wp:inline distT="0" distB="0" distL="0" distR="0" wp14:anchorId="394C47EA" wp14:editId="3E6FA98F">
            <wp:extent cx="5587313" cy="2356743"/>
            <wp:effectExtent l="0" t="0" r="0" b="0"/>
            <wp:docPr id="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l="1422" t="10564" r="4523" b="7124"/>
                    <a:stretch>
                      <a:fillRect/>
                    </a:stretch>
                  </pic:blipFill>
                  <pic:spPr>
                    <a:xfrm>
                      <a:off x="0" y="0"/>
                      <a:ext cx="5587313" cy="2356743"/>
                    </a:xfrm>
                    <a:prstGeom prst="rect">
                      <a:avLst/>
                    </a:prstGeom>
                    <a:ln/>
                  </pic:spPr>
                </pic:pic>
              </a:graphicData>
            </a:graphic>
          </wp:inline>
        </w:drawing>
      </w:r>
    </w:p>
    <w:p w14:paraId="32A6C926" w14:textId="77777777" w:rsidR="009912CA" w:rsidRDefault="009912CA" w:rsidP="00F536D3">
      <w:pPr>
        <w:pStyle w:val="a0"/>
      </w:pPr>
      <w:r>
        <w:t xml:space="preserve">Объем дивидендных выплат в Китае в отраслевом разрезе (в млрд </w:t>
      </w:r>
      <w:proofErr w:type="gramStart"/>
      <w:r>
        <w:t xml:space="preserve">юань)   </w:t>
      </w:r>
      <w:proofErr w:type="gramEnd"/>
      <w:r>
        <w:t xml:space="preserve">                                    Источник: IHS Markit </w:t>
      </w:r>
    </w:p>
    <w:p w14:paraId="437F75BF" w14:textId="77777777" w:rsidR="009912CA" w:rsidRDefault="009912CA" w:rsidP="009912CA">
      <w:pPr>
        <w:pBdr>
          <w:top w:val="nil"/>
          <w:left w:val="nil"/>
          <w:bottom w:val="nil"/>
          <w:right w:val="nil"/>
          <w:between w:val="nil"/>
        </w:pBdr>
        <w:spacing w:before="120" w:after="240"/>
        <w:ind w:firstLine="0"/>
        <w:rPr>
          <w:i/>
          <w:color w:val="000000"/>
        </w:rPr>
      </w:pPr>
    </w:p>
    <w:p w14:paraId="0BD4EA0B" w14:textId="74922E3F" w:rsidR="009912CA" w:rsidRPr="009D215C" w:rsidRDefault="00317A29" w:rsidP="009D215C">
      <w:pPr>
        <w:pStyle w:val="3"/>
      </w:pPr>
      <w:bookmarkStart w:id="32" w:name="_Toc104840363"/>
      <w:r w:rsidRPr="009217DB">
        <w:t>2</w:t>
      </w:r>
      <w:r w:rsidR="009912CA" w:rsidRPr="009D215C">
        <w:t>.2.</w:t>
      </w:r>
      <w:r w:rsidR="009912CA" w:rsidRPr="009D215C">
        <w:rPr>
          <w:rStyle w:val="31"/>
          <w:b/>
        </w:rPr>
        <w:t>3 Налогообложение доходов от инвестиций в Китае</w:t>
      </w:r>
      <w:bookmarkEnd w:id="32"/>
    </w:p>
    <w:p w14:paraId="1E75267C" w14:textId="77777777" w:rsidR="009217DB" w:rsidRPr="009217DB" w:rsidRDefault="009217DB" w:rsidP="009217DB">
      <w:pPr>
        <w:rPr>
          <w:lang w:eastAsia="ru-RU"/>
        </w:rPr>
      </w:pPr>
      <w:r w:rsidRPr="009217DB">
        <w:rPr>
          <w:lang w:eastAsia="ru-RU"/>
        </w:rPr>
        <w:t>В Китае налогообложение дохода от курсовой динамики акций и дивидендного дохода различаются. Так, прирост стоимости акций в Китае вообще не облагается налогом, поэтому частные инвесторы (держатели “floating” акций) могут быть больше заинтересованы в акциях роста, нежели в дивидендных акциях, по крайней мере с точки зрения налоговых выгод.</w:t>
      </w:r>
    </w:p>
    <w:p w14:paraId="0F522729" w14:textId="77777777" w:rsidR="009217DB" w:rsidRPr="009217DB" w:rsidRDefault="009217DB" w:rsidP="009217DB">
      <w:pPr>
        <w:rPr>
          <w:lang w:eastAsia="ru-RU"/>
        </w:rPr>
      </w:pPr>
      <w:r w:rsidRPr="009217DB">
        <w:rPr>
          <w:lang w:eastAsia="ru-RU"/>
        </w:rPr>
        <w:t>В то же время в отношении дивидендного дохода применяется дифференцированный налог в зависимости от срока владения акциями инвестором. Для инвесторов, владеющих акциями сроком до 1 месяца, дивидендный доход облагается ставкой 20%, сроком от месяца до года – ставкой 10%, сроком более года – ставкой в 0%. </w:t>
      </w:r>
    </w:p>
    <w:p w14:paraId="5DB507A4" w14:textId="77777777" w:rsidR="009217DB" w:rsidRPr="009217DB" w:rsidRDefault="009217DB" w:rsidP="009217DB">
      <w:pPr>
        <w:rPr>
          <w:lang w:eastAsia="ru-RU"/>
        </w:rPr>
      </w:pPr>
      <w:r w:rsidRPr="009217DB">
        <w:rPr>
          <w:lang w:eastAsia="ru-RU"/>
        </w:rPr>
        <w:t>Одна из первых налоговых реформ была предложена Правительством в 2005 г. в связи с широким распространением спекулятивных игр на бирже для стимулирования долгосрочного инвестирования: тогда единый налог 20% был заменен на налог в размере 10% на доход от дивидендов. В исследовании Ziqi Xie (2018) было эмпирически выявлено, что в результате данной реформы коэффициент оборота акций упал на 15%, а объем торгов снизился на более чем 8 млн акций. Иными словами, реформа простимулировала долгосрочные инвестиции и большую стабильность на рынке. В особенности эффект на снижение торговой активности проявился в компаниях с долей акций в собственности менеджмента выше среднего, судя по всему, потому что в Китае нередко часть вознаграждения топ-менеджмента осуществляется через дивиденды. </w:t>
      </w:r>
    </w:p>
    <w:p w14:paraId="04F2FDD1" w14:textId="3E3B0573" w:rsidR="009217DB" w:rsidRPr="009217DB" w:rsidRDefault="009217DB" w:rsidP="009217DB">
      <w:pPr>
        <w:rPr>
          <w:lang w:eastAsia="ru-RU"/>
        </w:rPr>
      </w:pPr>
      <w:r w:rsidRPr="009217DB">
        <w:rPr>
          <w:lang w:eastAsia="ru-RU"/>
        </w:rPr>
        <w:t xml:space="preserve">В 2012 году впервые была инициирована система дифференцированного налогообложения дивидендов: 20% при владении до месяца, 10% при владении </w:t>
      </w:r>
      <w:proofErr w:type="gramStart"/>
      <w:r w:rsidRPr="009217DB">
        <w:rPr>
          <w:lang w:eastAsia="ru-RU"/>
        </w:rPr>
        <w:t>до год</w:t>
      </w:r>
      <w:proofErr w:type="gramEnd"/>
      <w:r w:rsidRPr="009217DB">
        <w:rPr>
          <w:lang w:eastAsia="ru-RU"/>
        </w:rPr>
        <w:t>, 0% при владении больше года. В результате был получен эффект, практически обратный запланированному, то есть был зафиксирован рост торгового оборота. Автор допускает, что после первого послабления налогов на дивиденды инвесторы стали дольше держать акции, однако со временем могли убедиться, что экономия на налогах не превышает преимуществ от регулярной покупки и продажи акций, и даже после второй реформы предпочли сфокусироваться на доходе от сделок купли-продажи.</w:t>
      </w:r>
      <w:r>
        <w:rPr>
          <w:rStyle w:val="aff"/>
          <w:lang w:eastAsia="ru-RU"/>
        </w:rPr>
        <w:footnoteReference w:id="51"/>
      </w:r>
    </w:p>
    <w:p w14:paraId="78FFE93A" w14:textId="3ED9A27A" w:rsidR="009217DB" w:rsidRPr="009217DB" w:rsidRDefault="009217DB" w:rsidP="009217DB">
      <w:pPr>
        <w:rPr>
          <w:lang w:eastAsia="ru-RU"/>
        </w:rPr>
      </w:pPr>
      <w:r w:rsidRPr="009217DB">
        <w:rPr>
          <w:lang w:eastAsia="ru-RU"/>
        </w:rPr>
        <w:t>Отдельно стоит отметить, что в случаях обеих реформ торговый оборот был меньше для компаний, контролируемых государством. Поддержка со стороны государства обеспечивает более надежные гарантии возврата инвестиций в глазах индивидуальных инвесторов, поэтому они предпочитают держать эти акции.</w:t>
      </w:r>
    </w:p>
    <w:p w14:paraId="11EAE107" w14:textId="555B03E4" w:rsidR="009912CA" w:rsidRDefault="009912CA" w:rsidP="009217DB">
      <w:pPr>
        <w:rPr>
          <w:shd w:val="clear" w:color="auto" w:fill="F6F6F5"/>
        </w:rPr>
      </w:pPr>
    </w:p>
    <w:p w14:paraId="1FB1232A" w14:textId="77777777" w:rsidR="007C4EA7" w:rsidRDefault="007C4EA7" w:rsidP="009912CA">
      <w:pPr>
        <w:ind w:firstLine="0"/>
        <w:rPr>
          <w:shd w:val="clear" w:color="auto" w:fill="F6F6F5"/>
        </w:rPr>
      </w:pPr>
    </w:p>
    <w:p w14:paraId="18B38778" w14:textId="3F4B201F" w:rsidR="00317A29" w:rsidRDefault="008E0E29" w:rsidP="002862A4">
      <w:pPr>
        <w:pStyle w:val="2"/>
      </w:pPr>
      <w:r>
        <w:t xml:space="preserve">2.3 </w:t>
      </w:r>
      <w:r w:rsidR="00317A29">
        <w:t>Краткий сравнительный анализ</w:t>
      </w:r>
      <w:r w:rsidR="00EB612A">
        <w:t xml:space="preserve"> дивидендных выплат для исследуемых рынков</w:t>
      </w:r>
    </w:p>
    <w:p w14:paraId="66A899FE" w14:textId="3632243E" w:rsidR="00317A29" w:rsidRDefault="00317A29" w:rsidP="00B47496"/>
    <w:p w14:paraId="3CA53E48" w14:textId="6A7B188C" w:rsidR="00317A29" w:rsidRPr="00317A29" w:rsidRDefault="00B47496" w:rsidP="00B47496">
      <w:r>
        <w:t>В таблице 3 подведены итоги</w:t>
      </w:r>
      <w:r w:rsidR="00317A29">
        <w:t xml:space="preserve"> сравнения </w:t>
      </w:r>
      <w:r>
        <w:t xml:space="preserve">двух рынков с точки зрения особенностей </w:t>
      </w:r>
      <w:r w:rsidR="00D128CA">
        <w:t>госрегулирования и</w:t>
      </w:r>
      <w:r>
        <w:t xml:space="preserve"> отраслевой специфики</w:t>
      </w:r>
      <w:r w:rsidR="008E0E29">
        <w:t xml:space="preserve"> дивидендных выплат.</w:t>
      </w:r>
    </w:p>
    <w:p w14:paraId="3A60C6F5" w14:textId="77777777" w:rsidR="00317A29" w:rsidRDefault="00317A29" w:rsidP="00317A29">
      <w:pPr>
        <w:spacing w:line="240" w:lineRule="auto"/>
        <w:ind w:firstLine="0"/>
        <w:jc w:val="left"/>
      </w:pPr>
    </w:p>
    <w:p w14:paraId="2DBD7FF8" w14:textId="5162E2AC" w:rsidR="00317A29" w:rsidRPr="008F5FE1" w:rsidRDefault="00317A29" w:rsidP="00317A29">
      <w:pPr>
        <w:pStyle w:val="a"/>
      </w:pPr>
      <w:r>
        <w:t xml:space="preserve">Сравнение ключевых параметров </w:t>
      </w:r>
      <w:r w:rsidR="005B6DFC">
        <w:t>дивидендных выплат</w:t>
      </w:r>
    </w:p>
    <w:tbl>
      <w:tblPr>
        <w:tblStyle w:val="11"/>
        <w:tblW w:w="9345" w:type="dxa"/>
        <w:tblLayout w:type="fixed"/>
        <w:tblLook w:val="0400" w:firstRow="0" w:lastRow="0" w:firstColumn="0" w:lastColumn="0" w:noHBand="0" w:noVBand="1"/>
      </w:tblPr>
      <w:tblGrid>
        <w:gridCol w:w="3536"/>
        <w:gridCol w:w="2689"/>
        <w:gridCol w:w="3120"/>
      </w:tblGrid>
      <w:tr w:rsidR="00317A29" w14:paraId="207E63A7" w14:textId="77777777" w:rsidTr="00232BEF">
        <w:tc>
          <w:tcPr>
            <w:tcW w:w="3536" w:type="dxa"/>
          </w:tcPr>
          <w:p w14:paraId="59E31433" w14:textId="77777777" w:rsidR="00317A29" w:rsidRDefault="00317A29" w:rsidP="00232BEF">
            <w:pPr>
              <w:spacing w:line="240" w:lineRule="auto"/>
              <w:ind w:firstLine="0"/>
              <w:jc w:val="left"/>
            </w:pPr>
          </w:p>
        </w:tc>
        <w:tc>
          <w:tcPr>
            <w:tcW w:w="2689" w:type="dxa"/>
          </w:tcPr>
          <w:p w14:paraId="778AD0D3" w14:textId="77777777" w:rsidR="00317A29" w:rsidRDefault="00317A29" w:rsidP="00232BEF">
            <w:pPr>
              <w:pStyle w:val="ac"/>
            </w:pPr>
            <w:r>
              <w:t>Россия</w:t>
            </w:r>
          </w:p>
        </w:tc>
        <w:tc>
          <w:tcPr>
            <w:tcW w:w="3120" w:type="dxa"/>
          </w:tcPr>
          <w:p w14:paraId="237A28DD" w14:textId="77777777" w:rsidR="00317A29" w:rsidRDefault="00317A29" w:rsidP="00232BEF">
            <w:pPr>
              <w:pStyle w:val="ac"/>
            </w:pPr>
            <w:r>
              <w:t>Китай</w:t>
            </w:r>
          </w:p>
        </w:tc>
      </w:tr>
      <w:tr w:rsidR="00317A29" w14:paraId="4A68189B" w14:textId="77777777" w:rsidTr="00232BEF">
        <w:tc>
          <w:tcPr>
            <w:tcW w:w="3536" w:type="dxa"/>
          </w:tcPr>
          <w:p w14:paraId="2BC1CE71" w14:textId="77777777" w:rsidR="00317A29" w:rsidRDefault="00317A29" w:rsidP="00232BEF">
            <w:pPr>
              <w:spacing w:line="240" w:lineRule="auto"/>
              <w:ind w:firstLine="0"/>
              <w:jc w:val="left"/>
            </w:pPr>
            <w:r>
              <w:t>Минимальная норма выплат</w:t>
            </w:r>
          </w:p>
        </w:tc>
        <w:tc>
          <w:tcPr>
            <w:tcW w:w="2689" w:type="dxa"/>
          </w:tcPr>
          <w:p w14:paraId="4519978C" w14:textId="77777777" w:rsidR="00317A29" w:rsidRDefault="00317A29" w:rsidP="00232BEF">
            <w:pPr>
              <w:spacing w:line="240" w:lineRule="auto"/>
              <w:ind w:firstLine="0"/>
              <w:jc w:val="left"/>
            </w:pPr>
            <w:r>
              <w:t>50% только для компаний с госучастием</w:t>
            </w:r>
          </w:p>
        </w:tc>
        <w:tc>
          <w:tcPr>
            <w:tcW w:w="3120" w:type="dxa"/>
          </w:tcPr>
          <w:p w14:paraId="01D7AF2E" w14:textId="77777777" w:rsidR="00317A29" w:rsidRDefault="00317A29" w:rsidP="00232BEF">
            <w:pPr>
              <w:spacing w:line="240" w:lineRule="auto"/>
              <w:ind w:firstLine="0"/>
              <w:jc w:val="left"/>
            </w:pPr>
            <w:r>
              <w:t>30% для всех компаний, которые собираются привлекать капитал на публичном рынке (норма должна соблюдаться в течение 3-х лет до размещения)</w:t>
            </w:r>
          </w:p>
        </w:tc>
      </w:tr>
      <w:tr w:rsidR="005B6DFC" w14:paraId="702C5414" w14:textId="77777777" w:rsidTr="00232BEF">
        <w:tc>
          <w:tcPr>
            <w:tcW w:w="3536" w:type="dxa"/>
          </w:tcPr>
          <w:p w14:paraId="2839FA1E" w14:textId="507714F2" w:rsidR="005B6DFC" w:rsidRDefault="005B6DFC" w:rsidP="00232BEF">
            <w:pPr>
              <w:spacing w:line="240" w:lineRule="auto"/>
              <w:ind w:firstLine="0"/>
              <w:jc w:val="left"/>
            </w:pPr>
            <w:r>
              <w:t>Средняя норма выплат, в % от чистой прибыли (2011-2020гг.)</w:t>
            </w:r>
          </w:p>
        </w:tc>
        <w:tc>
          <w:tcPr>
            <w:tcW w:w="2689" w:type="dxa"/>
          </w:tcPr>
          <w:p w14:paraId="533D0B57" w14:textId="284C082C" w:rsidR="005B6DFC" w:rsidRDefault="005B6DFC" w:rsidP="00232BEF">
            <w:pPr>
              <w:spacing w:line="240" w:lineRule="auto"/>
              <w:ind w:firstLine="0"/>
              <w:jc w:val="left"/>
            </w:pPr>
            <w:r>
              <w:t>37%</w:t>
            </w:r>
          </w:p>
        </w:tc>
        <w:tc>
          <w:tcPr>
            <w:tcW w:w="3120" w:type="dxa"/>
          </w:tcPr>
          <w:p w14:paraId="67E8FC84" w14:textId="64A4EC1A" w:rsidR="005B6DFC" w:rsidRDefault="005B6DFC" w:rsidP="00232BEF">
            <w:pPr>
              <w:spacing w:line="240" w:lineRule="auto"/>
              <w:ind w:firstLine="0"/>
              <w:jc w:val="left"/>
            </w:pPr>
            <w:r>
              <w:t>34%</w:t>
            </w:r>
          </w:p>
        </w:tc>
      </w:tr>
      <w:tr w:rsidR="005B6DFC" w14:paraId="4B098DBF" w14:textId="77777777" w:rsidTr="00232BEF">
        <w:tc>
          <w:tcPr>
            <w:tcW w:w="3536" w:type="dxa"/>
          </w:tcPr>
          <w:p w14:paraId="6FA27454" w14:textId="3CAE4C17" w:rsidR="005B6DFC" w:rsidRDefault="005B6DFC" w:rsidP="00232BEF">
            <w:pPr>
              <w:spacing w:line="240" w:lineRule="auto"/>
              <w:ind w:firstLine="0"/>
              <w:jc w:val="left"/>
            </w:pPr>
            <w:r>
              <w:t>Средняя дивидендная доходность (</w:t>
            </w:r>
            <w:r w:rsidR="002862A4">
              <w:t>2011–</w:t>
            </w:r>
            <w:proofErr w:type="gramStart"/>
            <w:r w:rsidR="002862A4">
              <w:t xml:space="preserve">2020 </w:t>
            </w:r>
            <w:r>
              <w:t xml:space="preserve"> гг.</w:t>
            </w:r>
            <w:proofErr w:type="gramEnd"/>
            <w:r>
              <w:t>), % годовых</w:t>
            </w:r>
          </w:p>
        </w:tc>
        <w:tc>
          <w:tcPr>
            <w:tcW w:w="2689" w:type="dxa"/>
          </w:tcPr>
          <w:p w14:paraId="4655BE77" w14:textId="76B2393E" w:rsidR="005B6DFC" w:rsidRDefault="005B6DFC" w:rsidP="00232BEF">
            <w:pPr>
              <w:spacing w:line="240" w:lineRule="auto"/>
              <w:ind w:firstLine="0"/>
              <w:jc w:val="left"/>
            </w:pPr>
            <w:r>
              <w:t>4,4%</w:t>
            </w:r>
          </w:p>
        </w:tc>
        <w:tc>
          <w:tcPr>
            <w:tcW w:w="3120" w:type="dxa"/>
          </w:tcPr>
          <w:p w14:paraId="6278B01F" w14:textId="2B0DF885" w:rsidR="005B6DFC" w:rsidRDefault="005B6DFC" w:rsidP="00232BEF">
            <w:pPr>
              <w:spacing w:line="240" w:lineRule="auto"/>
              <w:ind w:firstLine="0"/>
              <w:jc w:val="left"/>
            </w:pPr>
            <w:r>
              <w:t>2,2%</w:t>
            </w:r>
          </w:p>
        </w:tc>
      </w:tr>
      <w:tr w:rsidR="00317A29" w14:paraId="1B996DC4" w14:textId="77777777" w:rsidTr="00232BEF">
        <w:tc>
          <w:tcPr>
            <w:tcW w:w="3536" w:type="dxa"/>
          </w:tcPr>
          <w:p w14:paraId="1684C230" w14:textId="77777777" w:rsidR="00317A29" w:rsidRDefault="00317A29" w:rsidP="00232BEF">
            <w:pPr>
              <w:spacing w:line="240" w:lineRule="auto"/>
              <w:ind w:firstLine="0"/>
              <w:jc w:val="left"/>
            </w:pPr>
            <w:r>
              <w:t>Налог на прирост капитала</w:t>
            </w:r>
          </w:p>
        </w:tc>
        <w:tc>
          <w:tcPr>
            <w:tcW w:w="2689" w:type="dxa"/>
          </w:tcPr>
          <w:p w14:paraId="7E1A67AD" w14:textId="77777777" w:rsidR="00317A29" w:rsidRDefault="00317A29" w:rsidP="00232BEF">
            <w:pPr>
              <w:spacing w:line="240" w:lineRule="auto"/>
              <w:ind w:firstLine="0"/>
              <w:jc w:val="left"/>
            </w:pPr>
            <w:r>
              <w:t>13% для резидентов</w:t>
            </w:r>
          </w:p>
          <w:p w14:paraId="5608598C" w14:textId="7617E5C3" w:rsidR="00317A29" w:rsidRDefault="006A40BE" w:rsidP="00232BEF">
            <w:pPr>
              <w:spacing w:line="240" w:lineRule="auto"/>
              <w:ind w:firstLine="0"/>
              <w:jc w:val="left"/>
            </w:pPr>
            <w:r>
              <w:t>15</w:t>
            </w:r>
            <w:r w:rsidR="00317A29">
              <w:t>% для нерезидентов</w:t>
            </w:r>
          </w:p>
        </w:tc>
        <w:tc>
          <w:tcPr>
            <w:tcW w:w="3120" w:type="dxa"/>
          </w:tcPr>
          <w:p w14:paraId="196039E3" w14:textId="77777777" w:rsidR="00317A29" w:rsidRDefault="00317A29" w:rsidP="00232BEF">
            <w:pPr>
              <w:spacing w:line="240" w:lineRule="auto"/>
              <w:ind w:firstLine="0"/>
              <w:jc w:val="left"/>
            </w:pPr>
            <w:r>
              <w:t>отсутствует</w:t>
            </w:r>
          </w:p>
        </w:tc>
      </w:tr>
      <w:tr w:rsidR="00317A29" w14:paraId="54287ECF" w14:textId="77777777" w:rsidTr="00232BEF">
        <w:tc>
          <w:tcPr>
            <w:tcW w:w="3536" w:type="dxa"/>
          </w:tcPr>
          <w:p w14:paraId="6814C9CC" w14:textId="77777777" w:rsidR="00317A29" w:rsidRDefault="00317A29" w:rsidP="00232BEF">
            <w:pPr>
              <w:spacing w:line="240" w:lineRule="auto"/>
              <w:ind w:firstLine="0"/>
              <w:jc w:val="left"/>
            </w:pPr>
            <w:r>
              <w:t>Налог на дивиденды</w:t>
            </w:r>
          </w:p>
        </w:tc>
        <w:tc>
          <w:tcPr>
            <w:tcW w:w="2689" w:type="dxa"/>
          </w:tcPr>
          <w:p w14:paraId="008E8FE6" w14:textId="77777777" w:rsidR="00317A29" w:rsidRDefault="00317A29" w:rsidP="00232BEF">
            <w:pPr>
              <w:spacing w:line="240" w:lineRule="auto"/>
              <w:ind w:firstLine="0"/>
              <w:jc w:val="left"/>
            </w:pPr>
            <w:r>
              <w:t>13% для резидентов</w:t>
            </w:r>
          </w:p>
          <w:p w14:paraId="78331689" w14:textId="77777777" w:rsidR="00317A29" w:rsidRDefault="00317A29" w:rsidP="00232BEF">
            <w:pPr>
              <w:spacing w:line="240" w:lineRule="auto"/>
              <w:ind w:firstLine="0"/>
              <w:jc w:val="left"/>
            </w:pPr>
            <w:r>
              <w:t>15% для нерезидентов</w:t>
            </w:r>
          </w:p>
          <w:p w14:paraId="5AF47783" w14:textId="77777777" w:rsidR="00317A29" w:rsidRDefault="00317A29" w:rsidP="00232BEF">
            <w:pPr>
              <w:spacing w:line="240" w:lineRule="auto"/>
              <w:ind w:firstLine="0"/>
              <w:jc w:val="left"/>
            </w:pPr>
            <w:r>
              <w:t>0% для стратегических инвесторов</w:t>
            </w:r>
          </w:p>
        </w:tc>
        <w:tc>
          <w:tcPr>
            <w:tcW w:w="3120" w:type="dxa"/>
          </w:tcPr>
          <w:p w14:paraId="6F99B7A0" w14:textId="77777777" w:rsidR="00317A29" w:rsidRDefault="00317A29" w:rsidP="00232BEF">
            <w:pPr>
              <w:spacing w:line="240" w:lineRule="auto"/>
              <w:ind w:firstLine="0"/>
              <w:jc w:val="left"/>
            </w:pPr>
            <w:r>
              <w:t>20% при владении акцией до месяца</w:t>
            </w:r>
          </w:p>
          <w:p w14:paraId="7726698F" w14:textId="77777777" w:rsidR="00317A29" w:rsidRDefault="00317A29" w:rsidP="00232BEF">
            <w:pPr>
              <w:spacing w:line="240" w:lineRule="auto"/>
              <w:ind w:firstLine="0"/>
              <w:jc w:val="left"/>
            </w:pPr>
            <w:r>
              <w:t>10% при владении акцией до года</w:t>
            </w:r>
          </w:p>
          <w:p w14:paraId="17AC9DA5" w14:textId="77777777" w:rsidR="00317A29" w:rsidRDefault="00317A29" w:rsidP="00232BEF">
            <w:pPr>
              <w:spacing w:line="240" w:lineRule="auto"/>
              <w:ind w:firstLine="0"/>
              <w:jc w:val="left"/>
            </w:pPr>
            <w:r>
              <w:t>0% при владении от года</w:t>
            </w:r>
          </w:p>
        </w:tc>
      </w:tr>
      <w:tr w:rsidR="00317A29" w14:paraId="0E404262" w14:textId="77777777" w:rsidTr="00232BEF">
        <w:tc>
          <w:tcPr>
            <w:tcW w:w="3536" w:type="dxa"/>
          </w:tcPr>
          <w:p w14:paraId="3095AA0F" w14:textId="77777777" w:rsidR="00317A29" w:rsidRDefault="00317A29" w:rsidP="00232BEF">
            <w:pPr>
              <w:spacing w:line="240" w:lineRule="auto"/>
              <w:ind w:firstLine="0"/>
              <w:jc w:val="left"/>
            </w:pPr>
            <w:r>
              <w:t>Отрасли с наиболее высокими выплатами</w:t>
            </w:r>
          </w:p>
        </w:tc>
        <w:tc>
          <w:tcPr>
            <w:tcW w:w="2689" w:type="dxa"/>
          </w:tcPr>
          <w:p w14:paraId="78A9D9A3" w14:textId="77777777" w:rsidR="00317A29" w:rsidRDefault="00317A29" w:rsidP="00232BEF">
            <w:pPr>
              <w:spacing w:line="240" w:lineRule="auto"/>
              <w:ind w:firstLine="0"/>
              <w:jc w:val="left"/>
            </w:pPr>
            <w:r>
              <w:t>Нефтегазовая, металлургическая</w:t>
            </w:r>
          </w:p>
        </w:tc>
        <w:tc>
          <w:tcPr>
            <w:tcW w:w="3120" w:type="dxa"/>
          </w:tcPr>
          <w:p w14:paraId="270F3A67" w14:textId="77777777" w:rsidR="00317A29" w:rsidRDefault="00317A29" w:rsidP="00232BEF">
            <w:pPr>
              <w:spacing w:line="240" w:lineRule="auto"/>
              <w:ind w:firstLine="0"/>
              <w:jc w:val="left"/>
            </w:pPr>
            <w:r>
              <w:t>Банковская, пищевая (Food&amp;Beverage)</w:t>
            </w:r>
          </w:p>
        </w:tc>
      </w:tr>
    </w:tbl>
    <w:p w14:paraId="3710C071" w14:textId="5203C841" w:rsidR="00317A29" w:rsidRDefault="00317A29" w:rsidP="009912CA">
      <w:pPr>
        <w:ind w:firstLine="0"/>
        <w:rPr>
          <w:shd w:val="clear" w:color="auto" w:fill="F6F6F5"/>
        </w:rPr>
      </w:pPr>
    </w:p>
    <w:p w14:paraId="6132E411" w14:textId="15146D7F" w:rsidR="008E0E29" w:rsidRDefault="008E0E29" w:rsidP="00612FC6">
      <w:r>
        <w:t xml:space="preserve">В ходе анализа было выявлено, что </w:t>
      </w:r>
      <w:r w:rsidR="00C23962">
        <w:t xml:space="preserve">с одной стороны, в Китае и России есть ряд сходств: в обеих странах фондовый рынок появился относительно недавно (в 90-е гг. прошлого века), в публичных компаниях наблюдается достаточно высокая степень концентрации собственности (причем часто крупнейшая доля косвенно или напрямую принадлежит государству), установлена минимальная мера дивидендных выплат. В то же время </w:t>
      </w:r>
      <w:r w:rsidR="0097064A">
        <w:t>на этих рынках есть и очень примечательные различия. Так, например, в Китае на конец 2019 года степень раскрытия информации в публичных компаниях была оценена на 10 баллов из 10 (согласно рейтингу Всемирного банка)</w:t>
      </w:r>
      <w:r w:rsidR="00B92047">
        <w:t>, в то время как российскому фондовому рынку была присвоена оценка 6 из 10 баллов, причем она не менялась за последние 10 лет.</w:t>
      </w:r>
      <w:r w:rsidR="0097064A">
        <w:rPr>
          <w:rStyle w:val="aff"/>
        </w:rPr>
        <w:footnoteReference w:id="52"/>
      </w:r>
      <w:r w:rsidR="00B92047">
        <w:t xml:space="preserve"> </w:t>
      </w:r>
      <w:r w:rsidR="002862A4">
        <w:t xml:space="preserve"> Кроме того, в Китае гораздо более привлекательные условия для инвестиций с точки зрения налогообложения: налоги с дивидендов уменьшаются по мере увеличения срока инвестирования, а налог на прирост капитала вообще отсутствует, в то время как в России с обоих видов дохода необходимо уплачивать как минимум 13%. Отраслевая специфика на данных рынках также заметно отличается: в России традиционно высокие дивиденды платят компании добывающих отраслей, в Китае же – компании банковской отрасли и отрасли, связанной с производством еды и напитков.</w:t>
      </w:r>
    </w:p>
    <w:p w14:paraId="76263974" w14:textId="05A9EB0C" w:rsidR="005B6DFC" w:rsidRPr="00612FC6" w:rsidRDefault="005B6DFC" w:rsidP="00612FC6">
      <w:r w:rsidRPr="00612FC6">
        <w:t xml:space="preserve">Любопытно, что несмотря на то, что средняя норма дивидендных выплат в </w:t>
      </w:r>
      <w:r w:rsidR="00612FC6" w:rsidRPr="00612FC6">
        <w:t>Китае</w:t>
      </w:r>
      <w:r w:rsidRPr="00612FC6">
        <w:t xml:space="preserve"> и в России находится примерно в одном диапазоне </w:t>
      </w:r>
      <w:r w:rsidR="00612FC6" w:rsidRPr="00612FC6">
        <w:t>30–40</w:t>
      </w:r>
      <w:r w:rsidRPr="00612FC6">
        <w:t>%, средняя дивидендная доходность акций отличается в 2 раза</w:t>
      </w:r>
      <w:r w:rsidR="00612FC6" w:rsidRPr="00612FC6">
        <w:t>, что хотя бы отчасти можно объяснить высокой неоцененностью российских акций.</w:t>
      </w:r>
    </w:p>
    <w:p w14:paraId="29A00AAB" w14:textId="6205717F" w:rsidR="00253DA0" w:rsidRDefault="003E2B05" w:rsidP="003E2B05">
      <w:pPr>
        <w:pStyle w:val="1"/>
      </w:pPr>
      <w:bookmarkStart w:id="33" w:name="_Toc104840364"/>
      <w:r>
        <w:t>ГЛАВА 3. ЭМПИРИЧЕСКОЕ ИССЛЕДОВАНИЕ</w:t>
      </w:r>
      <w:bookmarkEnd w:id="33"/>
    </w:p>
    <w:p w14:paraId="1AFB3B08" w14:textId="7F6E0EE6" w:rsidR="00493D4E" w:rsidRPr="00493D4E" w:rsidRDefault="00493D4E" w:rsidP="00493D4E">
      <w:pPr>
        <w:pStyle w:val="2"/>
      </w:pPr>
      <w:bookmarkStart w:id="34" w:name="_Toc104840365"/>
      <w:r w:rsidRPr="00493D4E">
        <w:t xml:space="preserve">3.1 Методология </w:t>
      </w:r>
      <w:r w:rsidR="00193273">
        <w:t>анализа событий</w:t>
      </w:r>
      <w:bookmarkEnd w:id="34"/>
    </w:p>
    <w:p w14:paraId="33145023" w14:textId="77777777" w:rsidR="00493D4E" w:rsidRDefault="00493D4E" w:rsidP="00493D4E">
      <w:r>
        <w:t>Напомню, что выдвинутые гипотезы в отношении реакции рынка на дивидендные сюрпризы были сформулированы следующим образом:</w:t>
      </w:r>
    </w:p>
    <w:p w14:paraId="2D532B54" w14:textId="073DA3FC" w:rsidR="00493D4E" w:rsidRPr="00995D2A" w:rsidRDefault="00493D4E" w:rsidP="00493D4E">
      <w:pPr>
        <w:spacing w:after="160" w:line="259" w:lineRule="auto"/>
        <w:rPr>
          <w:i/>
          <w:iCs/>
        </w:rPr>
      </w:pPr>
      <w:r w:rsidRPr="00995D2A">
        <w:rPr>
          <w:rFonts w:eastAsiaTheme="majorEastAsia" w:cstheme="majorBidi"/>
          <w:b/>
          <w:bCs/>
          <w:i/>
          <w:iCs/>
          <w:color w:val="000000" w:themeColor="text1"/>
          <w:sz w:val="26"/>
          <w:szCs w:val="26"/>
        </w:rPr>
        <w:t xml:space="preserve">Гипотеза 1.  </w:t>
      </w:r>
      <w:r w:rsidRPr="00995D2A">
        <w:rPr>
          <w:i/>
          <w:iCs/>
        </w:rPr>
        <w:t>Новость о «позитивном» дивидендном сюрпризе</w:t>
      </w:r>
      <w:r w:rsidR="001A7277">
        <w:rPr>
          <w:i/>
          <w:iCs/>
        </w:rPr>
        <w:t xml:space="preserve"> </w:t>
      </w:r>
      <w:r w:rsidRPr="00995D2A">
        <w:rPr>
          <w:i/>
          <w:iCs/>
        </w:rPr>
        <w:t>приведет к положительной реакции рынка, то есть положительной накопленной избыточной доходности после объявления.</w:t>
      </w:r>
    </w:p>
    <w:p w14:paraId="6AB1FC78" w14:textId="46675DC2" w:rsidR="00493D4E" w:rsidRPr="00995D2A" w:rsidRDefault="00493D4E" w:rsidP="00493D4E">
      <w:pPr>
        <w:spacing w:after="160" w:line="259" w:lineRule="auto"/>
        <w:rPr>
          <w:i/>
          <w:iCs/>
        </w:rPr>
      </w:pPr>
      <w:r w:rsidRPr="00995D2A">
        <w:rPr>
          <w:rFonts w:eastAsiaTheme="majorEastAsia" w:cstheme="majorBidi"/>
          <w:b/>
          <w:bCs/>
          <w:i/>
          <w:iCs/>
          <w:color w:val="000000" w:themeColor="text1"/>
          <w:sz w:val="26"/>
          <w:szCs w:val="26"/>
        </w:rPr>
        <w:t xml:space="preserve">Гипотеза 2. </w:t>
      </w:r>
      <w:r w:rsidRPr="00995D2A">
        <w:rPr>
          <w:i/>
          <w:iCs/>
        </w:rPr>
        <w:t>Новость о «негативном» дивидендном сюрпризе приведет к отрицательной реакции рынка, то есть отрицательной накопленной избыточной доходности после объявления.</w:t>
      </w:r>
    </w:p>
    <w:p w14:paraId="54E3CFDE" w14:textId="0382609B" w:rsidR="00EF4B4C" w:rsidRDefault="001A7277" w:rsidP="002333D3">
      <w:r>
        <w:t>Под «сюрпризом» в данных гипотезах подразумевается объявление дивиденда, который расходится с консенсус-прогнозом более чем на 5%. Порог отсечки в 5% был выбран</w:t>
      </w:r>
      <w:r w:rsidR="00F82617">
        <w:rPr>
          <w:lang w:val="en-US"/>
        </w:rPr>
        <w:t xml:space="preserve">, </w:t>
      </w:r>
      <w:r w:rsidR="00F82617">
        <w:t>поскольку именно такой подход применялся в эмпирических работах на данную тему, написанных за последние годы</w:t>
      </w:r>
      <w:r w:rsidR="00C469B0">
        <w:rPr>
          <w:lang w:val="en-US"/>
        </w:rPr>
        <w:t>.</w:t>
      </w:r>
      <w:r w:rsidR="00F82617">
        <w:t xml:space="preserve"> </w:t>
      </w:r>
      <w:r w:rsidR="00BD6403">
        <w:t xml:space="preserve">Обычно </w:t>
      </w:r>
      <w:r w:rsidR="00F82617">
        <w:t xml:space="preserve">авторы </w:t>
      </w:r>
      <w:r w:rsidR="00BD6403">
        <w:t xml:space="preserve">исследований рыночной реакции на дивиденды </w:t>
      </w:r>
      <w:r w:rsidR="00F82617">
        <w:t>исход</w:t>
      </w:r>
      <w:r w:rsidR="00BD6403">
        <w:t xml:space="preserve">ят </w:t>
      </w:r>
      <w:r w:rsidR="00F82617">
        <w:t xml:space="preserve">из предположения, что изменение дивиденда по сравнению с ожидаемым в пределах 5% не будет иметь эффект «сюрприза», причем это допущение </w:t>
      </w:r>
      <w:r w:rsidR="002333D3">
        <w:t xml:space="preserve">встречается </w:t>
      </w:r>
      <w:r w:rsidR="00F82617">
        <w:t>как в исследованиях, которые сравнивают объявленный дивиденд с консенсус-прогнозом (</w:t>
      </w:r>
      <w:r w:rsidR="00F82617">
        <w:rPr>
          <w:lang w:val="en-US"/>
        </w:rPr>
        <w:t>C. Andres et al., 2013</w:t>
      </w:r>
      <w:r w:rsidR="00F82617">
        <w:t>),</w:t>
      </w:r>
      <w:r w:rsidR="00F82617">
        <w:rPr>
          <w:lang w:val="en-US"/>
        </w:rPr>
        <w:t xml:space="preserve"> (I. Berezinets et al., 2015, 2017)</w:t>
      </w:r>
      <w:r w:rsidR="00F82617">
        <w:t xml:space="preserve">, </w:t>
      </w:r>
      <w:r w:rsidR="00F82617">
        <w:rPr>
          <w:lang w:val="en-US"/>
        </w:rPr>
        <w:t>(A. Philippov, O. Sibanov, 2019)</w:t>
      </w:r>
      <w:r w:rsidR="00F82617">
        <w:t xml:space="preserve">, так и в исследованиях, которые сравнивают объявленный дивиденд с предыдущим дивидендом </w:t>
      </w:r>
      <w:r w:rsidR="00F82617">
        <w:rPr>
          <w:lang w:val="en-US"/>
        </w:rPr>
        <w:t>(E. Rogova, G. Berdnikova, 2014)</w:t>
      </w:r>
      <w:r w:rsidR="00F82617">
        <w:t>.</w:t>
      </w:r>
    </w:p>
    <w:p w14:paraId="492F8852" w14:textId="35F3612D" w:rsidR="00493D4E" w:rsidRDefault="00493D4E" w:rsidP="00493D4E">
      <w:r>
        <w:t xml:space="preserve">Для оценки реакции рынка на то или иное событие в литературе широко применяется метод событий, или </w:t>
      </w:r>
      <w:r w:rsidRPr="009217DB">
        <w:t>“</w:t>
      </w:r>
      <w:r>
        <w:rPr>
          <w:lang w:val="en-US"/>
        </w:rPr>
        <w:t>event</w:t>
      </w:r>
      <w:r w:rsidRPr="009217DB">
        <w:t xml:space="preserve"> </w:t>
      </w:r>
      <w:r>
        <w:rPr>
          <w:lang w:val="en-US"/>
        </w:rPr>
        <w:t>study</w:t>
      </w:r>
      <w:r w:rsidRPr="009217DB">
        <w:t xml:space="preserve">”. </w:t>
      </w:r>
      <w:r>
        <w:t xml:space="preserve">Так, практически во всех исследованиях, освещенных во 2 главе, применялся именно этот метод. В данной работе под «событием» будет пониматься день объявления рекомендуемой нормы выплат дивидендов по итогам заседания Совета Директоров. Изначально в исследовании рассматривались только объявления о годовых дивидендах, однако впоследствии, когда оказалось, что в выборке по российскому рынку недостаточно наблюдений для репрезентативных результатов, было решено включить также объявления о промежуточных дивидендах (только по выборке </w:t>
      </w:r>
      <w:r>
        <w:rPr>
          <w:lang w:val="en-US"/>
        </w:rPr>
        <w:t>MICEX</w:t>
      </w:r>
      <w:r w:rsidRPr="009217DB">
        <w:t>)</w:t>
      </w:r>
      <w:r>
        <w:t xml:space="preserve">. При этом в таком случае в выборку были включены только объявления о последнем дивиденде, выплаченном по итогу года, поскольку реакция на другие промежуточные выплаты могла быть невыраженной: при объявлении промежуточного дивиденда ниже ожидаемого инвесторы могут надеяться, что дальнейшие дивиденды по итогам года компенсируют это разочарование. Аналогично поступали авторы других исследований, которые тоже включали в выборку объявления о промежуточных выплатах. </w:t>
      </w:r>
    </w:p>
    <w:p w14:paraId="3F8D8DE0" w14:textId="53568066" w:rsidR="00493D4E" w:rsidRDefault="00493D4E" w:rsidP="00493D4E">
      <w:r>
        <w:t>Объявление дивидендов считается событием, имеющим краткосрочный эффект на цены акций, поэтому окно события в исследованиях таких объявлений обычно небольшое – как правило, до 41 дня. Так, например, в работе (</w:t>
      </w:r>
      <w:r>
        <w:rPr>
          <w:lang w:val="en-US"/>
        </w:rPr>
        <w:t>Chen</w:t>
      </w:r>
      <w:r w:rsidRPr="009217DB">
        <w:t xml:space="preserve"> </w:t>
      </w:r>
      <w:r>
        <w:rPr>
          <w:lang w:val="en-US"/>
        </w:rPr>
        <w:t>et</w:t>
      </w:r>
      <w:r w:rsidRPr="009217DB">
        <w:t xml:space="preserve">. </w:t>
      </w:r>
      <w:r>
        <w:rPr>
          <w:lang w:val="en-US"/>
        </w:rPr>
        <w:t>Al</w:t>
      </w:r>
      <w:r w:rsidRPr="009217DB">
        <w:t>, 2014)</w:t>
      </w:r>
      <w:r>
        <w:t xml:space="preserve"> в качестве окна оценивания берется 100 дней, для окна события – 41 день</w:t>
      </w:r>
      <w:r w:rsidRPr="009217DB">
        <w:t xml:space="preserve">; </w:t>
      </w:r>
      <w:r>
        <w:t xml:space="preserve">в другой работе тоже на китайском рынке (Zuguang </w:t>
      </w:r>
      <w:r>
        <w:rPr>
          <w:lang w:val="en-US"/>
        </w:rPr>
        <w:t>et</w:t>
      </w:r>
      <w:r w:rsidRPr="009217DB">
        <w:t xml:space="preserve"> </w:t>
      </w:r>
      <w:r>
        <w:rPr>
          <w:lang w:val="en-US"/>
        </w:rPr>
        <w:t>al</w:t>
      </w:r>
      <w:r w:rsidRPr="009217DB">
        <w:t xml:space="preserve">., 2010) </w:t>
      </w:r>
      <w:r>
        <w:t xml:space="preserve">рассматривается окно события в 11 дней, окно оценивания – 120 дней.  В отечественных исследованиях, например (Теплова, 2008) и (Березинец и др., 2015) рассматривается окно событий величиной 21 день. В данной работе также было принято решение об окне события в 21 день (включая 10 дней до и после объявления), поскольку в более широком окне события более вероятно, что могут произойти другие важные события и новости, которые окажут влияние на исход </w:t>
      </w:r>
      <w:r w:rsidR="00193273">
        <w:t>событийного анализа</w:t>
      </w:r>
      <w:r w:rsidRPr="009217DB">
        <w:t xml:space="preserve">. </w:t>
      </w:r>
      <w:r>
        <w:t>Окно оценивания был выбрано величиной в 180 дней по аналогии с относительно недавней работой (Березинец и др., 2015).</w:t>
      </w:r>
    </w:p>
    <w:p w14:paraId="3888A37E" w14:textId="77777777" w:rsidR="007368C4" w:rsidRDefault="007368C4" w:rsidP="00493D4E"/>
    <w:p w14:paraId="45B0E643" w14:textId="0008F6D9" w:rsidR="007368C4" w:rsidRDefault="007368C4" w:rsidP="00493D4E">
      <w:r>
        <w:t>Реализация метода анализа событий проходила по следующему алгоритму:</w:t>
      </w:r>
    </w:p>
    <w:p w14:paraId="72F28406" w14:textId="77777777" w:rsidR="007368C4" w:rsidRDefault="007368C4" w:rsidP="00493D4E"/>
    <w:p w14:paraId="2B16316C" w14:textId="678A20DC" w:rsidR="007368C4" w:rsidRPr="007368C4" w:rsidRDefault="007368C4" w:rsidP="00992E6F">
      <w:pPr>
        <w:pStyle w:val="af7"/>
        <w:numPr>
          <w:ilvl w:val="0"/>
          <w:numId w:val="29"/>
        </w:numPr>
        <w:ind w:left="0" w:firstLine="709"/>
        <w:rPr>
          <w:rFonts w:ascii="Times New Roman" w:hAnsi="Times New Roman" w:cs="Times New Roman"/>
          <w:sz w:val="24"/>
          <w:szCs w:val="24"/>
          <w:u w:val="single"/>
        </w:rPr>
      </w:pPr>
      <w:r w:rsidRPr="007368C4">
        <w:rPr>
          <w:rFonts w:ascii="Times New Roman" w:hAnsi="Times New Roman" w:cs="Times New Roman"/>
          <w:sz w:val="24"/>
          <w:szCs w:val="24"/>
          <w:u w:val="single"/>
        </w:rPr>
        <w:t>Оценка параметров модели нормальной доходности</w:t>
      </w:r>
      <w:r>
        <w:rPr>
          <w:rFonts w:ascii="Times New Roman" w:hAnsi="Times New Roman" w:cs="Times New Roman"/>
          <w:sz w:val="24"/>
          <w:szCs w:val="24"/>
          <w:u w:val="single"/>
        </w:rPr>
        <w:t xml:space="preserve"> </w:t>
      </w:r>
    </w:p>
    <w:p w14:paraId="3488AD48" w14:textId="32AEB7E1" w:rsidR="00493D4E" w:rsidRDefault="007368C4" w:rsidP="007368C4">
      <w:pPr>
        <w:ind w:left="709" w:firstLine="0"/>
      </w:pPr>
      <w:r>
        <w:t>В качестве модели</w:t>
      </w:r>
      <w:r w:rsidR="00493D4E">
        <w:t xml:space="preserve"> нормальной доходност</w:t>
      </w:r>
      <w:r>
        <w:t>и</w:t>
      </w:r>
      <w:r w:rsidR="00493D4E">
        <w:t xml:space="preserve"> была использована рыночная модель:</w:t>
      </w:r>
    </w:p>
    <w:p w14:paraId="7A6C7400" w14:textId="77777777" w:rsidR="00493D4E" w:rsidRDefault="00CF4558" w:rsidP="00493D4E">
      <w:pPr>
        <w:ind w:right="3401"/>
        <w:rPr>
          <w:rFonts w:eastAsiaTheme="minorEastAsia"/>
        </w:rPr>
      </w:pP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it</m:t>
            </m:r>
          </m:sub>
        </m:sSub>
        <m:r>
          <w:rPr>
            <w:rFonts w:ascii="Cambria Math" w:hAnsi="Cambria Math"/>
          </w:rPr>
          <m:t>=</m:t>
        </m:r>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i</m:t>
            </m:r>
          </m:sub>
        </m:sSub>
        <m:r>
          <w:rPr>
            <w:rFonts w:ascii="Cambria Math" w:hAnsi="Cambria Math"/>
          </w:rPr>
          <m:t>+</m:t>
        </m:r>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i</m:t>
            </m:r>
          </m:sub>
        </m:sSub>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mt</m:t>
            </m:r>
          </m:sub>
        </m:sSub>
        <m:r>
          <w:rPr>
            <w:rFonts w:ascii="Cambria Math" w:hAnsi="Cambria Math"/>
          </w:rPr>
          <m: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it</m:t>
            </m:r>
          </m:sub>
        </m:sSub>
      </m:oMath>
      <w:r w:rsidR="00493D4E" w:rsidRPr="009217DB">
        <w:rPr>
          <w:rFonts w:eastAsiaTheme="minorEastAsia"/>
        </w:rPr>
        <w:t xml:space="preserve">, </w:t>
      </w:r>
      <w:r w:rsidR="00493D4E">
        <w:rPr>
          <w:rFonts w:eastAsiaTheme="minorEastAsia"/>
        </w:rPr>
        <w:t>где</w:t>
      </w:r>
    </w:p>
    <w:p w14:paraId="2DAB23D4" w14:textId="77777777" w:rsidR="00493D4E" w:rsidRPr="00C55866" w:rsidRDefault="00CF4558" w:rsidP="00493D4E">
      <w:pPr>
        <w:ind w:right="3401" w:firstLine="567"/>
        <w:rPr>
          <w:rFonts w:eastAsiaTheme="minorEastAsia"/>
          <w:lang w:val="en-US"/>
        </w:rPr>
      </w:pPr>
      <m:oMathPara>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it</m:t>
              </m:r>
            </m:sub>
          </m:sSub>
          <m:r>
            <w:rPr>
              <w:rFonts w:ascii="Cambria Math" w:hAnsi="Cambria Math"/>
              <w:lang w:val="en-US"/>
            </w:rPr>
            <m:t xml:space="preserve">=доходность ценной бумаги i </m:t>
          </m:r>
          <m:r>
            <w:rPr>
              <w:rFonts w:ascii="Cambria Math" w:hAnsi="Cambria Math"/>
            </w:rPr>
            <m:t xml:space="preserve">в день </m:t>
          </m:r>
          <m:r>
            <w:rPr>
              <w:rFonts w:ascii="Cambria Math" w:hAnsi="Cambria Math"/>
              <w:lang w:val="en-US"/>
            </w:rPr>
            <m:t>t</m:t>
          </m:r>
        </m:oMath>
      </m:oMathPara>
    </w:p>
    <w:p w14:paraId="198A515D" w14:textId="77777777" w:rsidR="00493D4E" w:rsidRPr="00C55866" w:rsidRDefault="00CF4558" w:rsidP="00493D4E">
      <w:pPr>
        <w:ind w:right="2692" w:firstLine="993"/>
        <w:rPr>
          <w:rFonts w:eastAsiaTheme="minorEastAsia"/>
          <w:lang w:val="en-US"/>
        </w:rPr>
      </w:pPr>
      <m:oMathPara>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mt</m:t>
              </m:r>
            </m:sub>
          </m:sSub>
          <m:r>
            <w:rPr>
              <w:rFonts w:ascii="Cambria Math" w:hAnsi="Cambria Math"/>
              <w:lang w:val="en-US"/>
            </w:rPr>
            <m:t xml:space="preserve">=доходность рыночного портфеля  </m:t>
          </m:r>
          <m:r>
            <w:rPr>
              <w:rFonts w:ascii="Cambria Math" w:hAnsi="Cambria Math"/>
            </w:rPr>
            <m:t xml:space="preserve">в день </m:t>
          </m:r>
          <m:r>
            <w:rPr>
              <w:rFonts w:ascii="Cambria Math" w:hAnsi="Cambria Math"/>
              <w:lang w:val="en-US"/>
            </w:rPr>
            <m:t>t</m:t>
          </m:r>
        </m:oMath>
      </m:oMathPara>
    </w:p>
    <w:p w14:paraId="6A600BFD" w14:textId="77777777" w:rsidR="00493D4E" w:rsidRPr="00C55866" w:rsidRDefault="00CF4558" w:rsidP="00D715E7">
      <w:pPr>
        <w:ind w:left="-426" w:right="4677" w:hanging="284"/>
        <w:rPr>
          <w:rFonts w:eastAsiaTheme="minorEastAsia"/>
          <w:lang w:val="en-US"/>
        </w:rPr>
      </w:pPr>
      <m:oMathPara>
        <m:oMath>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it</m:t>
              </m:r>
            </m:sub>
          </m:sSub>
          <m:r>
            <w:rPr>
              <w:rFonts w:ascii="Cambria Math" w:hAnsi="Cambria Math"/>
              <w:lang w:val="en-US"/>
            </w:rPr>
            <m:t>=случайная величина</m:t>
          </m:r>
        </m:oMath>
      </m:oMathPara>
    </w:p>
    <w:p w14:paraId="01B8D363" w14:textId="77777777" w:rsidR="00493D4E" w:rsidRDefault="00493D4E" w:rsidP="00493D4E">
      <w:pPr>
        <w:ind w:right="2409"/>
        <w:rPr>
          <w:rFonts w:eastAsiaTheme="minorEastAsia"/>
          <w:lang w:val="en-US"/>
        </w:rPr>
      </w:pPr>
    </w:p>
    <w:p w14:paraId="2A9234B7" w14:textId="35A2EF02" w:rsidR="00493D4E" w:rsidRDefault="00493D4E" w:rsidP="00493D4E">
      <w:r>
        <w:t xml:space="preserve">Доходность рыночного портфеля рассчитывалась для российского </w:t>
      </w:r>
      <w:r w:rsidR="007368C4">
        <w:t>и китайского рынков</w:t>
      </w:r>
      <w:r>
        <w:t xml:space="preserve"> как доходность широких индексов рынка ММВБ </w:t>
      </w:r>
      <w:r w:rsidRPr="009217DB">
        <w:t>(</w:t>
      </w:r>
      <w:r>
        <w:rPr>
          <w:lang w:val="en-US"/>
        </w:rPr>
        <w:t>MICEX</w:t>
      </w:r>
      <w:r w:rsidRPr="009217DB">
        <w:t xml:space="preserve">) </w:t>
      </w:r>
      <w:r>
        <w:t xml:space="preserve">и </w:t>
      </w:r>
      <w:r w:rsidRPr="005D3E60">
        <w:t>SZSE Component Index</w:t>
      </w:r>
      <w:r w:rsidR="007368C4">
        <w:t xml:space="preserve"> соответственно.</w:t>
      </w:r>
    </w:p>
    <w:p w14:paraId="36B7A6AF" w14:textId="5A1B4332" w:rsidR="0045559B" w:rsidRPr="0045559B" w:rsidRDefault="00493D4E" w:rsidP="0045559B">
      <w:pPr>
        <w:rPr>
          <w:lang w:val="en-US"/>
        </w:rPr>
      </w:pPr>
      <w:r>
        <w:t>Далее для каждого объявления были оценены параметры альфа и бета рыночной модели на окне оценивания</w:t>
      </w:r>
      <w:r w:rsidR="0045559B">
        <w:rPr>
          <w:lang w:val="en-US"/>
        </w:rPr>
        <w:t>:</w:t>
      </w:r>
    </w:p>
    <w:p w14:paraId="29AA11B9" w14:textId="57708C23" w:rsidR="007368C4" w:rsidRPr="0045559B" w:rsidRDefault="00CF4558" w:rsidP="0045559B">
      <w:pPr>
        <w:ind w:right="6095" w:firstLine="1985"/>
        <w:rPr>
          <w:rFonts w:eastAsiaTheme="minorEastAsia"/>
          <w:lang w:val="en-US"/>
        </w:rPr>
      </w:pPr>
      <m:oMathPara>
        <m:oMath>
          <m:acc>
            <m:accPr>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it</m:t>
                  </m:r>
                </m:sub>
              </m:sSub>
            </m:e>
          </m:acc>
          <m:r>
            <w:rPr>
              <w:rFonts w:ascii="Cambria Math" w:hAnsi="Cambria Math"/>
            </w:rPr>
            <m:t>=</m:t>
          </m:r>
          <m:acc>
            <m:accPr>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i</m:t>
                  </m:r>
                </m:sub>
              </m:sSub>
            </m:e>
          </m:acc>
          <m:r>
            <w:rPr>
              <w:rFonts w:ascii="Cambria Math" w:hAnsi="Cambria Math"/>
            </w:rPr>
            <m:t>+</m:t>
          </m:r>
          <m:acc>
            <m:accPr>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i</m:t>
                  </m:r>
                </m:sub>
              </m:sSub>
            </m:e>
          </m:acc>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mt</m:t>
              </m:r>
            </m:sub>
          </m:sSub>
        </m:oMath>
      </m:oMathPara>
    </w:p>
    <w:p w14:paraId="10EBEA00" w14:textId="77777777" w:rsidR="0045559B" w:rsidRDefault="0045559B" w:rsidP="0045559B">
      <w:pPr>
        <w:ind w:right="6095" w:firstLine="1985"/>
      </w:pPr>
    </w:p>
    <w:p w14:paraId="69CD4A6F" w14:textId="47CED4D3" w:rsidR="007368C4" w:rsidRPr="007368C4" w:rsidRDefault="007368C4" w:rsidP="007368C4">
      <w:pPr>
        <w:pStyle w:val="af7"/>
        <w:numPr>
          <w:ilvl w:val="0"/>
          <w:numId w:val="29"/>
        </w:numPr>
        <w:rPr>
          <w:rFonts w:ascii="Times New Roman" w:hAnsi="Times New Roman" w:cs="Times New Roman"/>
          <w:sz w:val="24"/>
          <w:szCs w:val="24"/>
          <w:u w:val="single"/>
        </w:rPr>
      </w:pPr>
      <w:r w:rsidRPr="007368C4">
        <w:rPr>
          <w:rFonts w:ascii="Times New Roman" w:hAnsi="Times New Roman" w:cs="Times New Roman"/>
          <w:sz w:val="24"/>
          <w:szCs w:val="24"/>
          <w:u w:val="single"/>
        </w:rPr>
        <w:t>Расчет сверх-доходности в окне события</w:t>
      </w:r>
    </w:p>
    <w:p w14:paraId="45FD095A" w14:textId="46525DD3" w:rsidR="00493D4E" w:rsidRDefault="007368C4" w:rsidP="007368C4">
      <w:pPr>
        <w:ind w:left="709" w:firstLine="0"/>
      </w:pPr>
      <w:r>
        <w:t>С</w:t>
      </w:r>
      <w:r w:rsidR="00493D4E">
        <w:t xml:space="preserve">верх-доходность для каждого дня </w:t>
      </w:r>
      <w:r w:rsidR="00493D4E" w:rsidRPr="007368C4">
        <w:rPr>
          <w:lang w:val="en-US"/>
        </w:rPr>
        <w:t>t</w:t>
      </w:r>
      <w:r w:rsidR="00493D4E" w:rsidRPr="009217DB">
        <w:t xml:space="preserve"> </w:t>
      </w:r>
      <w:r w:rsidR="00493D4E">
        <w:t xml:space="preserve">в окне события </w:t>
      </w:r>
      <w:r>
        <w:t xml:space="preserve">рассчитывалась </w:t>
      </w:r>
      <w:r w:rsidR="00493D4E">
        <w:t>по формуле:</w:t>
      </w:r>
    </w:p>
    <w:p w14:paraId="175CAD5F" w14:textId="2767992F" w:rsidR="00493D4E" w:rsidRPr="001C5B65" w:rsidRDefault="00CF4558" w:rsidP="00433E5A">
      <w:pPr>
        <w:ind w:left="709" w:right="3685" w:firstLine="426"/>
        <w:rPr>
          <w:rFonts w:eastAsiaTheme="minorEastAsia"/>
        </w:rPr>
      </w:pPr>
      <m:oMathPara>
        <m:oMath>
          <m:sSub>
            <m:sSubPr>
              <m:ctrlPr>
                <w:rPr>
                  <w:rFonts w:ascii="Cambria Math" w:hAnsi="Cambria Math"/>
                  <w:i/>
                </w:rPr>
              </m:ctrlPr>
            </m:sSubPr>
            <m:e>
              <m:r>
                <w:rPr>
                  <w:rFonts w:ascii="Cambria Math" w:hAnsi="Cambria Math"/>
                </w:rPr>
                <m:t>A</m:t>
              </m:r>
              <m:acc>
                <m:accPr>
                  <m:ctrlPr>
                    <w:rPr>
                      <w:rFonts w:ascii="Cambria Math" w:hAnsi="Cambria Math"/>
                      <w:i/>
                    </w:rPr>
                  </m:ctrlPr>
                </m:accPr>
                <m:e>
                  <m:r>
                    <w:rPr>
                      <w:rFonts w:ascii="Cambria Math" w:hAnsi="Cambria Math"/>
                    </w:rPr>
                    <m:t>R</m:t>
                  </m:r>
                </m:e>
              </m:acc>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it</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R</m:t>
                  </m:r>
                </m:e>
              </m:acc>
            </m:e>
            <m:sub>
              <m:r>
                <w:rPr>
                  <w:rFonts w:ascii="Cambria Math" w:hAnsi="Cambria Math"/>
                </w:rPr>
                <m:t>it</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it</m:t>
              </m:r>
            </m:sub>
          </m:sSub>
          <m:r>
            <w:rPr>
              <w:rFonts w:ascii="Cambria Math" w:hAnsi="Cambria Math"/>
            </w:rPr>
            <m:t xml:space="preserve">- </m:t>
          </m:r>
          <m:acc>
            <m:accPr>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i</m:t>
                  </m:r>
                </m:sub>
              </m:sSub>
            </m:e>
          </m:acc>
          <m:r>
            <w:rPr>
              <w:rFonts w:ascii="Cambria Math" w:hAnsi="Cambria Math"/>
              <w:lang w:val="en-US"/>
            </w:rPr>
            <m:t xml:space="preserve">- </m:t>
          </m:r>
          <m:acc>
            <m:accPr>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i</m:t>
                  </m:r>
                </m:sub>
              </m:sSub>
            </m:e>
          </m:acc>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mt</m:t>
              </m:r>
            </m:sub>
          </m:sSub>
          <m:r>
            <w:rPr>
              <w:rFonts w:ascii="Cambria Math" w:hAnsi="Cambria Math"/>
            </w:rPr>
            <m:t>,  где</m:t>
          </m:r>
        </m:oMath>
      </m:oMathPara>
    </w:p>
    <w:p w14:paraId="5973C9A9" w14:textId="11628B40" w:rsidR="00493D4E" w:rsidRPr="001C5B65" w:rsidRDefault="00CF4558" w:rsidP="00433E5A">
      <w:pPr>
        <w:ind w:left="-142" w:right="2409" w:firstLine="426"/>
        <w:rPr>
          <w:rFonts w:eastAsiaTheme="minorEastAsia"/>
          <w:lang w:val="en-US"/>
        </w:rPr>
      </w:pPr>
      <m:oMathPara>
        <m:oMath>
          <m:sSub>
            <m:sSubPr>
              <m:ctrlPr>
                <w:rPr>
                  <w:rFonts w:ascii="Cambria Math" w:hAnsi="Cambria Math"/>
                  <w:i/>
                </w:rPr>
              </m:ctrlPr>
            </m:sSubPr>
            <m:e>
              <m:r>
                <w:rPr>
                  <w:rFonts w:ascii="Cambria Math" w:hAnsi="Cambria Math"/>
                </w:rPr>
                <m:t>A</m:t>
              </m:r>
              <m:acc>
                <m:accPr>
                  <m:ctrlPr>
                    <w:rPr>
                      <w:rFonts w:ascii="Cambria Math" w:hAnsi="Cambria Math"/>
                      <w:i/>
                    </w:rPr>
                  </m:ctrlPr>
                </m:accPr>
                <m:e>
                  <m:r>
                    <w:rPr>
                      <w:rFonts w:ascii="Cambria Math" w:hAnsi="Cambria Math"/>
                    </w:rPr>
                    <m:t>R</m:t>
                  </m:r>
                </m:e>
              </m:acc>
            </m:e>
            <m:sub>
              <m:r>
                <w:rPr>
                  <w:rFonts w:ascii="Cambria Math" w:hAnsi="Cambria Math"/>
                </w:rPr>
                <m:t>it</m:t>
              </m:r>
            </m:sub>
          </m:sSub>
          <m:r>
            <w:rPr>
              <w:rFonts w:ascii="Cambria Math" w:hAnsi="Cambria Math"/>
              <w:lang w:val="en-US"/>
            </w:rPr>
            <m:t>=</m:t>
          </m:r>
          <m:r>
            <w:rPr>
              <w:rFonts w:ascii="Cambria Math" w:hAnsi="Cambria Math"/>
            </w:rPr>
            <m:t xml:space="preserve">сверхдоходность в день </m:t>
          </m:r>
          <m:r>
            <w:rPr>
              <w:rFonts w:ascii="Cambria Math" w:hAnsi="Cambria Math"/>
              <w:lang w:val="en-US"/>
            </w:rPr>
            <m:t xml:space="preserve">t </m:t>
          </m:r>
          <m:r>
            <w:rPr>
              <w:rFonts w:ascii="Cambria Math" w:hAnsi="Cambria Math"/>
            </w:rPr>
            <m:t xml:space="preserve">для акции </m:t>
          </m:r>
          <m:r>
            <w:rPr>
              <w:rFonts w:ascii="Cambria Math" w:hAnsi="Cambria Math"/>
              <w:lang w:val="en-US"/>
            </w:rPr>
            <m:t>i</m:t>
          </m:r>
        </m:oMath>
      </m:oMathPara>
    </w:p>
    <w:p w14:paraId="4A0C426B" w14:textId="7182902A" w:rsidR="00493D4E" w:rsidRPr="00992E6F" w:rsidRDefault="00CF4558" w:rsidP="00E6226E">
      <w:pPr>
        <w:ind w:left="851" w:right="2268" w:firstLine="850"/>
        <w:rPr>
          <w:rFonts w:eastAsiaTheme="minorEastAsia"/>
        </w:rPr>
      </w:pPr>
      <m:oMathPara>
        <m:oMath>
          <m:sSub>
            <m:sSubPr>
              <m:ctrlPr>
                <w:rPr>
                  <w:rFonts w:ascii="Cambria Math" w:hAnsi="Cambria Math"/>
                  <w:i/>
                </w:rPr>
              </m:ctrlPr>
            </m:sSubPr>
            <m:e>
              <m:r>
                <w:rPr>
                  <w:rFonts w:ascii="Cambria Math" w:hAnsi="Cambria Math"/>
                </w:rPr>
                <m:t>R</m:t>
              </m:r>
            </m:e>
            <m:sub>
              <m:r>
                <w:rPr>
                  <w:rFonts w:ascii="Cambria Math" w:hAnsi="Cambria Math"/>
                </w:rPr>
                <m:t>it</m:t>
              </m:r>
            </m:sub>
          </m:sSub>
          <m:r>
            <w:rPr>
              <w:rFonts w:ascii="Cambria Math" w:hAnsi="Cambria Math"/>
            </w:rPr>
            <m:t xml:space="preserve">= наблюдаемая (фактическая)  доходность в день </m:t>
          </m:r>
          <m:r>
            <w:rPr>
              <w:rFonts w:ascii="Cambria Math" w:hAnsi="Cambria Math"/>
              <w:lang w:val="en-US"/>
            </w:rPr>
            <m:t>t для акции i</m:t>
          </m:r>
        </m:oMath>
      </m:oMathPara>
    </w:p>
    <w:p w14:paraId="535CDD89" w14:textId="781BB734" w:rsidR="00493D4E" w:rsidRPr="00433E5A" w:rsidRDefault="00433E5A" w:rsidP="00433E5A">
      <w:pPr>
        <w:ind w:right="992"/>
        <w:rPr>
          <w:rFonts w:eastAsiaTheme="minorEastAsia"/>
          <w:i/>
          <w:lang w:val="en-US"/>
        </w:rPr>
      </w:pPr>
      <m:oMathPara>
        <m:oMath>
          <m:r>
            <w:rPr>
              <w:rFonts w:ascii="Cambria Math" w:eastAsiaTheme="minorEastAsia" w:hAnsi="Cambria Math"/>
              <w:lang w:val="en-US"/>
            </w:rPr>
            <m:t xml:space="preserve">          </m:t>
          </m:r>
          <m:acc>
            <m:accPr>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i</m:t>
                  </m:r>
                </m:sub>
              </m:sSub>
            </m:e>
          </m:acc>
          <m:r>
            <w:rPr>
              <w:rFonts w:ascii="Cambria Math" w:hAnsi="Cambria Math"/>
              <w:lang w:val="en-US"/>
            </w:rPr>
            <m:t xml:space="preserve">, </m:t>
          </m:r>
          <m:acc>
            <m:accPr>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i</m:t>
                  </m:r>
                </m:sub>
              </m:sSub>
            </m:e>
          </m:acc>
          <m:r>
            <w:rPr>
              <w:rFonts w:ascii="Cambria Math" w:hAnsi="Cambria Math"/>
              <w:lang w:val="en-US"/>
            </w:rPr>
            <m:t>=оцененные параметры модели нормальной доходности</m:t>
          </m:r>
        </m:oMath>
      </m:oMathPara>
    </w:p>
    <w:p w14:paraId="5A5038FB" w14:textId="4E406EE8" w:rsidR="00433E5A" w:rsidRPr="00433E5A" w:rsidRDefault="00CF4558" w:rsidP="00E6226E">
      <w:pPr>
        <w:ind w:left="709" w:firstLine="4536"/>
        <w:rPr>
          <w:rFonts w:eastAsiaTheme="minorEastAsia"/>
          <w:i/>
          <w:lang w:val="en-US"/>
        </w:rPr>
      </w:pPr>
      <m:oMathPara>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mt</m:t>
              </m:r>
            </m:sub>
          </m:sSub>
          <m:r>
            <w:rPr>
              <w:rFonts w:ascii="Cambria Math" w:hAnsi="Cambria Math"/>
              <w:lang w:val="en-US"/>
            </w:rPr>
            <m:t>=</m:t>
          </m:r>
          <m:r>
            <w:rPr>
              <w:rFonts w:ascii="Cambria Math" w:hAnsi="Cambria Math"/>
            </w:rPr>
            <m:t xml:space="preserve">наблюдаемая </m:t>
          </m:r>
          <m:d>
            <m:dPr>
              <m:ctrlPr>
                <w:rPr>
                  <w:rFonts w:ascii="Cambria Math" w:hAnsi="Cambria Math"/>
                  <w:i/>
                </w:rPr>
              </m:ctrlPr>
            </m:dPr>
            <m:e>
              <m:r>
                <w:rPr>
                  <w:rFonts w:ascii="Cambria Math" w:hAnsi="Cambria Math"/>
                </w:rPr>
                <m:t>фактическая</m:t>
              </m:r>
            </m:e>
          </m:d>
          <m:r>
            <w:rPr>
              <w:rFonts w:ascii="Cambria Math" w:hAnsi="Cambria Math"/>
            </w:rPr>
            <m:t xml:space="preserve">доходность рыночного индекса в день </m:t>
          </m:r>
          <m:r>
            <w:rPr>
              <w:rFonts w:ascii="Cambria Math" w:hAnsi="Cambria Math"/>
              <w:lang w:val="en-US"/>
            </w:rPr>
            <m:t>t</m:t>
          </m:r>
        </m:oMath>
      </m:oMathPara>
    </w:p>
    <w:p w14:paraId="2CABA25E" w14:textId="5E067B12" w:rsidR="00493D4E" w:rsidRDefault="00493D4E" w:rsidP="00493D4E">
      <w:r>
        <w:t>Наблюдаемая доходность рассчитывалась на основе цен закрытия для каждого дня торгов.</w:t>
      </w:r>
    </w:p>
    <w:p w14:paraId="39AC37B5" w14:textId="77777777" w:rsidR="00992E6F" w:rsidRDefault="00992E6F" w:rsidP="00493D4E"/>
    <w:p w14:paraId="04A5F308" w14:textId="16B56930" w:rsidR="00992E6F" w:rsidRPr="00992E6F" w:rsidRDefault="00992E6F" w:rsidP="00992E6F">
      <w:pPr>
        <w:pStyle w:val="af7"/>
        <w:numPr>
          <w:ilvl w:val="0"/>
          <w:numId w:val="29"/>
        </w:numPr>
        <w:rPr>
          <w:rFonts w:ascii="Times New Roman" w:hAnsi="Times New Roman" w:cs="Times New Roman"/>
          <w:sz w:val="24"/>
          <w:szCs w:val="24"/>
          <w:u w:val="single"/>
        </w:rPr>
      </w:pPr>
      <w:r w:rsidRPr="00992E6F">
        <w:rPr>
          <w:rFonts w:ascii="Times New Roman" w:hAnsi="Times New Roman" w:cs="Times New Roman"/>
          <w:sz w:val="24"/>
          <w:szCs w:val="24"/>
          <w:u w:val="single"/>
        </w:rPr>
        <w:t>Агрегирование сверхдоходностей</w:t>
      </w:r>
    </w:p>
    <w:p w14:paraId="4F80C292" w14:textId="77777777" w:rsidR="00493D4E" w:rsidRPr="009217DB" w:rsidRDefault="00493D4E" w:rsidP="00493D4E">
      <w:r>
        <w:t xml:space="preserve">Далее сверхдоходности были агрегированы по времени и по ценным бумагам. Сначала, была рассчитана средняя сверхдоходность по всем объявлениям для каждого дня </w:t>
      </w:r>
      <w:r>
        <w:rPr>
          <w:lang w:val="en-US"/>
        </w:rPr>
        <w:t>t</w:t>
      </w:r>
      <w:r w:rsidRPr="009217DB">
        <w:t xml:space="preserve"> </w:t>
      </w:r>
      <w:r>
        <w:t xml:space="preserve">в окне события для фиксированного года </w:t>
      </w:r>
      <w:r>
        <w:rPr>
          <w:lang w:val="en-US"/>
        </w:rPr>
        <w:t>k</w:t>
      </w:r>
      <w:r w:rsidRPr="009217DB">
        <w:t>.</w:t>
      </w:r>
    </w:p>
    <w:p w14:paraId="19B52D63" w14:textId="77777777" w:rsidR="00493D4E" w:rsidRDefault="00CF4558" w:rsidP="00493D4E">
      <w:pPr>
        <w:rPr>
          <w:rFonts w:eastAsiaTheme="minorEastAsia"/>
        </w:rPr>
      </w:pPr>
      <m:oMath>
        <m:sSub>
          <m:sSubPr>
            <m:ctrlPr>
              <w:rPr>
                <w:rFonts w:ascii="Cambria Math" w:hAnsi="Cambria Math"/>
                <w:i/>
                <w:lang w:val="en-US"/>
              </w:rPr>
            </m:ctrlPr>
          </m:sSubPr>
          <m:e>
            <m:r>
              <w:rPr>
                <w:rFonts w:ascii="Cambria Math" w:hAnsi="Cambria Math"/>
                <w:lang w:val="en-US"/>
              </w:rPr>
              <m:t>AAR</m:t>
            </m:r>
          </m:e>
          <m:sub>
            <m:r>
              <w:rPr>
                <w:rFonts w:ascii="Cambria Math" w:hAnsi="Cambria Math"/>
                <w:lang w:val="en-US"/>
              </w:rPr>
              <m:t>kt</m:t>
            </m:r>
          </m:sub>
        </m:sSub>
        <m:r>
          <w:rPr>
            <w:rFonts w:ascii="Cambria Math" w:hAnsi="Cambria Math"/>
          </w:rPr>
          <m:t>=</m:t>
        </m:r>
        <m:f>
          <m:fPr>
            <m:ctrlPr>
              <w:rPr>
                <w:rFonts w:ascii="Cambria Math" w:hAnsi="Cambria Math"/>
                <w:i/>
                <w:lang w:val="en-US"/>
              </w:rPr>
            </m:ctrlPr>
          </m:fPr>
          <m:num>
            <m:r>
              <w:rPr>
                <w:rFonts w:ascii="Cambria Math" w:hAnsi="Cambria Math"/>
              </w:rPr>
              <m:t>1</m:t>
            </m:r>
          </m:num>
          <m:den>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k</m:t>
                </m:r>
              </m:sub>
            </m:sSub>
          </m:den>
        </m:f>
        <m:nary>
          <m:naryPr>
            <m:chr m:val="∑"/>
            <m:limLoc m:val="undOvr"/>
            <m:ctrlPr>
              <w:rPr>
                <w:rFonts w:ascii="Cambria Math" w:hAnsi="Cambria Math"/>
                <w:i/>
                <w:lang w:val="en-US"/>
              </w:rPr>
            </m:ctrlPr>
          </m:naryPr>
          <m:sub>
            <m:r>
              <w:rPr>
                <w:rFonts w:ascii="Cambria Math" w:hAnsi="Cambria Math"/>
                <w:lang w:val="en-US"/>
              </w:rPr>
              <m:t>i</m:t>
            </m:r>
            <m:r>
              <w:rPr>
                <w:rFonts w:ascii="Cambria Math" w:hAnsi="Cambria Math"/>
              </w:rPr>
              <m:t>=1</m:t>
            </m:r>
          </m:sub>
          <m:sup>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k</m:t>
                </m:r>
              </m:sub>
            </m:sSub>
          </m:sup>
          <m:e>
            <m:acc>
              <m:accPr>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AR</m:t>
                    </m:r>
                  </m:e>
                  <m:sub>
                    <m:r>
                      <w:rPr>
                        <w:rFonts w:ascii="Cambria Math" w:hAnsi="Cambria Math"/>
                        <w:lang w:val="en-US"/>
                      </w:rPr>
                      <m:t>ikt</m:t>
                    </m:r>
                  </m:sub>
                </m:sSub>
              </m:e>
            </m:acc>
          </m:e>
        </m:nary>
      </m:oMath>
      <w:r w:rsidR="00493D4E">
        <w:rPr>
          <w:rFonts w:eastAsiaTheme="minorEastAsia"/>
        </w:rPr>
        <w:t>, где</w:t>
      </w:r>
    </w:p>
    <w:p w14:paraId="569AFA57" w14:textId="77777777" w:rsidR="00493D4E" w:rsidRPr="00675CDA" w:rsidRDefault="00CF4558" w:rsidP="00E6226E">
      <w:pPr>
        <w:ind w:left="284" w:right="4535" w:firstLine="851"/>
        <w:rPr>
          <w:rFonts w:eastAsiaTheme="minorEastAsia"/>
          <w:lang w:val="en-US"/>
        </w:rPr>
      </w:pPr>
      <m:oMathPara>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k</m:t>
              </m:r>
            </m:sub>
          </m:sSub>
          <m:r>
            <w:rPr>
              <w:rFonts w:ascii="Cambria Math" w:hAnsi="Cambria Math"/>
              <w:lang w:val="en-US"/>
            </w:rPr>
            <m:t>=число объявлений в году k</m:t>
          </m:r>
        </m:oMath>
      </m:oMathPara>
    </w:p>
    <w:p w14:paraId="1282D179" w14:textId="77777777" w:rsidR="00493D4E" w:rsidRPr="009217DB" w:rsidRDefault="00CF4558" w:rsidP="00493D4E">
      <w:pPr>
        <w:rPr>
          <w:rFonts w:eastAsiaTheme="minorEastAsia"/>
        </w:rPr>
      </w:pPr>
      <m:oMath>
        <m:acc>
          <m:accPr>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AR</m:t>
                </m:r>
              </m:e>
              <m:sub>
                <m:r>
                  <w:rPr>
                    <w:rFonts w:ascii="Cambria Math" w:hAnsi="Cambria Math"/>
                    <w:lang w:val="en-US"/>
                  </w:rPr>
                  <m:t>ikt</m:t>
                </m:r>
              </m:sub>
            </m:sSub>
          </m:e>
        </m:acc>
        <m:r>
          <w:rPr>
            <w:rFonts w:ascii="Cambria Math" w:hAnsi="Cambria Math"/>
          </w:rPr>
          <m:t xml:space="preserve">= </m:t>
        </m:r>
      </m:oMath>
      <w:r w:rsidR="00493D4E">
        <w:rPr>
          <w:rFonts w:eastAsiaTheme="minorEastAsia"/>
        </w:rPr>
        <w:t xml:space="preserve">оценка сверхдоходности для акции </w:t>
      </w:r>
      <w:r w:rsidR="00493D4E">
        <w:rPr>
          <w:rFonts w:eastAsiaTheme="minorEastAsia"/>
          <w:lang w:val="en-US"/>
        </w:rPr>
        <w:t>i</w:t>
      </w:r>
      <w:r w:rsidR="00493D4E" w:rsidRPr="009217DB">
        <w:rPr>
          <w:rFonts w:eastAsiaTheme="minorEastAsia"/>
        </w:rPr>
        <w:t xml:space="preserve"> </w:t>
      </w:r>
      <w:r w:rsidR="00493D4E">
        <w:rPr>
          <w:rFonts w:eastAsiaTheme="minorEastAsia"/>
        </w:rPr>
        <w:t xml:space="preserve">в день </w:t>
      </w:r>
      <w:r w:rsidR="00493D4E">
        <w:rPr>
          <w:rFonts w:eastAsiaTheme="minorEastAsia"/>
          <w:lang w:val="en-US"/>
        </w:rPr>
        <w:t>t</w:t>
      </w:r>
    </w:p>
    <w:p w14:paraId="3FAAB7B8" w14:textId="77777777" w:rsidR="00493D4E" w:rsidRDefault="00493D4E" w:rsidP="00493D4E">
      <w:pPr>
        <w:rPr>
          <w:rFonts w:eastAsiaTheme="minorEastAsia"/>
        </w:rPr>
      </w:pPr>
    </w:p>
    <w:p w14:paraId="1356E07E" w14:textId="6B09BEAD" w:rsidR="00493D4E" w:rsidRPr="00E6226E" w:rsidRDefault="00493D4E" w:rsidP="00493D4E">
      <w:pPr>
        <w:rPr>
          <w:rFonts w:eastAsiaTheme="minorEastAsia"/>
          <w:lang w:val="en-US"/>
        </w:rPr>
      </w:pPr>
      <w:r>
        <w:rPr>
          <w:rFonts w:eastAsiaTheme="minorEastAsia"/>
        </w:rPr>
        <w:t xml:space="preserve">Затем была рассчитана средняя сверхдоходность за 4 года для каждого дня </w:t>
      </w:r>
      <w:r>
        <w:rPr>
          <w:rFonts w:eastAsiaTheme="minorEastAsia"/>
          <w:lang w:val="en-US"/>
        </w:rPr>
        <w:t>t</w:t>
      </w:r>
      <w:r w:rsidRPr="009217DB">
        <w:rPr>
          <w:rFonts w:eastAsiaTheme="minorEastAsia"/>
        </w:rPr>
        <w:t xml:space="preserve"> </w:t>
      </w:r>
      <w:r>
        <w:rPr>
          <w:rFonts w:eastAsiaTheme="minorEastAsia"/>
        </w:rPr>
        <w:t>в окне события, то есть в отрезке 10 дней до и 10 дней после даты события.</w:t>
      </w:r>
    </w:p>
    <w:p w14:paraId="06EF02AA" w14:textId="77777777" w:rsidR="00493D4E" w:rsidRPr="006322FE" w:rsidRDefault="00493D4E" w:rsidP="00493D4E">
      <w:pPr>
        <w:rPr>
          <w:rFonts w:eastAsiaTheme="minorEastAsia"/>
        </w:rPr>
      </w:pPr>
    </w:p>
    <w:p w14:paraId="1A45F2C6" w14:textId="77777777" w:rsidR="00493D4E" w:rsidRPr="00F6493A" w:rsidRDefault="00CF4558" w:rsidP="00493D4E">
      <w:pPr>
        <w:rPr>
          <w:rFonts w:eastAsiaTheme="minorEastAsia"/>
        </w:rPr>
      </w:pPr>
      <m:oMath>
        <m:sSub>
          <m:sSubPr>
            <m:ctrlPr>
              <w:rPr>
                <w:rFonts w:ascii="Cambria Math" w:hAnsi="Cambria Math"/>
                <w:i/>
                <w:lang w:val="en-US"/>
              </w:rPr>
            </m:ctrlPr>
          </m:sSubPr>
          <m:e>
            <m:r>
              <w:rPr>
                <w:rFonts w:ascii="Cambria Math" w:hAnsi="Cambria Math"/>
                <w:lang w:val="en-US"/>
              </w:rPr>
              <m:t>AAR</m:t>
            </m:r>
          </m:e>
          <m:sub>
            <m:r>
              <w:rPr>
                <w:rFonts w:ascii="Cambria Math" w:hAnsi="Cambria Math"/>
                <w:lang w:val="en-US"/>
              </w:rPr>
              <m:t>t</m:t>
            </m:r>
          </m:sub>
        </m:sSub>
        <m:r>
          <w:rPr>
            <w:rFonts w:ascii="Cambria Math" w:hAnsi="Cambria Math"/>
          </w:rPr>
          <m:t>=</m:t>
        </m:r>
        <m:f>
          <m:fPr>
            <m:ctrlPr>
              <w:rPr>
                <w:rFonts w:ascii="Cambria Math" w:hAnsi="Cambria Math"/>
                <w:i/>
                <w:lang w:val="en-US"/>
              </w:rPr>
            </m:ctrlPr>
          </m:fPr>
          <m:num>
            <m:r>
              <w:rPr>
                <w:rFonts w:ascii="Cambria Math" w:hAnsi="Cambria Math"/>
              </w:rPr>
              <m:t>1</m:t>
            </m:r>
          </m:num>
          <m:den>
            <m:r>
              <w:rPr>
                <w:rFonts w:ascii="Cambria Math" w:hAnsi="Cambria Math"/>
                <w:lang w:val="en-US"/>
              </w:rPr>
              <m:t>K</m:t>
            </m:r>
          </m:den>
        </m:f>
        <m:nary>
          <m:naryPr>
            <m:chr m:val="∑"/>
            <m:limLoc m:val="undOvr"/>
            <m:ctrlPr>
              <w:rPr>
                <w:rFonts w:ascii="Cambria Math" w:hAnsi="Cambria Math"/>
                <w:i/>
                <w:lang w:val="en-US"/>
              </w:rPr>
            </m:ctrlPr>
          </m:naryPr>
          <m:sub>
            <m:r>
              <w:rPr>
                <w:rFonts w:ascii="Cambria Math" w:hAnsi="Cambria Math"/>
                <w:lang w:val="en-US"/>
              </w:rPr>
              <m:t>k</m:t>
            </m:r>
            <m:r>
              <w:rPr>
                <w:rFonts w:ascii="Cambria Math" w:hAnsi="Cambria Math"/>
              </w:rPr>
              <m:t>=1</m:t>
            </m:r>
          </m:sub>
          <m:sup>
            <m:r>
              <w:rPr>
                <w:rFonts w:ascii="Cambria Math" w:hAnsi="Cambria Math"/>
                <w:lang w:val="en-US"/>
              </w:rPr>
              <m:t>K</m:t>
            </m:r>
          </m:sup>
          <m:e>
            <m:sSub>
              <m:sSubPr>
                <m:ctrlPr>
                  <w:rPr>
                    <w:rFonts w:ascii="Cambria Math" w:hAnsi="Cambria Math"/>
                    <w:i/>
                    <w:lang w:val="en-US"/>
                  </w:rPr>
                </m:ctrlPr>
              </m:sSubPr>
              <m:e>
                <m:r>
                  <w:rPr>
                    <w:rFonts w:ascii="Cambria Math" w:hAnsi="Cambria Math"/>
                    <w:lang w:val="en-US"/>
                  </w:rPr>
                  <m:t>AAR</m:t>
                </m:r>
              </m:e>
              <m:sub>
                <m:r>
                  <w:rPr>
                    <w:rFonts w:ascii="Cambria Math" w:hAnsi="Cambria Math"/>
                    <w:lang w:val="en-US"/>
                  </w:rPr>
                  <m:t>kt</m:t>
                </m:r>
                <m:r>
                  <w:rPr>
                    <w:rFonts w:ascii="Cambria Math" w:hAnsi="Cambria Math"/>
                  </w:rPr>
                  <m:t xml:space="preserve"> </m:t>
                </m:r>
              </m:sub>
            </m:sSub>
          </m:e>
        </m:nary>
      </m:oMath>
      <w:r w:rsidR="00493D4E">
        <w:rPr>
          <w:rFonts w:eastAsiaTheme="minorEastAsia"/>
        </w:rPr>
        <w:t xml:space="preserve">, где </w:t>
      </w:r>
    </w:p>
    <w:p w14:paraId="087F668E" w14:textId="77777777" w:rsidR="00493D4E" w:rsidRPr="009217DB" w:rsidRDefault="00CF4558" w:rsidP="00493D4E">
      <w:pPr>
        <w:rPr>
          <w:rFonts w:eastAsiaTheme="minorEastAsia"/>
        </w:rPr>
      </w:pPr>
      <m:oMath>
        <m:sSub>
          <m:sSubPr>
            <m:ctrlPr>
              <w:rPr>
                <w:rFonts w:ascii="Cambria Math" w:hAnsi="Cambria Math"/>
                <w:i/>
                <w:lang w:val="en-US"/>
              </w:rPr>
            </m:ctrlPr>
          </m:sSubPr>
          <m:e>
            <m:r>
              <w:rPr>
                <w:rFonts w:ascii="Cambria Math" w:hAnsi="Cambria Math"/>
                <w:lang w:val="en-US"/>
              </w:rPr>
              <m:t>AAR</m:t>
            </m:r>
          </m:e>
          <m:sub>
            <m:r>
              <w:rPr>
                <w:rFonts w:ascii="Cambria Math" w:hAnsi="Cambria Math"/>
                <w:lang w:val="en-US"/>
              </w:rPr>
              <m:t>t</m:t>
            </m:r>
          </m:sub>
        </m:sSub>
        <m:r>
          <w:rPr>
            <w:rFonts w:ascii="Cambria Math" w:hAnsi="Cambria Math"/>
          </w:rPr>
          <m:t xml:space="preserve">= </m:t>
        </m:r>
      </m:oMath>
      <w:r w:rsidR="00493D4E">
        <w:rPr>
          <w:rFonts w:eastAsiaTheme="minorEastAsia"/>
        </w:rPr>
        <w:t xml:space="preserve">средняя сверхдоходность в день </w:t>
      </w:r>
      <w:r w:rsidR="00493D4E">
        <w:rPr>
          <w:rFonts w:eastAsiaTheme="minorEastAsia"/>
          <w:lang w:val="en-US"/>
        </w:rPr>
        <w:t>t</w:t>
      </w:r>
    </w:p>
    <w:p w14:paraId="1A8E1A26" w14:textId="77777777" w:rsidR="00493D4E" w:rsidRDefault="00493D4E" w:rsidP="00493D4E">
      <w:pPr>
        <w:rPr>
          <w:rFonts w:eastAsiaTheme="minorEastAsia"/>
        </w:rPr>
      </w:pPr>
      <m:oMath>
        <m:r>
          <w:rPr>
            <w:rFonts w:ascii="Cambria Math" w:hAnsi="Cambria Math"/>
            <w:lang w:val="en-US"/>
          </w:rPr>
          <m:t>K</m:t>
        </m:r>
        <m:r>
          <w:rPr>
            <w:rFonts w:ascii="Cambria Math" w:hAnsi="Cambria Math"/>
          </w:rPr>
          <m:t xml:space="preserve">= </m:t>
        </m:r>
      </m:oMath>
      <w:r>
        <w:rPr>
          <w:rFonts w:eastAsiaTheme="minorEastAsia"/>
        </w:rPr>
        <w:t>число лет (4)</w:t>
      </w:r>
    </w:p>
    <w:p w14:paraId="588DDEFF" w14:textId="77777777" w:rsidR="00493D4E" w:rsidRPr="009217DB" w:rsidRDefault="00CF4558" w:rsidP="00493D4E">
      <w:pPr>
        <w:rPr>
          <w:rFonts w:eastAsiaTheme="minorEastAsia"/>
        </w:rPr>
      </w:pPr>
      <m:oMath>
        <m:sSub>
          <m:sSubPr>
            <m:ctrlPr>
              <w:rPr>
                <w:rFonts w:ascii="Cambria Math" w:hAnsi="Cambria Math"/>
                <w:i/>
                <w:lang w:val="en-US"/>
              </w:rPr>
            </m:ctrlPr>
          </m:sSubPr>
          <m:e>
            <m:r>
              <w:rPr>
                <w:rFonts w:ascii="Cambria Math" w:hAnsi="Cambria Math"/>
                <w:lang w:val="en-US"/>
              </w:rPr>
              <m:t>AAR</m:t>
            </m:r>
          </m:e>
          <m:sub>
            <m:r>
              <w:rPr>
                <w:rFonts w:ascii="Cambria Math" w:hAnsi="Cambria Math"/>
                <w:lang w:val="en-US"/>
              </w:rPr>
              <m:t>kt</m:t>
            </m:r>
          </m:sub>
        </m:sSub>
        <m:r>
          <w:rPr>
            <w:rFonts w:ascii="Cambria Math" w:hAnsi="Cambria Math"/>
          </w:rPr>
          <m:t xml:space="preserve">= </m:t>
        </m:r>
      </m:oMath>
      <w:r w:rsidR="00493D4E">
        <w:rPr>
          <w:rFonts w:eastAsiaTheme="minorEastAsia"/>
        </w:rPr>
        <w:t xml:space="preserve">средняя сверхдоходность в день </w:t>
      </w:r>
      <w:r w:rsidR="00493D4E">
        <w:rPr>
          <w:rFonts w:eastAsiaTheme="minorEastAsia"/>
          <w:lang w:val="en-US"/>
        </w:rPr>
        <w:t>t</w:t>
      </w:r>
      <w:r w:rsidR="00493D4E" w:rsidRPr="009217DB">
        <w:rPr>
          <w:rFonts w:eastAsiaTheme="minorEastAsia"/>
        </w:rPr>
        <w:t xml:space="preserve"> </w:t>
      </w:r>
      <w:r w:rsidR="00493D4E">
        <w:rPr>
          <w:rFonts w:eastAsiaTheme="minorEastAsia"/>
        </w:rPr>
        <w:t xml:space="preserve">в год </w:t>
      </w:r>
      <w:r w:rsidR="00493D4E">
        <w:rPr>
          <w:rFonts w:eastAsiaTheme="minorEastAsia"/>
          <w:lang w:val="en-US"/>
        </w:rPr>
        <w:t>k</w:t>
      </w:r>
    </w:p>
    <w:p w14:paraId="55B0C982" w14:textId="77777777" w:rsidR="00493D4E" w:rsidRPr="009217DB" w:rsidRDefault="00493D4E" w:rsidP="00493D4E">
      <w:pPr>
        <w:rPr>
          <w:rFonts w:eastAsiaTheme="minorEastAsia"/>
        </w:rPr>
      </w:pPr>
    </w:p>
    <w:p w14:paraId="5CCA8464" w14:textId="6E2DB746" w:rsidR="00992E6F" w:rsidRPr="00992E6F" w:rsidRDefault="00992E6F" w:rsidP="00992E6F">
      <w:pPr>
        <w:pStyle w:val="af7"/>
        <w:numPr>
          <w:ilvl w:val="0"/>
          <w:numId w:val="29"/>
        </w:numPr>
        <w:rPr>
          <w:rFonts w:ascii="Times New Roman" w:eastAsiaTheme="minorEastAsia" w:hAnsi="Times New Roman" w:cs="Times New Roman"/>
          <w:sz w:val="24"/>
          <w:szCs w:val="24"/>
          <w:u w:val="single"/>
        </w:rPr>
      </w:pPr>
      <w:r w:rsidRPr="00992E6F">
        <w:rPr>
          <w:rFonts w:ascii="Times New Roman" w:eastAsiaTheme="minorEastAsia" w:hAnsi="Times New Roman" w:cs="Times New Roman"/>
          <w:sz w:val="24"/>
          <w:szCs w:val="24"/>
          <w:u w:val="single"/>
        </w:rPr>
        <w:t>Расчет кумулятивной средней избыточной доходности</w:t>
      </w:r>
    </w:p>
    <w:p w14:paraId="7A2F5724" w14:textId="36D903AD" w:rsidR="00493D4E" w:rsidRPr="009217DB" w:rsidRDefault="00992E6F" w:rsidP="00493D4E">
      <w:pPr>
        <w:rPr>
          <w:rFonts w:eastAsiaTheme="minorEastAsia"/>
        </w:rPr>
      </w:pPr>
      <w:r>
        <w:rPr>
          <w:rFonts w:eastAsiaTheme="minorEastAsia"/>
        </w:rPr>
        <w:t>К</w:t>
      </w:r>
      <w:r w:rsidR="00493D4E">
        <w:rPr>
          <w:rFonts w:eastAsiaTheme="minorEastAsia"/>
        </w:rPr>
        <w:t xml:space="preserve">умулятивная средняя избыточная доходность для каждого из типов сюрпризов (для «хорошего» и для «плохого») в каждый день </w:t>
      </w:r>
      <w:r w:rsidR="00493D4E">
        <w:rPr>
          <w:rFonts w:eastAsiaTheme="minorEastAsia"/>
          <w:lang w:val="en-US"/>
        </w:rPr>
        <w:t>t</w:t>
      </w:r>
      <w:r w:rsidR="00493D4E" w:rsidRPr="009217DB">
        <w:rPr>
          <w:rFonts w:eastAsiaTheme="minorEastAsia"/>
        </w:rPr>
        <w:t xml:space="preserve"> </w:t>
      </w:r>
      <w:r w:rsidR="00493D4E">
        <w:rPr>
          <w:rFonts w:eastAsiaTheme="minorEastAsia"/>
        </w:rPr>
        <w:t>в окне события (</w:t>
      </w:r>
      <w:r w:rsidR="00493D4E">
        <w:rPr>
          <w:rFonts w:eastAsiaTheme="minorEastAsia"/>
          <w:lang w:val="en-US"/>
        </w:rPr>
        <w:t>T</w:t>
      </w:r>
      <w:r w:rsidR="00493D4E" w:rsidRPr="009217DB">
        <w:rPr>
          <w:rFonts w:eastAsiaTheme="minorEastAsia"/>
        </w:rPr>
        <w:t xml:space="preserve"> = -10, ..., +10)</w:t>
      </w:r>
      <w:r>
        <w:rPr>
          <w:rFonts w:eastAsiaTheme="minorEastAsia"/>
        </w:rPr>
        <w:t xml:space="preserve"> рассчитывалась по формуле:</w:t>
      </w:r>
    </w:p>
    <w:p w14:paraId="052EF4E5" w14:textId="77777777" w:rsidR="00493D4E" w:rsidRPr="00EE7AA1" w:rsidRDefault="00CF4558" w:rsidP="00493D4E">
      <w:pPr>
        <w:ind w:right="5669"/>
        <w:rPr>
          <w:rFonts w:eastAsiaTheme="minorEastAsia"/>
          <w:lang w:val="en-US"/>
        </w:rPr>
      </w:pPr>
      <m:oMathPara>
        <m:oMath>
          <m:sSub>
            <m:sSubPr>
              <m:ctrlPr>
                <w:rPr>
                  <w:rFonts w:ascii="Cambria Math" w:hAnsi="Cambria Math"/>
                  <w:i/>
                  <w:lang w:val="en-US"/>
                </w:rPr>
              </m:ctrlPr>
            </m:sSubPr>
            <m:e>
              <m:r>
                <w:rPr>
                  <w:rFonts w:ascii="Cambria Math" w:hAnsi="Cambria Math"/>
                  <w:lang w:val="en-US"/>
                </w:rPr>
                <m:t>CAAR</m:t>
              </m:r>
            </m:e>
            <m:sub>
              <m:r>
                <w:rPr>
                  <w:rFonts w:ascii="Cambria Math" w:hAnsi="Cambria Math"/>
                  <w:lang w:val="en-US"/>
                </w:rPr>
                <m:t>T</m:t>
              </m:r>
            </m:sub>
          </m:sSub>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t=-10</m:t>
              </m:r>
            </m:sub>
            <m:sup>
              <m:r>
                <w:rPr>
                  <w:rFonts w:ascii="Cambria Math" w:hAnsi="Cambria Math"/>
                  <w:lang w:val="en-US"/>
                </w:rPr>
                <m:t>T</m:t>
              </m:r>
            </m:sup>
            <m:e>
              <m:sSub>
                <m:sSubPr>
                  <m:ctrlPr>
                    <w:rPr>
                      <w:rFonts w:ascii="Cambria Math" w:hAnsi="Cambria Math"/>
                      <w:i/>
                      <w:lang w:val="en-US"/>
                    </w:rPr>
                  </m:ctrlPr>
                </m:sSubPr>
                <m:e>
                  <m:r>
                    <w:rPr>
                      <w:rFonts w:ascii="Cambria Math" w:hAnsi="Cambria Math"/>
                      <w:lang w:val="en-US"/>
                    </w:rPr>
                    <m:t>AAR</m:t>
                  </m:r>
                </m:e>
                <m:sub>
                  <m:r>
                    <w:rPr>
                      <w:rFonts w:ascii="Cambria Math" w:hAnsi="Cambria Math"/>
                      <w:lang w:val="en-US"/>
                    </w:rPr>
                    <m:t xml:space="preserve">t </m:t>
                  </m:r>
                </m:sub>
              </m:sSub>
            </m:e>
          </m:nary>
        </m:oMath>
      </m:oMathPara>
    </w:p>
    <w:p w14:paraId="7575AF8F" w14:textId="77777777" w:rsidR="00493D4E" w:rsidRDefault="00493D4E" w:rsidP="00493D4E">
      <w:pPr>
        <w:rPr>
          <w:rFonts w:eastAsiaTheme="minorEastAsia"/>
        </w:rPr>
      </w:pPr>
    </w:p>
    <w:p w14:paraId="3DBFE02C" w14:textId="6716705F" w:rsidR="00992E6F" w:rsidRDefault="00992E6F" w:rsidP="00493D4E">
      <w:pPr>
        <w:rPr>
          <w:rFonts w:eastAsiaTheme="minorEastAsia"/>
        </w:rPr>
      </w:pPr>
    </w:p>
    <w:p w14:paraId="62E1E18C" w14:textId="0E96AD6D" w:rsidR="00992E6F" w:rsidRDefault="00992E6F" w:rsidP="00493D4E">
      <w:pPr>
        <w:rPr>
          <w:rFonts w:eastAsiaTheme="minorEastAsia"/>
        </w:rPr>
      </w:pPr>
    </w:p>
    <w:p w14:paraId="4587E1D9" w14:textId="77777777" w:rsidR="00992E6F" w:rsidRDefault="00992E6F" w:rsidP="00493D4E">
      <w:pPr>
        <w:rPr>
          <w:rFonts w:eastAsiaTheme="minorEastAsia"/>
        </w:rPr>
      </w:pPr>
    </w:p>
    <w:p w14:paraId="15C79752" w14:textId="013F4872" w:rsidR="00992E6F" w:rsidRPr="00992E6F" w:rsidRDefault="00992E6F" w:rsidP="00992E6F">
      <w:pPr>
        <w:pStyle w:val="af7"/>
        <w:numPr>
          <w:ilvl w:val="0"/>
          <w:numId w:val="29"/>
        </w:numPr>
        <w:ind w:left="0" w:firstLine="709"/>
        <w:rPr>
          <w:rFonts w:ascii="Times New Roman" w:eastAsiaTheme="minorEastAsia" w:hAnsi="Times New Roman" w:cs="Times New Roman"/>
          <w:sz w:val="24"/>
          <w:szCs w:val="24"/>
          <w:u w:val="single"/>
        </w:rPr>
      </w:pPr>
      <w:r w:rsidRPr="00992E6F">
        <w:rPr>
          <w:rFonts w:ascii="Times New Roman" w:eastAsiaTheme="minorEastAsia" w:hAnsi="Times New Roman" w:cs="Times New Roman"/>
          <w:sz w:val="24"/>
          <w:szCs w:val="24"/>
          <w:u w:val="single"/>
        </w:rPr>
        <w:t>Проверка гипотез о значимом отличии от нуля полученных значений AAR и CAAR</w:t>
      </w:r>
    </w:p>
    <w:p w14:paraId="3EDCEDE5" w14:textId="6197AC69" w:rsidR="00493D4E" w:rsidRDefault="00992E6F" w:rsidP="00493D4E">
      <w:pPr>
        <w:rPr>
          <w:rFonts w:eastAsiaTheme="minorEastAsia"/>
        </w:rPr>
      </w:pPr>
      <w:r>
        <w:rPr>
          <w:rFonts w:eastAsiaTheme="minorEastAsia"/>
        </w:rPr>
        <w:t>Для проверки значимого отличия от нуля</w:t>
      </w:r>
      <w:r w:rsidR="00FD001F">
        <w:rPr>
          <w:rFonts w:eastAsiaTheme="minorEastAsia"/>
        </w:rPr>
        <w:t xml:space="preserve"> средних</w:t>
      </w:r>
      <w:r w:rsidR="00493D4E">
        <w:rPr>
          <w:rFonts w:eastAsiaTheme="minorEastAsia"/>
        </w:rPr>
        <w:t xml:space="preserve"> сверхдоходностей </w:t>
      </w:r>
      <w:r w:rsidR="00FD001F">
        <w:rPr>
          <w:rFonts w:eastAsiaTheme="minorEastAsia"/>
        </w:rPr>
        <w:t xml:space="preserve">в окне события </w:t>
      </w:r>
      <w:r w:rsidR="00493D4E">
        <w:rPr>
          <w:rFonts w:eastAsiaTheme="minorEastAsia"/>
        </w:rPr>
        <w:t>был</w:t>
      </w:r>
      <w:r w:rsidR="00DA7B2C">
        <w:rPr>
          <w:rFonts w:eastAsiaTheme="minorEastAsia"/>
        </w:rPr>
        <w:t xml:space="preserve">и сформулированы следующие </w:t>
      </w:r>
      <w:r w:rsidR="00493D4E">
        <w:rPr>
          <w:rFonts w:eastAsiaTheme="minorEastAsia"/>
        </w:rPr>
        <w:t>гипотезы:</w:t>
      </w:r>
    </w:p>
    <w:p w14:paraId="3C9F483A" w14:textId="77777777" w:rsidR="00493D4E" w:rsidRPr="00F6493A" w:rsidRDefault="00493D4E" w:rsidP="00493D4E">
      <w:pPr>
        <w:pStyle w:val="af7"/>
        <w:ind w:left="1069"/>
        <w:rPr>
          <w:rFonts w:ascii="Times New Roman" w:hAnsi="Times New Roman" w:cs="Times New Roman"/>
          <w:sz w:val="24"/>
          <w:szCs w:val="24"/>
        </w:rPr>
      </w:pPr>
      <w:r w:rsidRPr="00F6493A">
        <w:rPr>
          <w:rFonts w:ascii="Times New Roman" w:hAnsi="Times New Roman" w:cs="Times New Roman"/>
          <w:sz w:val="24"/>
          <w:szCs w:val="24"/>
        </w:rPr>
        <w:t>Но: Е[</w:t>
      </w:r>
      <w:r>
        <w:rPr>
          <w:rFonts w:ascii="Times New Roman" w:hAnsi="Times New Roman" w:cs="Times New Roman"/>
          <w:sz w:val="24"/>
          <w:szCs w:val="24"/>
          <w:lang w:val="en-US"/>
        </w:rPr>
        <w:t>A</w:t>
      </w:r>
      <w:r w:rsidRPr="00F6493A">
        <w:rPr>
          <w:rFonts w:ascii="Times New Roman" w:hAnsi="Times New Roman" w:cs="Times New Roman"/>
          <w:sz w:val="24"/>
          <w:szCs w:val="24"/>
        </w:rPr>
        <w:t>AR]=0;</w:t>
      </w:r>
    </w:p>
    <w:p w14:paraId="45A2B156" w14:textId="77777777" w:rsidR="00493D4E" w:rsidRDefault="00493D4E" w:rsidP="00493D4E">
      <w:pPr>
        <w:pStyle w:val="af7"/>
        <w:ind w:left="1069"/>
        <w:rPr>
          <w:rFonts w:ascii="Times New Roman" w:hAnsi="Times New Roman" w:cs="Times New Roman"/>
          <w:sz w:val="24"/>
          <w:szCs w:val="24"/>
        </w:rPr>
      </w:pPr>
      <w:r w:rsidRPr="00F6493A">
        <w:rPr>
          <w:rFonts w:ascii="Times New Roman" w:hAnsi="Times New Roman" w:cs="Times New Roman"/>
          <w:sz w:val="24"/>
          <w:szCs w:val="24"/>
        </w:rPr>
        <w:t>Ha: Е[</w:t>
      </w:r>
      <w:r>
        <w:rPr>
          <w:rFonts w:ascii="Times New Roman" w:hAnsi="Times New Roman" w:cs="Times New Roman"/>
          <w:sz w:val="24"/>
          <w:szCs w:val="24"/>
          <w:lang w:val="en-US"/>
        </w:rPr>
        <w:t>A</w:t>
      </w:r>
      <w:r w:rsidRPr="00F6493A">
        <w:rPr>
          <w:rFonts w:ascii="Times New Roman" w:hAnsi="Times New Roman" w:cs="Times New Roman"/>
          <w:sz w:val="24"/>
          <w:szCs w:val="24"/>
        </w:rPr>
        <w:t>AR]</w:t>
      </w:r>
      <w:r w:rsidRPr="00F6493A">
        <w:rPr>
          <w:rFonts w:ascii="Times New Roman" w:hAnsi="Times New Roman" w:cs="Times New Roman"/>
          <w:sz w:val="24"/>
          <w:szCs w:val="24"/>
        </w:rPr>
        <w:sym w:font="Symbol" w:char="F0B9"/>
      </w:r>
      <w:r w:rsidRPr="00F6493A">
        <w:rPr>
          <w:rFonts w:ascii="Times New Roman" w:hAnsi="Times New Roman" w:cs="Times New Roman"/>
          <w:sz w:val="24"/>
          <w:szCs w:val="24"/>
        </w:rPr>
        <w:t>0</w:t>
      </w:r>
    </w:p>
    <w:p w14:paraId="0D7A0909" w14:textId="519512D4" w:rsidR="00493D4E" w:rsidRDefault="00493D4E" w:rsidP="00493D4E">
      <w:pPr>
        <w:pStyle w:val="af7"/>
        <w:ind w:left="1069"/>
        <w:rPr>
          <w:rFonts w:ascii="Times New Roman" w:hAnsi="Times New Roman" w:cs="Times New Roman"/>
          <w:sz w:val="24"/>
          <w:szCs w:val="24"/>
        </w:rPr>
      </w:pPr>
    </w:p>
    <w:p w14:paraId="27AA2303" w14:textId="32D340F7" w:rsidR="00A7509A" w:rsidRDefault="00FD001F" w:rsidP="00A7509A">
      <w:r>
        <w:t>Для проверки гипот</w:t>
      </w:r>
      <w:r w:rsidR="00DA7B2C">
        <w:t>ез</w:t>
      </w:r>
      <w:r>
        <w:t xml:space="preserve"> была</w:t>
      </w:r>
      <w:r w:rsidR="00A7509A">
        <w:t xml:space="preserve"> рассчитана </w:t>
      </w:r>
      <w:r w:rsidR="00A7509A">
        <w:rPr>
          <w:lang w:val="en-US"/>
        </w:rPr>
        <w:t>t</w:t>
      </w:r>
      <w:r w:rsidR="00A7509A" w:rsidRPr="009217DB">
        <w:t>-</w:t>
      </w:r>
      <w:r w:rsidR="00A7509A">
        <w:t>статистика</w:t>
      </w:r>
      <w:r w:rsidR="00A7509A" w:rsidRPr="009217DB">
        <w:t xml:space="preserve"> </w:t>
      </w:r>
      <w:r w:rsidR="00A7509A">
        <w:t xml:space="preserve">для каждого дня </w:t>
      </w:r>
      <w:r w:rsidR="00A7509A">
        <w:rPr>
          <w:lang w:val="en-US"/>
        </w:rPr>
        <w:t>t</w:t>
      </w:r>
      <w:r w:rsidR="00A7509A" w:rsidRPr="009217DB">
        <w:t xml:space="preserve"> </w:t>
      </w:r>
      <w:r w:rsidR="00A7509A">
        <w:t>в окне события:</w:t>
      </w:r>
    </w:p>
    <w:p w14:paraId="450DF3D2" w14:textId="77777777" w:rsidR="00A7509A" w:rsidRPr="00F33506" w:rsidRDefault="00CF4558" w:rsidP="00A7509A">
      <w:pPr>
        <w:ind w:right="2409" w:firstLine="851"/>
        <w:rPr>
          <w:rFonts w:eastAsiaTheme="minorEastAsia"/>
        </w:rPr>
      </w:pPr>
      <m:oMath>
        <m:sSubSup>
          <m:sSubSupPr>
            <m:ctrlPr>
              <w:rPr>
                <w:rFonts w:ascii="Cambria Math" w:eastAsiaTheme="minorEastAsia" w:hAnsi="Cambria Math"/>
                <w:i/>
              </w:rPr>
            </m:ctrlPr>
          </m:sSubSupPr>
          <m:e>
            <m:r>
              <w:rPr>
                <w:rFonts w:ascii="Cambria Math" w:eastAsiaTheme="minorEastAsia" w:hAnsi="Cambria Math"/>
              </w:rPr>
              <m:t>t</m:t>
            </m:r>
          </m:e>
          <m:sub>
            <m:r>
              <w:rPr>
                <w:rFonts w:ascii="Cambria Math" w:eastAsiaTheme="minorEastAsia" w:hAnsi="Cambria Math"/>
              </w:rPr>
              <m:t>T</m:t>
            </m:r>
          </m:sub>
          <m:sup>
            <m:r>
              <w:rPr>
                <w:rFonts w:ascii="Cambria Math" w:eastAsiaTheme="minorEastAsia" w:hAnsi="Cambria Math"/>
              </w:rPr>
              <m:t>*</m:t>
            </m:r>
          </m:sup>
        </m:sSubSup>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N</m:t>
            </m:r>
          </m:e>
        </m:rad>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AAR</m:t>
                </m:r>
              </m:e>
              <m:sub>
                <m:r>
                  <w:rPr>
                    <w:rFonts w:ascii="Cambria Math" w:eastAsiaTheme="minorEastAsia" w:hAnsi="Cambria Math"/>
                  </w:rPr>
                  <m:t>T</m:t>
                </m:r>
              </m:sub>
            </m:sSub>
          </m:num>
          <m:den>
            <m:sSub>
              <m:sSubPr>
                <m:ctrlPr>
                  <w:rPr>
                    <w:rFonts w:ascii="Cambria Math" w:eastAsiaTheme="minorEastAsia" w:hAnsi="Cambria Math"/>
                    <w:i/>
                  </w:rPr>
                </m:ctrlPr>
              </m:sSubPr>
              <m:e>
                <m:r>
                  <w:rPr>
                    <w:rFonts w:ascii="Cambria Math" w:eastAsiaTheme="minorEastAsia" w:hAnsi="Cambria Math"/>
                  </w:rPr>
                  <m:t>SE</m:t>
                </m:r>
              </m:e>
              <m:sub>
                <m:r>
                  <w:rPr>
                    <w:rFonts w:ascii="Cambria Math" w:eastAsiaTheme="minorEastAsia" w:hAnsi="Cambria Math"/>
                  </w:rPr>
                  <m:t>AAR</m:t>
                </m:r>
              </m:sub>
            </m:sSub>
          </m:den>
        </m:f>
      </m:oMath>
      <w:r w:rsidR="00A7509A">
        <w:rPr>
          <w:rFonts w:eastAsiaTheme="minorEastAsia"/>
        </w:rPr>
        <w:t>,</w:t>
      </w:r>
    </w:p>
    <w:p w14:paraId="4E42EE03" w14:textId="77777777" w:rsidR="00E6226E" w:rsidRDefault="00A7509A" w:rsidP="00A7509A">
      <w:pPr>
        <w:ind w:right="2409" w:firstLine="851"/>
        <w:rPr>
          <w:rFonts w:eastAsiaTheme="minorEastAsia"/>
        </w:rPr>
      </w:pPr>
      <w:r>
        <w:rPr>
          <w:rFonts w:eastAsiaTheme="minorEastAsia"/>
        </w:rPr>
        <w:t xml:space="preserve">где </w:t>
      </w:r>
    </w:p>
    <w:p w14:paraId="434F8EF0" w14:textId="59B34AA1" w:rsidR="00A7509A" w:rsidRPr="009217DB" w:rsidRDefault="00CF4558" w:rsidP="00E6226E">
      <w:pPr>
        <w:ind w:left="426" w:right="2409" w:firstLine="425"/>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SE</m:t>
              </m:r>
            </m:e>
            <m:sub>
              <m:r>
                <w:rPr>
                  <w:rFonts w:ascii="Cambria Math" w:eastAsiaTheme="minorEastAsia" w:hAnsi="Cambria Math"/>
                </w:rPr>
                <m:t>AAR</m:t>
              </m:r>
            </m:sub>
          </m:sSub>
          <m:r>
            <w:rPr>
              <w:rFonts w:ascii="Cambria Math" w:eastAsiaTheme="minorEastAsia" w:hAnsi="Cambria Math"/>
            </w:rPr>
            <m:t xml:space="preserve">=выборочное стандартное отклонение </m:t>
          </m:r>
          <m:r>
            <w:rPr>
              <w:rFonts w:ascii="Cambria Math" w:eastAsiaTheme="minorEastAsia" w:hAnsi="Cambria Math"/>
              <w:lang w:val="en-US"/>
            </w:rPr>
            <m:t>AAR</m:t>
          </m:r>
          <m:r>
            <w:rPr>
              <w:rFonts w:ascii="Cambria Math" w:eastAsiaTheme="minorEastAsia" w:hAnsi="Cambria Math"/>
            </w:rPr>
            <m:t xml:space="preserve"> </m:t>
          </m:r>
        </m:oMath>
      </m:oMathPara>
    </w:p>
    <w:p w14:paraId="5F004028" w14:textId="77777777" w:rsidR="00A7509A" w:rsidRDefault="00A7509A" w:rsidP="00493D4E">
      <w:pPr>
        <w:pStyle w:val="af7"/>
        <w:ind w:left="1069"/>
        <w:rPr>
          <w:rFonts w:ascii="Times New Roman" w:hAnsi="Times New Roman" w:cs="Times New Roman"/>
          <w:sz w:val="24"/>
          <w:szCs w:val="24"/>
        </w:rPr>
      </w:pPr>
    </w:p>
    <w:p w14:paraId="1DB95B1D" w14:textId="5D8EF201" w:rsidR="00493D4E" w:rsidRDefault="00493D4E" w:rsidP="00493D4E">
      <w:r>
        <w:t>Аналогично</w:t>
      </w:r>
      <w:r w:rsidR="00494977">
        <w:t xml:space="preserve"> были сформулированы</w:t>
      </w:r>
      <w:r>
        <w:t xml:space="preserve"> гипотезы </w:t>
      </w:r>
      <w:r w:rsidR="00494977">
        <w:t xml:space="preserve">о значимом отличии от нуля </w:t>
      </w:r>
      <w:r>
        <w:t>значения нак</w:t>
      </w:r>
      <w:r w:rsidR="00494977">
        <w:t>оп</w:t>
      </w:r>
      <w:r>
        <w:t xml:space="preserve">ленной </w:t>
      </w:r>
      <w:r w:rsidR="00FD001F">
        <w:t xml:space="preserve">средней </w:t>
      </w:r>
      <w:r>
        <w:t>сверхдоходности</w:t>
      </w:r>
      <w:r w:rsidR="00A7509A">
        <w:t xml:space="preserve"> в последний день </w:t>
      </w:r>
      <w:r w:rsidR="00E6226E">
        <w:t>в окне события</w:t>
      </w:r>
      <w:r w:rsidR="00A7509A">
        <w:t xml:space="preserve"> (</w:t>
      </w:r>
      <w:r w:rsidR="00A7509A">
        <w:rPr>
          <w:lang w:val="en-US"/>
        </w:rPr>
        <w:t>t=10)</w:t>
      </w:r>
      <w:r>
        <w:t>:</w:t>
      </w:r>
    </w:p>
    <w:p w14:paraId="6AE92DE4" w14:textId="77777777" w:rsidR="00493D4E" w:rsidRPr="00F6493A" w:rsidRDefault="00493D4E" w:rsidP="00493D4E">
      <w:pPr>
        <w:pStyle w:val="af7"/>
        <w:ind w:left="1069"/>
        <w:rPr>
          <w:rFonts w:ascii="Times New Roman" w:hAnsi="Times New Roman" w:cs="Times New Roman"/>
          <w:sz w:val="24"/>
          <w:szCs w:val="24"/>
        </w:rPr>
      </w:pPr>
      <w:r w:rsidRPr="00F6493A">
        <w:rPr>
          <w:rFonts w:ascii="Times New Roman" w:hAnsi="Times New Roman" w:cs="Times New Roman"/>
          <w:sz w:val="24"/>
          <w:szCs w:val="24"/>
        </w:rPr>
        <w:t>Но: Е[C</w:t>
      </w:r>
      <w:r>
        <w:rPr>
          <w:rFonts w:ascii="Times New Roman" w:hAnsi="Times New Roman" w:cs="Times New Roman"/>
          <w:sz w:val="24"/>
          <w:szCs w:val="24"/>
          <w:lang w:val="en-US"/>
        </w:rPr>
        <w:t>A</w:t>
      </w:r>
      <w:r w:rsidRPr="00F6493A">
        <w:rPr>
          <w:rFonts w:ascii="Times New Roman" w:hAnsi="Times New Roman" w:cs="Times New Roman"/>
          <w:sz w:val="24"/>
          <w:szCs w:val="24"/>
        </w:rPr>
        <w:t>AR]=0</w:t>
      </w:r>
    </w:p>
    <w:p w14:paraId="0E92732D" w14:textId="77777777" w:rsidR="00493D4E" w:rsidRPr="00F6493A" w:rsidRDefault="00493D4E" w:rsidP="00493D4E">
      <w:pPr>
        <w:pStyle w:val="af7"/>
        <w:ind w:left="1069"/>
        <w:rPr>
          <w:rFonts w:ascii="Times New Roman" w:hAnsi="Times New Roman" w:cs="Times New Roman"/>
          <w:sz w:val="24"/>
          <w:szCs w:val="24"/>
        </w:rPr>
      </w:pPr>
      <w:r w:rsidRPr="00F6493A">
        <w:rPr>
          <w:rFonts w:ascii="Times New Roman" w:hAnsi="Times New Roman" w:cs="Times New Roman"/>
          <w:sz w:val="24"/>
          <w:szCs w:val="24"/>
        </w:rPr>
        <w:t>Ha: Е[C</w:t>
      </w:r>
      <w:r>
        <w:rPr>
          <w:rFonts w:ascii="Times New Roman" w:hAnsi="Times New Roman" w:cs="Times New Roman"/>
          <w:sz w:val="24"/>
          <w:szCs w:val="24"/>
          <w:lang w:val="en-US"/>
        </w:rPr>
        <w:t>A</w:t>
      </w:r>
      <w:r w:rsidRPr="00F6493A">
        <w:rPr>
          <w:rFonts w:ascii="Times New Roman" w:hAnsi="Times New Roman" w:cs="Times New Roman"/>
          <w:sz w:val="24"/>
          <w:szCs w:val="24"/>
        </w:rPr>
        <w:t>AR]</w:t>
      </w:r>
      <w:r w:rsidRPr="00F6493A">
        <w:rPr>
          <w:rFonts w:ascii="Times New Roman" w:hAnsi="Times New Roman" w:cs="Times New Roman"/>
          <w:sz w:val="24"/>
          <w:szCs w:val="24"/>
        </w:rPr>
        <w:sym w:font="Symbol" w:char="F0B9"/>
      </w:r>
      <w:r w:rsidRPr="00F6493A">
        <w:rPr>
          <w:rFonts w:ascii="Times New Roman" w:hAnsi="Times New Roman" w:cs="Times New Roman"/>
          <w:sz w:val="24"/>
          <w:szCs w:val="24"/>
        </w:rPr>
        <w:t>0</w:t>
      </w:r>
    </w:p>
    <w:p w14:paraId="714CA79C" w14:textId="77777777" w:rsidR="00493D4E" w:rsidRPr="00AF008C" w:rsidRDefault="00493D4E" w:rsidP="00493D4E">
      <w:pPr>
        <w:ind w:right="2409" w:firstLine="851"/>
        <w:rPr>
          <w:rFonts w:eastAsiaTheme="minorEastAsia"/>
        </w:rPr>
      </w:pPr>
    </w:p>
    <w:p w14:paraId="24C6F134" w14:textId="0A1E39EF" w:rsidR="00493D4E" w:rsidRPr="00FD001F" w:rsidRDefault="00FD001F" w:rsidP="00DA7B2C">
      <w:r>
        <w:t xml:space="preserve">Для проверки гипотезы </w:t>
      </w:r>
      <w:r w:rsidR="00DA7B2C">
        <w:t xml:space="preserve">так же </w:t>
      </w:r>
      <w:r>
        <w:t xml:space="preserve">была рассчитана </w:t>
      </w:r>
      <w:r>
        <w:rPr>
          <w:lang w:val="en-US"/>
        </w:rPr>
        <w:t>t-</w:t>
      </w:r>
      <w:r>
        <w:t>статистика:</w:t>
      </w:r>
    </w:p>
    <w:p w14:paraId="7F201029" w14:textId="01FB60E8" w:rsidR="00493D4E" w:rsidRDefault="00CF4558" w:rsidP="00493D4E">
      <w:pPr>
        <w:ind w:right="2409" w:firstLine="851"/>
        <w:rPr>
          <w:rFonts w:eastAsiaTheme="minorEastAsia"/>
        </w:rPr>
      </w:pPr>
      <m:oMath>
        <m:sSubSup>
          <m:sSubSupPr>
            <m:ctrlPr>
              <w:rPr>
                <w:rFonts w:ascii="Cambria Math" w:eastAsiaTheme="minorEastAsia" w:hAnsi="Cambria Math"/>
                <w:i/>
              </w:rPr>
            </m:ctrlPr>
          </m:sSubSupPr>
          <m:e>
            <m:r>
              <w:rPr>
                <w:rFonts w:ascii="Cambria Math" w:eastAsiaTheme="minorEastAsia" w:hAnsi="Cambria Math"/>
              </w:rPr>
              <m:t>t</m:t>
            </m:r>
          </m:e>
          <m:sub>
            <m:r>
              <w:rPr>
                <w:rFonts w:ascii="Cambria Math" w:eastAsiaTheme="minorEastAsia" w:hAnsi="Cambria Math"/>
              </w:rPr>
              <m:t>T</m:t>
            </m:r>
          </m:sub>
          <m:sup>
            <m:r>
              <w:rPr>
                <w:rFonts w:ascii="Cambria Math" w:eastAsiaTheme="minorEastAsia" w:hAnsi="Cambria Math"/>
              </w:rPr>
              <m:t>*</m:t>
            </m:r>
          </m:sup>
        </m:sSubSup>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N</m:t>
            </m:r>
          </m:e>
        </m:rad>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lang w:val="en-US"/>
                  </w:rPr>
                  <m:t>C</m:t>
                </m:r>
                <m:r>
                  <w:rPr>
                    <w:rFonts w:ascii="Cambria Math" w:eastAsiaTheme="minorEastAsia" w:hAnsi="Cambria Math"/>
                  </w:rPr>
                  <m:t>AAR</m:t>
                </m:r>
              </m:e>
              <m:sub>
                <m:r>
                  <w:rPr>
                    <w:rFonts w:ascii="Cambria Math" w:eastAsiaTheme="minorEastAsia" w:hAnsi="Cambria Math"/>
                  </w:rPr>
                  <m:t>T</m:t>
                </m:r>
              </m:sub>
            </m:sSub>
          </m:num>
          <m:den>
            <m:sSub>
              <m:sSubPr>
                <m:ctrlPr>
                  <w:rPr>
                    <w:rFonts w:ascii="Cambria Math" w:eastAsiaTheme="minorEastAsia" w:hAnsi="Cambria Math"/>
                    <w:i/>
                  </w:rPr>
                </m:ctrlPr>
              </m:sSubPr>
              <m:e>
                <m:r>
                  <w:rPr>
                    <w:rFonts w:ascii="Cambria Math" w:eastAsiaTheme="minorEastAsia" w:hAnsi="Cambria Math"/>
                  </w:rPr>
                  <m:t>SE</m:t>
                </m:r>
              </m:e>
              <m:sub>
                <m:r>
                  <w:rPr>
                    <w:rFonts w:ascii="Cambria Math" w:eastAsiaTheme="minorEastAsia" w:hAnsi="Cambria Math"/>
                  </w:rPr>
                  <m:t>CAAR</m:t>
                </m:r>
              </m:sub>
            </m:sSub>
          </m:den>
        </m:f>
      </m:oMath>
      <w:r w:rsidR="00493D4E">
        <w:rPr>
          <w:rFonts w:eastAsiaTheme="minorEastAsia"/>
        </w:rPr>
        <w:t>,</w:t>
      </w:r>
    </w:p>
    <w:p w14:paraId="0C18DE8C" w14:textId="77777777" w:rsidR="00493D4E" w:rsidRPr="009217DB" w:rsidRDefault="00493D4E" w:rsidP="00FD001F">
      <w:r>
        <w:t>где</w:t>
      </w:r>
      <m:oMath>
        <m:r>
          <m:rPr>
            <m:sty m:val="p"/>
          </m:rPr>
          <w:rPr>
            <w:rFonts w:ascii="Cambria Math" w:hAnsi="Cambria Math"/>
          </w:rPr>
          <m:t xml:space="preserve"> </m:t>
        </m:r>
        <m:sSub>
          <m:sSubPr>
            <m:ctrlPr>
              <w:rPr>
                <w:rFonts w:ascii="Cambria Math" w:hAnsi="Cambria Math"/>
              </w:rPr>
            </m:ctrlPr>
          </m:sSubPr>
          <m:e>
            <m:r>
              <w:rPr>
                <w:rFonts w:ascii="Cambria Math" w:hAnsi="Cambria Math"/>
              </w:rPr>
              <m:t>SE</m:t>
            </m:r>
          </m:e>
          <m:sub>
            <m:r>
              <w:rPr>
                <w:rFonts w:ascii="Cambria Math" w:hAnsi="Cambria Math"/>
              </w:rPr>
              <m:t>CAAR</m:t>
            </m:r>
          </m:sub>
        </m:sSub>
        <m:r>
          <m:rPr>
            <m:sty m:val="p"/>
          </m:rPr>
          <w:rPr>
            <w:rFonts w:ascii="Cambria Math" w:hAnsi="Cambria Math"/>
          </w:rPr>
          <m:t xml:space="preserve">=выборочное стандартное отклонение </m:t>
        </m:r>
        <m:r>
          <w:rPr>
            <w:rFonts w:ascii="Cambria Math" w:hAnsi="Cambria Math"/>
          </w:rPr>
          <m:t>C</m:t>
        </m:r>
        <m:r>
          <w:rPr>
            <w:rFonts w:ascii="Cambria Math" w:hAnsi="Cambria Math"/>
            <w:lang w:val="en-US"/>
          </w:rPr>
          <m:t>AAR</m:t>
        </m:r>
      </m:oMath>
      <w:r>
        <w:t xml:space="preserve"> </w:t>
      </w:r>
    </w:p>
    <w:p w14:paraId="09694E56" w14:textId="77777777" w:rsidR="00B5510B" w:rsidRDefault="00B5510B" w:rsidP="00493D4E">
      <w:pPr>
        <w:rPr>
          <w:rFonts w:eastAsiaTheme="minorEastAsia"/>
        </w:rPr>
      </w:pPr>
    </w:p>
    <w:p w14:paraId="47D1FD44" w14:textId="298092E3" w:rsidR="00B5510B" w:rsidRDefault="00B5510B" w:rsidP="00493D4E">
      <w:pPr>
        <w:rPr>
          <w:rFonts w:eastAsiaTheme="minorEastAsia"/>
        </w:rPr>
      </w:pPr>
      <w:r>
        <w:rPr>
          <w:rFonts w:eastAsiaTheme="minorEastAsia"/>
        </w:rPr>
        <w:t xml:space="preserve">Критические границы были найдены с помощью таблиц распределения Стьюдента </w:t>
      </w:r>
      <w:r>
        <w:t>по заданному уровню значимости 1-α и (n -1) степени свободы.</w:t>
      </w:r>
    </w:p>
    <w:p w14:paraId="7442B127" w14:textId="51710598" w:rsidR="00493D4E" w:rsidRDefault="00B5510B" w:rsidP="00B5510B">
      <w:r>
        <w:t>Если выполня</w:t>
      </w:r>
      <w:r w:rsidR="00FD001F">
        <w:t>лось</w:t>
      </w:r>
      <w:r>
        <w:t xml:space="preserve"> неравенство, к1 &lt; </w:t>
      </w:r>
      <m:oMath>
        <m:sSubSup>
          <m:sSubSupPr>
            <m:ctrlPr>
              <w:rPr>
                <w:rFonts w:ascii="Cambria Math" w:eastAsiaTheme="minorEastAsia" w:hAnsi="Cambria Math"/>
                <w:i/>
              </w:rPr>
            </m:ctrlPr>
          </m:sSubSupPr>
          <m:e>
            <m:r>
              <w:rPr>
                <w:rFonts w:ascii="Cambria Math" w:eastAsiaTheme="minorEastAsia" w:hAnsi="Cambria Math"/>
              </w:rPr>
              <m:t>t</m:t>
            </m:r>
          </m:e>
          <m:sub>
            <m:r>
              <w:rPr>
                <w:rFonts w:ascii="Cambria Math" w:eastAsiaTheme="minorEastAsia" w:hAnsi="Cambria Math"/>
              </w:rPr>
              <m:t>T</m:t>
            </m:r>
          </m:sub>
          <m:sup>
            <m:r>
              <w:rPr>
                <w:rFonts w:ascii="Cambria Math" w:eastAsiaTheme="minorEastAsia" w:hAnsi="Cambria Math"/>
              </w:rPr>
              <m:t>*</m:t>
            </m:r>
          </m:sup>
        </m:sSubSup>
      </m:oMath>
      <w:r>
        <w:t xml:space="preserve"> </w:t>
      </w:r>
      <w:proofErr w:type="gramStart"/>
      <w:r>
        <w:t>&lt; к</w:t>
      </w:r>
      <w:proofErr w:type="gramEnd"/>
      <w:r>
        <w:t>2 , то приним</w:t>
      </w:r>
      <w:r w:rsidR="00FD001F">
        <w:t xml:space="preserve">алась </w:t>
      </w:r>
      <w:r>
        <w:t>основн</w:t>
      </w:r>
      <w:r w:rsidR="00FD001F">
        <w:t>ая</w:t>
      </w:r>
      <w:r>
        <w:t xml:space="preserve"> гипотез</w:t>
      </w:r>
      <w:r w:rsidR="00FD001F">
        <w:t>а</w:t>
      </w:r>
      <w:r>
        <w:t xml:space="preserve">, </w:t>
      </w:r>
      <w:r w:rsidR="00FD001F">
        <w:t>в противном случае</w:t>
      </w:r>
      <w:r>
        <w:t xml:space="preserve"> основная гипотеза отклон</w:t>
      </w:r>
      <w:r w:rsidR="00FD001F">
        <w:t>ялась</w:t>
      </w:r>
      <w:r>
        <w:t>, и принима</w:t>
      </w:r>
      <w:r w:rsidR="00FD001F">
        <w:t>лась</w:t>
      </w:r>
      <w:r>
        <w:t xml:space="preserve"> альтернативная гипотеза о том, что избыточная доходность значимо отличается от нуля. </w:t>
      </w:r>
    </w:p>
    <w:p w14:paraId="4CFED43E" w14:textId="5974AF3A" w:rsidR="003E2B05" w:rsidRDefault="003E2B05" w:rsidP="003E2B05"/>
    <w:p w14:paraId="5DA1E1A7" w14:textId="43FB1733" w:rsidR="00493D4E" w:rsidRPr="00493D4E" w:rsidRDefault="00493D4E" w:rsidP="00493D4E">
      <w:pPr>
        <w:pStyle w:val="2"/>
      </w:pPr>
      <w:bookmarkStart w:id="35" w:name="_Toc104840366"/>
      <w:r w:rsidRPr="00493D4E">
        <w:t>3.2 Описание переменных для регрессионной модели</w:t>
      </w:r>
      <w:bookmarkEnd w:id="35"/>
    </w:p>
    <w:p w14:paraId="265ABBA1" w14:textId="77777777" w:rsidR="00493D4E" w:rsidRPr="004947D6" w:rsidRDefault="00493D4E" w:rsidP="00493D4E">
      <w:pPr>
        <w:rPr>
          <w:rFonts w:eastAsiaTheme="minorEastAsia"/>
        </w:rPr>
      </w:pPr>
    </w:p>
    <w:p w14:paraId="01DCE1EA" w14:textId="77777777" w:rsidR="00493D4E" w:rsidRPr="00AA6B2D" w:rsidRDefault="00493D4E" w:rsidP="00493D4E">
      <w:r>
        <w:t xml:space="preserve">В главе 2 были сформулированы гипотезы касательно взаимосвязей реакции рынка на ддивидендные сюрпризы с различными харакетристиками компаний, а также состоянием рынка накануне объявления. </w:t>
      </w:r>
      <w:r w:rsidRPr="009E6E5A">
        <w:t>За анализируемый период</w:t>
      </w:r>
      <w:r>
        <w:t xml:space="preserve"> 2016–2019 гг.</w:t>
      </w:r>
      <w:r w:rsidRPr="009E6E5A">
        <w:t xml:space="preserve"> были собраны </w:t>
      </w:r>
      <w:r>
        <w:t xml:space="preserve">соответствующие </w:t>
      </w:r>
      <w:r w:rsidRPr="009E6E5A">
        <w:t>показатели по каждо</w:t>
      </w:r>
      <w:r>
        <w:t>му фактору</w:t>
      </w:r>
      <w:r w:rsidRPr="009E6E5A">
        <w:t>, отраженные в Таблице 1.</w:t>
      </w:r>
      <w:r>
        <w:t xml:space="preserve"> Индекс (</w:t>
      </w:r>
      <w:r>
        <w:rPr>
          <w:lang w:val="en-US"/>
        </w:rPr>
        <w:t>t</w:t>
      </w:r>
      <w:r w:rsidRPr="009217DB">
        <w:t xml:space="preserve">-1) </w:t>
      </w:r>
      <w:r>
        <w:t>означает, что данные брались на конец года, предшествующего году объявления дивиденда.</w:t>
      </w:r>
    </w:p>
    <w:p w14:paraId="285DAFBD" w14:textId="77777777" w:rsidR="00927CD4" w:rsidRDefault="00927CD4" w:rsidP="00927CD4">
      <w:pPr>
        <w:pStyle w:val="a"/>
      </w:pPr>
      <w:r>
        <w:t>Описание основных переменных регрессионной модели</w:t>
      </w:r>
    </w:p>
    <w:tbl>
      <w:tblPr>
        <w:tblStyle w:val="ad"/>
        <w:tblW w:w="0" w:type="auto"/>
        <w:tblLook w:val="04A0" w:firstRow="1" w:lastRow="0" w:firstColumn="1" w:lastColumn="0" w:noHBand="0" w:noVBand="1"/>
      </w:tblPr>
      <w:tblGrid>
        <w:gridCol w:w="4672"/>
        <w:gridCol w:w="4673"/>
      </w:tblGrid>
      <w:tr w:rsidR="00927CD4" w14:paraId="01FF8772" w14:textId="77777777" w:rsidTr="00CA7536">
        <w:tc>
          <w:tcPr>
            <w:tcW w:w="9345" w:type="dxa"/>
            <w:gridSpan w:val="2"/>
            <w:shd w:val="clear" w:color="auto" w:fill="FBD4B4" w:themeFill="accent6" w:themeFillTint="66"/>
          </w:tcPr>
          <w:p w14:paraId="2D2BBD07" w14:textId="77777777" w:rsidR="00927CD4" w:rsidRPr="0081767E" w:rsidRDefault="00927CD4" w:rsidP="00CA7536">
            <w:pPr>
              <w:pStyle w:val="ac"/>
              <w:rPr>
                <w:szCs w:val="24"/>
              </w:rPr>
            </w:pPr>
            <w:r w:rsidRPr="0081767E">
              <w:rPr>
                <w:szCs w:val="24"/>
              </w:rPr>
              <w:t>Зависимая переменная</w:t>
            </w:r>
          </w:p>
        </w:tc>
      </w:tr>
      <w:tr w:rsidR="00927CD4" w14:paraId="705C7A05" w14:textId="77777777" w:rsidTr="00CA7536">
        <w:tc>
          <w:tcPr>
            <w:tcW w:w="4672" w:type="dxa"/>
          </w:tcPr>
          <w:p w14:paraId="42FBC1FB" w14:textId="77777777" w:rsidR="00927CD4" w:rsidRPr="0081767E" w:rsidRDefault="00927CD4" w:rsidP="00CA7536">
            <w:pPr>
              <w:pStyle w:val="ae"/>
              <w:rPr>
                <w:sz w:val="22"/>
                <w:lang w:val="en-US"/>
              </w:rPr>
            </w:pPr>
            <w:r>
              <w:rPr>
                <w:sz w:val="22"/>
                <w:lang w:val="en-US"/>
              </w:rPr>
              <w:t>CAR</w:t>
            </w:r>
          </w:p>
        </w:tc>
        <w:tc>
          <w:tcPr>
            <w:tcW w:w="4673" w:type="dxa"/>
          </w:tcPr>
          <w:p w14:paraId="4F4DA269" w14:textId="77777777" w:rsidR="00927CD4" w:rsidRPr="00B76EE2" w:rsidRDefault="00927CD4" w:rsidP="00CA7536">
            <w:pPr>
              <w:pStyle w:val="ae"/>
              <w:rPr>
                <w:sz w:val="22"/>
              </w:rPr>
            </w:pPr>
            <w:r>
              <w:rPr>
                <w:sz w:val="22"/>
              </w:rPr>
              <w:t xml:space="preserve">Значение накопленной избыточной доходности для </w:t>
            </w:r>
            <w:r>
              <w:rPr>
                <w:sz w:val="22"/>
                <w:lang w:val="en-US"/>
              </w:rPr>
              <w:t xml:space="preserve">t=10 </w:t>
            </w:r>
            <w:r>
              <w:rPr>
                <w:sz w:val="22"/>
              </w:rPr>
              <w:t>относительно дня события</w:t>
            </w:r>
          </w:p>
        </w:tc>
      </w:tr>
      <w:tr w:rsidR="00927CD4" w14:paraId="7EF4F314" w14:textId="77777777" w:rsidTr="00CA7536">
        <w:tc>
          <w:tcPr>
            <w:tcW w:w="9345" w:type="dxa"/>
            <w:gridSpan w:val="2"/>
            <w:shd w:val="clear" w:color="auto" w:fill="FBD4B4" w:themeFill="accent6" w:themeFillTint="66"/>
          </w:tcPr>
          <w:p w14:paraId="26C216E4" w14:textId="77777777" w:rsidR="00927CD4" w:rsidRPr="0081767E" w:rsidRDefault="00927CD4" w:rsidP="00CA7536">
            <w:pPr>
              <w:pStyle w:val="ac"/>
              <w:rPr>
                <w:szCs w:val="24"/>
              </w:rPr>
            </w:pPr>
            <w:r>
              <w:rPr>
                <w:szCs w:val="24"/>
              </w:rPr>
              <w:t>Независимые п</w:t>
            </w:r>
            <w:r w:rsidRPr="0081767E">
              <w:rPr>
                <w:szCs w:val="24"/>
              </w:rPr>
              <w:t>еременные</w:t>
            </w:r>
            <w:r>
              <w:rPr>
                <w:szCs w:val="24"/>
              </w:rPr>
              <w:t>, характеризующие компанию</w:t>
            </w:r>
          </w:p>
        </w:tc>
      </w:tr>
      <w:tr w:rsidR="00927CD4" w14:paraId="44017682" w14:textId="77777777" w:rsidTr="00CA7536">
        <w:tc>
          <w:tcPr>
            <w:tcW w:w="4672" w:type="dxa"/>
          </w:tcPr>
          <w:p w14:paraId="161E46B2" w14:textId="77777777" w:rsidR="00927CD4" w:rsidRPr="00F61CE3" w:rsidRDefault="00927CD4" w:rsidP="00CA7536">
            <w:pPr>
              <w:pStyle w:val="ae"/>
              <w:rPr>
                <w:sz w:val="22"/>
                <w:lang w:val="en-US"/>
              </w:rPr>
            </w:pPr>
            <w:r>
              <w:rPr>
                <w:sz w:val="22"/>
                <w:lang w:val="en-US"/>
              </w:rPr>
              <w:t>Large</w:t>
            </w:r>
          </w:p>
        </w:tc>
        <w:tc>
          <w:tcPr>
            <w:tcW w:w="4673" w:type="dxa"/>
          </w:tcPr>
          <w:p w14:paraId="228ADB08" w14:textId="73375195" w:rsidR="00927CD4" w:rsidRPr="0081767E" w:rsidRDefault="00927CD4" w:rsidP="00CA7536">
            <w:pPr>
              <w:pStyle w:val="ae"/>
              <w:rPr>
                <w:sz w:val="22"/>
              </w:rPr>
            </w:pPr>
            <w:r>
              <w:rPr>
                <w:sz w:val="22"/>
              </w:rPr>
              <w:t xml:space="preserve">Бинарная переменная, принимающая значение 1, если рыночная капитализация компании входит в 4 квартиль по всей выборке, </w:t>
            </w:r>
            <w:proofErr w:type="gramStart"/>
            <w:r>
              <w:rPr>
                <w:sz w:val="22"/>
              </w:rPr>
              <w:t>т.е.</w:t>
            </w:r>
            <w:proofErr w:type="gramEnd"/>
            <w:r>
              <w:rPr>
                <w:sz w:val="22"/>
              </w:rPr>
              <w:t xml:space="preserve"> компания входит в четверть самых крупных компаний в выборке</w:t>
            </w:r>
          </w:p>
        </w:tc>
      </w:tr>
      <w:tr w:rsidR="00927CD4" w14:paraId="5727C98E" w14:textId="77777777" w:rsidTr="00CA7536">
        <w:tc>
          <w:tcPr>
            <w:tcW w:w="4672" w:type="dxa"/>
          </w:tcPr>
          <w:p w14:paraId="072C2056" w14:textId="77777777" w:rsidR="00927CD4" w:rsidRPr="005B0054" w:rsidRDefault="00927CD4" w:rsidP="00CA7536">
            <w:pPr>
              <w:pStyle w:val="ae"/>
              <w:rPr>
                <w:sz w:val="22"/>
                <w:lang w:val="en-US"/>
              </w:rPr>
            </w:pPr>
            <w:r>
              <w:rPr>
                <w:sz w:val="22"/>
                <w:lang w:val="en-US"/>
              </w:rPr>
              <w:t>Small</w:t>
            </w:r>
          </w:p>
        </w:tc>
        <w:tc>
          <w:tcPr>
            <w:tcW w:w="4673" w:type="dxa"/>
          </w:tcPr>
          <w:p w14:paraId="42E1452E" w14:textId="4A5F3A1D" w:rsidR="00927CD4" w:rsidRPr="0081767E" w:rsidRDefault="00927CD4" w:rsidP="00CA7536">
            <w:pPr>
              <w:pStyle w:val="ae"/>
              <w:rPr>
                <w:sz w:val="22"/>
              </w:rPr>
            </w:pPr>
            <w:r>
              <w:rPr>
                <w:sz w:val="22"/>
              </w:rPr>
              <w:t xml:space="preserve">Бинарная переменная, принимающая значение 1, если рыночная капитализация </w:t>
            </w:r>
            <w:proofErr w:type="gramStart"/>
            <w:r>
              <w:rPr>
                <w:sz w:val="22"/>
              </w:rPr>
              <w:t>компании  входит</w:t>
            </w:r>
            <w:proofErr w:type="gramEnd"/>
            <w:r>
              <w:rPr>
                <w:sz w:val="22"/>
              </w:rPr>
              <w:t xml:space="preserve"> в 1 квартиль по всей выборке, т.е. компания входит в четверть самых небольших компаний в выборке</w:t>
            </w:r>
          </w:p>
        </w:tc>
      </w:tr>
      <w:tr w:rsidR="00927CD4" w14:paraId="49786122" w14:textId="77777777" w:rsidTr="00CA7536">
        <w:tc>
          <w:tcPr>
            <w:tcW w:w="4672" w:type="dxa"/>
          </w:tcPr>
          <w:p w14:paraId="2C6C303E" w14:textId="77777777" w:rsidR="00927CD4" w:rsidRDefault="00927CD4" w:rsidP="00CA7536">
            <w:pPr>
              <w:pStyle w:val="ae"/>
              <w:rPr>
                <w:sz w:val="22"/>
                <w:lang w:val="en-US"/>
              </w:rPr>
            </w:pPr>
            <w:r>
              <w:rPr>
                <w:sz w:val="22"/>
                <w:lang w:val="en-US"/>
              </w:rPr>
              <w:t>Medium</w:t>
            </w:r>
          </w:p>
        </w:tc>
        <w:tc>
          <w:tcPr>
            <w:tcW w:w="4673" w:type="dxa"/>
          </w:tcPr>
          <w:p w14:paraId="4D838454" w14:textId="616C99C1" w:rsidR="00927CD4" w:rsidRDefault="00927CD4" w:rsidP="00CA7536">
            <w:pPr>
              <w:pStyle w:val="ae"/>
              <w:rPr>
                <w:sz w:val="22"/>
              </w:rPr>
            </w:pPr>
            <w:r>
              <w:rPr>
                <w:sz w:val="22"/>
              </w:rPr>
              <w:t>Бинарная переменная, принимающая значение 1, если рыночная капитализация компании входит во 2 и 3 квартили по всей выборке</w:t>
            </w:r>
          </w:p>
        </w:tc>
      </w:tr>
      <w:tr w:rsidR="00927CD4" w14:paraId="73307445" w14:textId="77777777" w:rsidTr="00CA7536">
        <w:tc>
          <w:tcPr>
            <w:tcW w:w="4672" w:type="dxa"/>
          </w:tcPr>
          <w:p w14:paraId="2A332E4B" w14:textId="77777777" w:rsidR="00927CD4" w:rsidRPr="00F61CE3" w:rsidRDefault="00927CD4" w:rsidP="00CA7536">
            <w:pPr>
              <w:pStyle w:val="ae"/>
              <w:rPr>
                <w:sz w:val="22"/>
                <w:lang w:val="en-US"/>
              </w:rPr>
            </w:pPr>
            <w:r>
              <w:rPr>
                <w:sz w:val="22"/>
                <w:lang w:val="en-US"/>
              </w:rPr>
              <w:t xml:space="preserve">Div_yield </w:t>
            </w:r>
          </w:p>
        </w:tc>
        <w:tc>
          <w:tcPr>
            <w:tcW w:w="4673" w:type="dxa"/>
          </w:tcPr>
          <w:p w14:paraId="0883BE07" w14:textId="77777777" w:rsidR="00927CD4" w:rsidRDefault="00927CD4" w:rsidP="00CA7536">
            <w:pPr>
              <w:pStyle w:val="ae"/>
              <w:rPr>
                <w:sz w:val="22"/>
              </w:rPr>
            </w:pPr>
            <w:r>
              <w:rPr>
                <w:sz w:val="22"/>
              </w:rPr>
              <w:t>Ожидаемая дивидендная доходность. В качестве прокси рассчитывались два разных показателя:</w:t>
            </w:r>
          </w:p>
          <w:p w14:paraId="411DD0A9" w14:textId="77777777" w:rsidR="00927CD4" w:rsidRDefault="00927CD4" w:rsidP="00CA7536">
            <w:pPr>
              <w:pStyle w:val="ae"/>
              <w:numPr>
                <w:ilvl w:val="0"/>
                <w:numId w:val="11"/>
              </w:numPr>
              <w:rPr>
                <w:sz w:val="22"/>
              </w:rPr>
            </w:pPr>
            <w:r>
              <w:rPr>
                <w:sz w:val="22"/>
                <w:lang w:val="en-US"/>
              </w:rPr>
              <w:t xml:space="preserve">Trailing dividend yield  </w:t>
            </w:r>
            <m:oMath>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D</m:t>
                      </m:r>
                    </m:e>
                    <m:sub>
                      <m:r>
                        <w:rPr>
                          <w:rFonts w:ascii="Cambria Math" w:hAnsi="Cambria Math"/>
                          <w:sz w:val="24"/>
                          <w:szCs w:val="24"/>
                          <w:lang w:val="en-US"/>
                        </w:rPr>
                        <m:t>0</m:t>
                      </m:r>
                    </m:sub>
                  </m:sSub>
                </m:num>
                <m:den>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0</m:t>
                      </m:r>
                    </m:sub>
                  </m:sSub>
                </m:den>
              </m:f>
            </m:oMath>
            <w:r>
              <w:rPr>
                <w:rFonts w:eastAsiaTheme="minorEastAsia"/>
                <w:sz w:val="22"/>
                <w:lang w:val="en-US"/>
              </w:rPr>
              <w:t xml:space="preserve"> (</w:t>
            </w:r>
            <m:oMath>
              <m:sSub>
                <m:sSubPr>
                  <m:ctrlPr>
                    <w:rPr>
                      <w:rFonts w:ascii="Cambria Math" w:eastAsiaTheme="minorEastAsia" w:hAnsi="Cambria Math"/>
                      <w:i/>
                      <w:sz w:val="22"/>
                      <w:lang w:val="en-US"/>
                    </w:rPr>
                  </m:ctrlPr>
                </m:sSubPr>
                <m:e>
                  <m:r>
                    <w:rPr>
                      <w:rFonts w:ascii="Cambria Math" w:eastAsiaTheme="minorEastAsia" w:hAnsi="Cambria Math"/>
                      <w:sz w:val="22"/>
                      <w:lang w:val="en-US"/>
                    </w:rPr>
                    <m:t>D</m:t>
                  </m:r>
                </m:e>
                <m:sub>
                  <m:r>
                    <w:rPr>
                      <w:rFonts w:ascii="Cambria Math" w:eastAsiaTheme="minorEastAsia" w:hAnsi="Cambria Math"/>
                      <w:sz w:val="22"/>
                      <w:lang w:val="en-US"/>
                    </w:rPr>
                    <m:t>0</m:t>
                  </m:r>
                </m:sub>
              </m:sSub>
            </m:oMath>
            <w:r>
              <w:rPr>
                <w:rFonts w:eastAsiaTheme="minorEastAsia"/>
                <w:sz w:val="22"/>
                <w:lang w:val="en-US"/>
              </w:rPr>
              <w:t xml:space="preserve"> </w:t>
            </w:r>
            <w:r>
              <w:rPr>
                <w:rFonts w:eastAsiaTheme="minorEastAsia"/>
                <w:sz w:val="22"/>
              </w:rPr>
              <w:t>– размер дивидендов, уплаченных в течение 12 мес. до текущего объявления</w:t>
            </w:r>
            <w:r>
              <w:rPr>
                <w:rFonts w:eastAsiaTheme="minorEastAsia"/>
                <w:sz w:val="22"/>
                <w:lang w:val="en-US"/>
              </w:rPr>
              <w:t xml:space="preserve">; </w:t>
            </w:r>
            <m:oMath>
              <m:sSub>
                <m:sSubPr>
                  <m:ctrlPr>
                    <w:rPr>
                      <w:rFonts w:ascii="Cambria Math" w:eastAsiaTheme="minorEastAsia" w:hAnsi="Cambria Math"/>
                      <w:i/>
                      <w:sz w:val="22"/>
                      <w:lang w:val="en-US"/>
                    </w:rPr>
                  </m:ctrlPr>
                </m:sSubPr>
                <m:e>
                  <m:r>
                    <w:rPr>
                      <w:rFonts w:ascii="Cambria Math" w:eastAsiaTheme="minorEastAsia" w:hAnsi="Cambria Math"/>
                      <w:sz w:val="22"/>
                      <w:lang w:val="en-US"/>
                    </w:rPr>
                    <m:t>P</m:t>
                  </m:r>
                </m:e>
                <m:sub>
                  <m:r>
                    <w:rPr>
                      <w:rFonts w:ascii="Cambria Math" w:eastAsiaTheme="minorEastAsia" w:hAnsi="Cambria Math"/>
                      <w:sz w:val="22"/>
                      <w:lang w:val="en-US"/>
                    </w:rPr>
                    <m:t>0</m:t>
                  </m:r>
                </m:sub>
              </m:sSub>
            </m:oMath>
            <w:r>
              <w:rPr>
                <w:rFonts w:eastAsiaTheme="minorEastAsia"/>
                <w:sz w:val="22"/>
                <w:lang w:val="en-US"/>
              </w:rPr>
              <w:t xml:space="preserve"> – </w:t>
            </w:r>
            <w:r>
              <w:rPr>
                <w:rFonts w:eastAsiaTheme="minorEastAsia"/>
                <w:sz w:val="22"/>
              </w:rPr>
              <w:t>цена акции на конец этого 12-месячного периода)</w:t>
            </w:r>
          </w:p>
          <w:p w14:paraId="2FDAAD20" w14:textId="77777777" w:rsidR="00927CD4" w:rsidRPr="0081767E" w:rsidRDefault="00927CD4" w:rsidP="00CA7536">
            <w:pPr>
              <w:pStyle w:val="ae"/>
              <w:numPr>
                <w:ilvl w:val="0"/>
                <w:numId w:val="11"/>
              </w:numPr>
              <w:rPr>
                <w:sz w:val="22"/>
              </w:rPr>
            </w:pPr>
            <w:r>
              <w:rPr>
                <w:sz w:val="22"/>
                <w:lang w:val="en-US"/>
              </w:rPr>
              <w:t xml:space="preserve">Forward dividend yield </w:t>
            </w:r>
            <m:oMath>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D</m:t>
                      </m:r>
                    </m:e>
                    <m:sub>
                      <m:r>
                        <w:rPr>
                          <w:rFonts w:ascii="Cambria Math" w:hAnsi="Cambria Math"/>
                          <w:sz w:val="24"/>
                          <w:szCs w:val="24"/>
                          <w:lang w:val="en-US"/>
                        </w:rPr>
                        <m:t>est</m:t>
                      </m:r>
                    </m:sub>
                  </m:sSub>
                </m:num>
                <m:den>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1</m:t>
                      </m:r>
                    </m:sub>
                  </m:sSub>
                </m:den>
              </m:f>
            </m:oMath>
            <w:r>
              <w:rPr>
                <w:rFonts w:eastAsiaTheme="minorEastAsia"/>
                <w:sz w:val="22"/>
                <w:lang w:val="en-US"/>
              </w:rPr>
              <w:t xml:space="preserve"> </w:t>
            </w:r>
            <w:r>
              <w:rPr>
                <w:sz w:val="22"/>
              </w:rPr>
              <w:t xml:space="preserve"> отношение ожидаемых дивидендов в течение следующих 12 месяцев к текущей цене акции (за месяц до объявления).</w:t>
            </w:r>
          </w:p>
        </w:tc>
      </w:tr>
      <w:tr w:rsidR="00927CD4" w14:paraId="087CD018" w14:textId="77777777" w:rsidTr="00CA7536">
        <w:tc>
          <w:tcPr>
            <w:tcW w:w="4672" w:type="dxa"/>
          </w:tcPr>
          <w:p w14:paraId="24E97E7E" w14:textId="77777777" w:rsidR="00927CD4" w:rsidRPr="00F61CE3" w:rsidRDefault="00927CD4" w:rsidP="00CA7536">
            <w:pPr>
              <w:pStyle w:val="ae"/>
              <w:rPr>
                <w:sz w:val="22"/>
              </w:rPr>
            </w:pPr>
            <w:r>
              <w:rPr>
                <w:sz w:val="22"/>
                <w:lang w:val="en-US"/>
              </w:rPr>
              <w:t>P_BV</w:t>
            </w:r>
            <w:r>
              <w:rPr>
                <w:sz w:val="22"/>
              </w:rPr>
              <w:t xml:space="preserve"> (</w:t>
            </w:r>
            <w:r>
              <w:rPr>
                <w:sz w:val="22"/>
                <w:lang w:val="en-US"/>
              </w:rPr>
              <w:t>t-1)</w:t>
            </w:r>
          </w:p>
        </w:tc>
        <w:tc>
          <w:tcPr>
            <w:tcW w:w="4673" w:type="dxa"/>
          </w:tcPr>
          <w:p w14:paraId="2CA67254" w14:textId="77777777" w:rsidR="00927CD4" w:rsidRPr="0081767E" w:rsidRDefault="00927CD4" w:rsidP="00CA7536">
            <w:pPr>
              <w:pStyle w:val="ae"/>
              <w:rPr>
                <w:sz w:val="22"/>
              </w:rPr>
            </w:pPr>
            <w:r>
              <w:rPr>
                <w:sz w:val="22"/>
              </w:rPr>
              <w:t xml:space="preserve">Отношение рыночной цены компании к ее балансовой стоимости </w:t>
            </w:r>
          </w:p>
        </w:tc>
      </w:tr>
      <w:tr w:rsidR="00927CD4" w14:paraId="3EE9EE70" w14:textId="77777777" w:rsidTr="00CA7536">
        <w:tc>
          <w:tcPr>
            <w:tcW w:w="4672" w:type="dxa"/>
          </w:tcPr>
          <w:p w14:paraId="3747D873" w14:textId="77777777" w:rsidR="00927CD4" w:rsidRPr="005814AA" w:rsidRDefault="00927CD4" w:rsidP="00CA7536">
            <w:pPr>
              <w:pStyle w:val="ae"/>
              <w:rPr>
                <w:sz w:val="22"/>
              </w:rPr>
            </w:pPr>
            <w:r>
              <w:rPr>
                <w:sz w:val="22"/>
                <w:lang w:val="en-US"/>
              </w:rPr>
              <w:t>DPS_surprise</w:t>
            </w:r>
            <w:r>
              <w:rPr>
                <w:sz w:val="22"/>
              </w:rPr>
              <w:t xml:space="preserve"> </w:t>
            </w:r>
          </w:p>
        </w:tc>
        <w:tc>
          <w:tcPr>
            <w:tcW w:w="4673" w:type="dxa"/>
          </w:tcPr>
          <w:p w14:paraId="5A47824D" w14:textId="77777777" w:rsidR="00927CD4" w:rsidRPr="00C15A34" w:rsidRDefault="00927CD4" w:rsidP="00CA7536">
            <w:pPr>
              <w:pStyle w:val="ae"/>
              <w:rPr>
                <w:sz w:val="22"/>
                <w:lang w:val="en-US"/>
              </w:rPr>
            </w:pPr>
            <w:r>
              <w:rPr>
                <w:sz w:val="22"/>
              </w:rPr>
              <w:t>Величина дивидендного сюрприза. Рассчитывалась как разница между фактическим дивидендом и консенсус-прогнозом аналитиков на конец месяца, предшествующего объявлению.</w:t>
            </w:r>
            <w:r>
              <w:rPr>
                <w:sz w:val="22"/>
                <w:lang w:val="en-US"/>
              </w:rPr>
              <w:t xml:space="preserve"> </w:t>
            </w:r>
          </w:p>
          <w:p w14:paraId="045EAB9A" w14:textId="77777777" w:rsidR="00927CD4" w:rsidRPr="005814AA" w:rsidRDefault="00CF4558" w:rsidP="00CA7536">
            <w:pPr>
              <w:pStyle w:val="ae"/>
              <w:rPr>
                <w:sz w:val="22"/>
                <w:lang w:val="en-US"/>
              </w:rPr>
            </w:pPr>
            <m:oMathPara>
              <m:oMath>
                <m:f>
                  <m:fPr>
                    <m:ctrlPr>
                      <w:rPr>
                        <w:rFonts w:ascii="Cambria Math" w:hAnsi="Cambria Math"/>
                        <w:i/>
                        <w:sz w:val="22"/>
                        <w:lang w:val="en-US"/>
                      </w:rPr>
                    </m:ctrlPr>
                  </m:fPr>
                  <m:num>
                    <m:sSub>
                      <m:sSubPr>
                        <m:ctrlPr>
                          <w:rPr>
                            <w:rFonts w:ascii="Cambria Math" w:hAnsi="Cambria Math"/>
                            <w:i/>
                            <w:sz w:val="22"/>
                            <w:lang w:val="en-US"/>
                          </w:rPr>
                        </m:ctrlPr>
                      </m:sSubPr>
                      <m:e>
                        <m:r>
                          <w:rPr>
                            <w:rFonts w:ascii="Cambria Math" w:hAnsi="Cambria Math"/>
                            <w:sz w:val="22"/>
                            <w:lang w:val="en-US"/>
                          </w:rPr>
                          <m:t>DPS</m:t>
                        </m:r>
                      </m:e>
                      <m:sub>
                        <m:r>
                          <w:rPr>
                            <w:rFonts w:ascii="Cambria Math" w:hAnsi="Cambria Math"/>
                            <w:sz w:val="22"/>
                            <w:lang w:val="en-US"/>
                          </w:rPr>
                          <m:t>fact(t)</m:t>
                        </m:r>
                      </m:sub>
                    </m:sSub>
                    <m:r>
                      <w:rPr>
                        <w:rFonts w:ascii="Cambria Math" w:hAnsi="Cambria Math"/>
                        <w:sz w:val="22"/>
                        <w:lang w:val="en-US"/>
                      </w:rPr>
                      <m:t xml:space="preserve">- </m:t>
                    </m:r>
                    <m:sSub>
                      <m:sSubPr>
                        <m:ctrlPr>
                          <w:rPr>
                            <w:rFonts w:ascii="Cambria Math" w:hAnsi="Cambria Math"/>
                            <w:i/>
                            <w:sz w:val="22"/>
                            <w:lang w:val="en-US"/>
                          </w:rPr>
                        </m:ctrlPr>
                      </m:sSubPr>
                      <m:e>
                        <m:r>
                          <w:rPr>
                            <w:rFonts w:ascii="Cambria Math" w:hAnsi="Cambria Math"/>
                            <w:sz w:val="22"/>
                            <w:lang w:val="en-US"/>
                          </w:rPr>
                          <m:t>DPS</m:t>
                        </m:r>
                      </m:e>
                      <m:sub>
                        <m:r>
                          <w:rPr>
                            <w:rFonts w:ascii="Cambria Math" w:hAnsi="Cambria Math"/>
                            <w:sz w:val="22"/>
                            <w:lang w:val="en-US"/>
                          </w:rPr>
                          <m:t>est(t)</m:t>
                        </m:r>
                      </m:sub>
                    </m:sSub>
                  </m:num>
                  <m:den>
                    <m:sSub>
                      <m:sSubPr>
                        <m:ctrlPr>
                          <w:rPr>
                            <w:rFonts w:ascii="Cambria Math" w:hAnsi="Cambria Math"/>
                            <w:i/>
                            <w:sz w:val="22"/>
                            <w:lang w:val="en-US"/>
                          </w:rPr>
                        </m:ctrlPr>
                      </m:sSubPr>
                      <m:e>
                        <m:r>
                          <w:rPr>
                            <w:rFonts w:ascii="Cambria Math" w:hAnsi="Cambria Math"/>
                            <w:sz w:val="22"/>
                            <w:lang w:val="en-US"/>
                          </w:rPr>
                          <m:t>DPS</m:t>
                        </m:r>
                      </m:e>
                      <m:sub>
                        <m:r>
                          <w:rPr>
                            <w:rFonts w:ascii="Cambria Math" w:hAnsi="Cambria Math"/>
                            <w:sz w:val="22"/>
                            <w:lang w:val="en-US"/>
                          </w:rPr>
                          <m:t>est(t)</m:t>
                        </m:r>
                      </m:sub>
                    </m:sSub>
                  </m:den>
                </m:f>
              </m:oMath>
            </m:oMathPara>
          </w:p>
        </w:tc>
      </w:tr>
      <w:tr w:rsidR="00927CD4" w14:paraId="01B8E55B" w14:textId="77777777" w:rsidTr="00CA7536">
        <w:tc>
          <w:tcPr>
            <w:tcW w:w="4672" w:type="dxa"/>
          </w:tcPr>
          <w:p w14:paraId="2F6D2112" w14:textId="77777777" w:rsidR="00927CD4" w:rsidRPr="0071657C" w:rsidRDefault="00927CD4" w:rsidP="00CA7536">
            <w:pPr>
              <w:pStyle w:val="ae"/>
              <w:rPr>
                <w:sz w:val="22"/>
              </w:rPr>
            </w:pPr>
            <w:r>
              <w:rPr>
                <w:sz w:val="22"/>
                <w:lang w:val="en-US"/>
              </w:rPr>
              <w:t>EPS_surprise</w:t>
            </w:r>
            <w:r w:rsidRPr="0081767E">
              <w:rPr>
                <w:sz w:val="22"/>
              </w:rPr>
              <w:t xml:space="preserve"> </w:t>
            </w:r>
          </w:p>
        </w:tc>
        <w:tc>
          <w:tcPr>
            <w:tcW w:w="4673" w:type="dxa"/>
          </w:tcPr>
          <w:p w14:paraId="089A75FA" w14:textId="77777777" w:rsidR="00927CD4" w:rsidRDefault="00927CD4" w:rsidP="00CA7536">
            <w:pPr>
              <w:pStyle w:val="ae"/>
              <w:rPr>
                <w:sz w:val="22"/>
              </w:rPr>
            </w:pPr>
            <w:r>
              <w:rPr>
                <w:sz w:val="22"/>
              </w:rPr>
              <w:t>Величина сюрприза</w:t>
            </w:r>
            <w:r>
              <w:rPr>
                <w:sz w:val="22"/>
                <w:lang w:val="en-US"/>
              </w:rPr>
              <w:t xml:space="preserve"> </w:t>
            </w:r>
            <w:r>
              <w:rPr>
                <w:sz w:val="22"/>
              </w:rPr>
              <w:t xml:space="preserve">по прибыли по итогам года, предшествующего году объявления дивиденда, взятая по модулю. Рассчитывалась как разница между фактически объявленной прибылью и консенсус-прогнозом аналитиков (последним доступным консенсус-прогнозом по базе данных </w:t>
            </w:r>
            <w:r>
              <w:rPr>
                <w:sz w:val="22"/>
                <w:lang w:val="en-US"/>
              </w:rPr>
              <w:t>Bloomberg)</w:t>
            </w:r>
            <w:r>
              <w:rPr>
                <w:sz w:val="22"/>
              </w:rPr>
              <w:t>.</w:t>
            </w:r>
          </w:p>
          <w:p w14:paraId="28ACA168" w14:textId="77777777" w:rsidR="00927CD4" w:rsidRPr="0081767E" w:rsidRDefault="00CF4558" w:rsidP="00CA7536">
            <w:pPr>
              <w:pStyle w:val="ae"/>
              <w:rPr>
                <w:sz w:val="22"/>
              </w:rPr>
            </w:pPr>
            <m:oMathPara>
              <m:oMath>
                <m:d>
                  <m:dPr>
                    <m:begChr m:val="|"/>
                    <m:endChr m:val="|"/>
                    <m:ctrlPr>
                      <w:rPr>
                        <w:rFonts w:ascii="Cambria Math" w:hAnsi="Cambria Math"/>
                        <w:i/>
                        <w:sz w:val="22"/>
                        <w:lang w:val="en-US"/>
                      </w:rPr>
                    </m:ctrlPr>
                  </m:dPr>
                  <m:e>
                    <m:f>
                      <m:fPr>
                        <m:ctrlPr>
                          <w:rPr>
                            <w:rFonts w:ascii="Cambria Math" w:hAnsi="Cambria Math"/>
                            <w:i/>
                            <w:sz w:val="22"/>
                            <w:lang w:val="en-US"/>
                          </w:rPr>
                        </m:ctrlPr>
                      </m:fPr>
                      <m:num>
                        <m:sSub>
                          <m:sSubPr>
                            <m:ctrlPr>
                              <w:rPr>
                                <w:rFonts w:ascii="Cambria Math" w:hAnsi="Cambria Math"/>
                                <w:i/>
                                <w:sz w:val="22"/>
                                <w:lang w:val="en-US"/>
                              </w:rPr>
                            </m:ctrlPr>
                          </m:sSubPr>
                          <m:e>
                            <m:r>
                              <w:rPr>
                                <w:rFonts w:ascii="Cambria Math" w:hAnsi="Cambria Math"/>
                                <w:sz w:val="22"/>
                                <w:lang w:val="en-US"/>
                              </w:rPr>
                              <m:t>EPS</m:t>
                            </m:r>
                          </m:e>
                          <m:sub>
                            <m:r>
                              <w:rPr>
                                <w:rFonts w:ascii="Cambria Math" w:hAnsi="Cambria Math"/>
                                <w:sz w:val="22"/>
                                <w:lang w:val="en-US"/>
                              </w:rPr>
                              <m:t>fact (t-1)</m:t>
                            </m:r>
                          </m:sub>
                        </m:sSub>
                        <m:r>
                          <w:rPr>
                            <w:rFonts w:ascii="Cambria Math" w:hAnsi="Cambria Math"/>
                            <w:sz w:val="22"/>
                            <w:lang w:val="en-US"/>
                          </w:rPr>
                          <m:t xml:space="preserve">- </m:t>
                        </m:r>
                        <m:sSub>
                          <m:sSubPr>
                            <m:ctrlPr>
                              <w:rPr>
                                <w:rFonts w:ascii="Cambria Math" w:hAnsi="Cambria Math"/>
                                <w:i/>
                                <w:sz w:val="22"/>
                                <w:lang w:val="en-US"/>
                              </w:rPr>
                            </m:ctrlPr>
                          </m:sSubPr>
                          <m:e>
                            <m:r>
                              <w:rPr>
                                <w:rFonts w:ascii="Cambria Math" w:hAnsi="Cambria Math"/>
                                <w:sz w:val="22"/>
                                <w:lang w:val="en-US"/>
                              </w:rPr>
                              <m:t>EPS</m:t>
                            </m:r>
                          </m:e>
                          <m:sub>
                            <m:r>
                              <w:rPr>
                                <w:rFonts w:ascii="Cambria Math" w:hAnsi="Cambria Math"/>
                                <w:sz w:val="22"/>
                                <w:lang w:val="en-US"/>
                              </w:rPr>
                              <m:t>est(t-1)</m:t>
                            </m:r>
                          </m:sub>
                        </m:sSub>
                      </m:num>
                      <m:den>
                        <m:sSub>
                          <m:sSubPr>
                            <m:ctrlPr>
                              <w:rPr>
                                <w:rFonts w:ascii="Cambria Math" w:hAnsi="Cambria Math"/>
                                <w:i/>
                                <w:sz w:val="22"/>
                                <w:lang w:val="en-US"/>
                              </w:rPr>
                            </m:ctrlPr>
                          </m:sSubPr>
                          <m:e>
                            <m:r>
                              <w:rPr>
                                <w:rFonts w:ascii="Cambria Math" w:hAnsi="Cambria Math"/>
                                <w:sz w:val="22"/>
                                <w:lang w:val="en-US"/>
                              </w:rPr>
                              <m:t>EPS</m:t>
                            </m:r>
                          </m:e>
                          <m:sub>
                            <m:r>
                              <w:rPr>
                                <w:rFonts w:ascii="Cambria Math" w:hAnsi="Cambria Math"/>
                                <w:sz w:val="22"/>
                                <w:lang w:val="en-US"/>
                              </w:rPr>
                              <m:t>est(t-1)</m:t>
                            </m:r>
                          </m:sub>
                        </m:sSub>
                      </m:den>
                    </m:f>
                  </m:e>
                </m:d>
              </m:oMath>
            </m:oMathPara>
          </w:p>
        </w:tc>
      </w:tr>
      <w:tr w:rsidR="00927CD4" w14:paraId="46176AB6" w14:textId="77777777" w:rsidTr="00CA7536">
        <w:tc>
          <w:tcPr>
            <w:tcW w:w="4672" w:type="dxa"/>
          </w:tcPr>
          <w:p w14:paraId="2D438DFB" w14:textId="77777777" w:rsidR="00927CD4" w:rsidRPr="0081767E" w:rsidRDefault="00927CD4" w:rsidP="00CA7536">
            <w:pPr>
              <w:pStyle w:val="ae"/>
              <w:rPr>
                <w:sz w:val="22"/>
                <w:lang w:val="en-US"/>
              </w:rPr>
            </w:pPr>
            <w:r>
              <w:rPr>
                <w:sz w:val="22"/>
                <w:lang w:val="en-US"/>
              </w:rPr>
              <w:t>DPS_change</w:t>
            </w:r>
          </w:p>
        </w:tc>
        <w:tc>
          <w:tcPr>
            <w:tcW w:w="4673" w:type="dxa"/>
          </w:tcPr>
          <w:p w14:paraId="13AA9953" w14:textId="77777777" w:rsidR="00927CD4" w:rsidRDefault="00927CD4" w:rsidP="00CA7536">
            <w:pPr>
              <w:pStyle w:val="ae"/>
              <w:rPr>
                <w:sz w:val="22"/>
              </w:rPr>
            </w:pPr>
            <w:r>
              <w:rPr>
                <w:sz w:val="22"/>
              </w:rPr>
              <w:t>Изменение размера дивиденда. Рассчитывалось как относительная разница между объявленным в текущем периоде дивидендом и дивидендом, объявленным в предыдущий период. В качестве прокси рассчитывались два разных показателя:</w:t>
            </w:r>
          </w:p>
          <w:p w14:paraId="12C8C60B" w14:textId="77777777" w:rsidR="00927CD4" w:rsidRPr="00B0413D" w:rsidRDefault="00CF4558" w:rsidP="00CA7536">
            <w:pPr>
              <w:pStyle w:val="ae"/>
              <w:numPr>
                <w:ilvl w:val="0"/>
                <w:numId w:val="12"/>
              </w:numPr>
              <w:spacing w:before="240"/>
              <w:rPr>
                <w:sz w:val="22"/>
              </w:rPr>
            </w:pPr>
            <m:oMath>
              <m:f>
                <m:fPr>
                  <m:ctrlPr>
                    <w:rPr>
                      <w:rFonts w:ascii="Cambria Math" w:hAnsi="Cambria Math"/>
                      <w:i/>
                      <w:sz w:val="22"/>
                      <w:lang w:val="en-US"/>
                    </w:rPr>
                  </m:ctrlPr>
                </m:fPr>
                <m:num>
                  <m:sSub>
                    <m:sSubPr>
                      <m:ctrlPr>
                        <w:rPr>
                          <w:rFonts w:ascii="Cambria Math" w:hAnsi="Cambria Math"/>
                          <w:i/>
                          <w:sz w:val="22"/>
                          <w:lang w:val="en-US"/>
                        </w:rPr>
                      </m:ctrlPr>
                    </m:sSubPr>
                    <m:e>
                      <m:r>
                        <w:rPr>
                          <w:rFonts w:ascii="Cambria Math" w:hAnsi="Cambria Math"/>
                          <w:sz w:val="22"/>
                          <w:lang w:val="en-US"/>
                        </w:rPr>
                        <m:t>DPS</m:t>
                      </m:r>
                    </m:e>
                    <m:sub>
                      <m:r>
                        <w:rPr>
                          <w:rFonts w:ascii="Cambria Math" w:hAnsi="Cambria Math"/>
                          <w:sz w:val="22"/>
                          <w:lang w:val="en-US"/>
                        </w:rPr>
                        <m:t>t</m:t>
                      </m:r>
                    </m:sub>
                  </m:sSub>
                  <m:r>
                    <w:rPr>
                      <w:rFonts w:ascii="Cambria Math" w:hAnsi="Cambria Math"/>
                      <w:sz w:val="22"/>
                      <w:lang w:val="en-US"/>
                    </w:rPr>
                    <m:t xml:space="preserve">- </m:t>
                  </m:r>
                  <m:sSub>
                    <m:sSubPr>
                      <m:ctrlPr>
                        <w:rPr>
                          <w:rFonts w:ascii="Cambria Math" w:hAnsi="Cambria Math"/>
                          <w:i/>
                          <w:sz w:val="22"/>
                          <w:lang w:val="en-US"/>
                        </w:rPr>
                      </m:ctrlPr>
                    </m:sSubPr>
                    <m:e>
                      <m:r>
                        <w:rPr>
                          <w:rFonts w:ascii="Cambria Math" w:hAnsi="Cambria Math"/>
                          <w:sz w:val="22"/>
                          <w:lang w:val="en-US"/>
                        </w:rPr>
                        <m:t>DPS</m:t>
                      </m:r>
                    </m:e>
                    <m:sub>
                      <m:r>
                        <w:rPr>
                          <w:rFonts w:ascii="Cambria Math" w:hAnsi="Cambria Math"/>
                          <w:sz w:val="22"/>
                          <w:lang w:val="en-US"/>
                        </w:rPr>
                        <m:t>t-1</m:t>
                      </m:r>
                    </m:sub>
                  </m:sSub>
                </m:num>
                <m:den>
                  <m:sSub>
                    <m:sSubPr>
                      <m:ctrlPr>
                        <w:rPr>
                          <w:rFonts w:ascii="Cambria Math" w:hAnsi="Cambria Math"/>
                          <w:i/>
                          <w:sz w:val="22"/>
                          <w:lang w:val="en-US"/>
                        </w:rPr>
                      </m:ctrlPr>
                    </m:sSubPr>
                    <m:e>
                      <m:r>
                        <w:rPr>
                          <w:rFonts w:ascii="Cambria Math" w:hAnsi="Cambria Math"/>
                          <w:sz w:val="22"/>
                          <w:lang w:val="en-US"/>
                        </w:rPr>
                        <m:t>DPS</m:t>
                      </m:r>
                    </m:e>
                    <m:sub>
                      <m:r>
                        <w:rPr>
                          <w:rFonts w:ascii="Cambria Math" w:hAnsi="Cambria Math"/>
                          <w:sz w:val="22"/>
                          <w:lang w:val="en-US"/>
                        </w:rPr>
                        <m:t>t-1</m:t>
                      </m:r>
                    </m:sub>
                  </m:sSub>
                </m:den>
              </m:f>
            </m:oMath>
            <w:r w:rsidR="00927CD4">
              <w:rPr>
                <w:rFonts w:eastAsiaTheme="minorEastAsia"/>
                <w:sz w:val="22"/>
              </w:rPr>
              <w:t xml:space="preserve"> </w:t>
            </w:r>
          </w:p>
          <w:p w14:paraId="3B625303" w14:textId="77777777" w:rsidR="00927CD4" w:rsidRPr="00B0413D" w:rsidRDefault="00CF4558" w:rsidP="00CA7536">
            <w:pPr>
              <w:pStyle w:val="ae"/>
              <w:numPr>
                <w:ilvl w:val="0"/>
                <w:numId w:val="12"/>
              </w:numPr>
              <w:spacing w:before="240"/>
              <w:rPr>
                <w:sz w:val="22"/>
              </w:rPr>
            </w:pPr>
            <m:oMath>
              <m:f>
                <m:fPr>
                  <m:ctrlPr>
                    <w:rPr>
                      <w:rFonts w:ascii="Cambria Math" w:hAnsi="Cambria Math"/>
                      <w:i/>
                      <w:sz w:val="22"/>
                      <w:lang w:val="en-US"/>
                    </w:rPr>
                  </m:ctrlPr>
                </m:fPr>
                <m:num>
                  <m:sSub>
                    <m:sSubPr>
                      <m:ctrlPr>
                        <w:rPr>
                          <w:rFonts w:ascii="Cambria Math" w:hAnsi="Cambria Math"/>
                          <w:i/>
                          <w:sz w:val="22"/>
                          <w:lang w:val="en-US"/>
                        </w:rPr>
                      </m:ctrlPr>
                    </m:sSubPr>
                    <m:e>
                      <m:r>
                        <w:rPr>
                          <w:rFonts w:ascii="Cambria Math" w:hAnsi="Cambria Math"/>
                          <w:sz w:val="22"/>
                          <w:lang w:val="en-US"/>
                        </w:rPr>
                        <m:t>DPS</m:t>
                      </m:r>
                    </m:e>
                    <m:sub>
                      <m:r>
                        <w:rPr>
                          <w:rFonts w:ascii="Cambria Math" w:hAnsi="Cambria Math"/>
                          <w:sz w:val="22"/>
                          <w:lang w:val="en-US"/>
                        </w:rPr>
                        <m:t>t</m:t>
                      </m:r>
                    </m:sub>
                  </m:sSub>
                  <m:r>
                    <w:rPr>
                      <w:rFonts w:ascii="Cambria Math" w:hAnsi="Cambria Math"/>
                      <w:sz w:val="22"/>
                      <w:lang w:val="en-US"/>
                    </w:rPr>
                    <m:t xml:space="preserve">- </m:t>
                  </m:r>
                  <m:sSub>
                    <m:sSubPr>
                      <m:ctrlPr>
                        <w:rPr>
                          <w:rFonts w:ascii="Cambria Math" w:hAnsi="Cambria Math"/>
                          <w:i/>
                          <w:sz w:val="22"/>
                          <w:lang w:val="en-US"/>
                        </w:rPr>
                      </m:ctrlPr>
                    </m:sSubPr>
                    <m:e>
                      <m:r>
                        <w:rPr>
                          <w:rFonts w:ascii="Cambria Math" w:hAnsi="Cambria Math"/>
                          <w:sz w:val="22"/>
                          <w:lang w:val="en-US"/>
                        </w:rPr>
                        <m:t>DPS</m:t>
                      </m:r>
                    </m:e>
                    <m:sub>
                      <m:r>
                        <w:rPr>
                          <w:rFonts w:ascii="Cambria Math" w:hAnsi="Cambria Math"/>
                          <w:sz w:val="22"/>
                          <w:lang w:val="en-US"/>
                        </w:rPr>
                        <m:t>t-1</m:t>
                      </m:r>
                    </m:sub>
                  </m:sSub>
                </m:num>
                <m:den>
                  <m:r>
                    <w:rPr>
                      <w:rFonts w:ascii="Cambria Math" w:hAnsi="Cambria Math"/>
                      <w:sz w:val="22"/>
                      <w:lang w:val="en-US"/>
                    </w:rPr>
                    <m:t>P</m:t>
                  </m:r>
                </m:den>
              </m:f>
            </m:oMath>
            <w:r w:rsidR="00927CD4">
              <w:rPr>
                <w:rFonts w:eastAsiaTheme="minorEastAsia"/>
                <w:sz w:val="22"/>
              </w:rPr>
              <w:t xml:space="preserve"> </w:t>
            </w:r>
            <w:r w:rsidR="00927CD4">
              <w:rPr>
                <w:rFonts w:eastAsiaTheme="minorEastAsia"/>
                <w:sz w:val="22"/>
                <w:lang w:val="en-US"/>
              </w:rPr>
              <w:t xml:space="preserve">(P – </w:t>
            </w:r>
            <w:r w:rsidR="00927CD4">
              <w:rPr>
                <w:rFonts w:eastAsiaTheme="minorEastAsia"/>
                <w:sz w:val="22"/>
              </w:rPr>
              <w:t>цена за месяц до объявления)</w:t>
            </w:r>
          </w:p>
        </w:tc>
      </w:tr>
      <w:tr w:rsidR="00927CD4" w14:paraId="26B3E64F" w14:textId="77777777" w:rsidTr="00CA7536">
        <w:tc>
          <w:tcPr>
            <w:tcW w:w="4672" w:type="dxa"/>
          </w:tcPr>
          <w:p w14:paraId="0B65B30B" w14:textId="77777777" w:rsidR="00927CD4" w:rsidRDefault="00927CD4" w:rsidP="00CA7536">
            <w:pPr>
              <w:pStyle w:val="ae"/>
              <w:rPr>
                <w:sz w:val="22"/>
                <w:lang w:val="en-US"/>
              </w:rPr>
            </w:pPr>
            <w:r>
              <w:rPr>
                <w:sz w:val="22"/>
                <w:lang w:val="en-US"/>
              </w:rPr>
              <w:t>EPS_confirm</w:t>
            </w:r>
          </w:p>
        </w:tc>
        <w:tc>
          <w:tcPr>
            <w:tcW w:w="4673" w:type="dxa"/>
          </w:tcPr>
          <w:p w14:paraId="57926830" w14:textId="77777777" w:rsidR="00927CD4" w:rsidRPr="00592A3A" w:rsidRDefault="00927CD4" w:rsidP="00CA7536">
            <w:pPr>
              <w:pStyle w:val="ae"/>
              <w:rPr>
                <w:sz w:val="22"/>
              </w:rPr>
            </w:pPr>
            <w:r>
              <w:rPr>
                <w:sz w:val="22"/>
              </w:rPr>
              <w:t>Бинарная переменная, принимающая значение 1, если дивидендный сюрприз был того же знака, что и предшествующее изменение прибыли, и 0, если дивидендный сюрприз шел вразрез с предшествующим изменением прибыли.</w:t>
            </w:r>
          </w:p>
        </w:tc>
      </w:tr>
      <w:tr w:rsidR="00927CD4" w14:paraId="6AD6EAD9" w14:textId="77777777" w:rsidTr="00CA7536">
        <w:tc>
          <w:tcPr>
            <w:tcW w:w="9345" w:type="dxa"/>
            <w:gridSpan w:val="2"/>
            <w:shd w:val="clear" w:color="auto" w:fill="FBD4B4" w:themeFill="accent6" w:themeFillTint="66"/>
          </w:tcPr>
          <w:p w14:paraId="5E973B9D" w14:textId="77777777" w:rsidR="00927CD4" w:rsidRPr="0081767E" w:rsidRDefault="00927CD4" w:rsidP="00CA7536">
            <w:pPr>
              <w:pStyle w:val="ac"/>
              <w:rPr>
                <w:szCs w:val="24"/>
              </w:rPr>
            </w:pPr>
            <w:r>
              <w:rPr>
                <w:szCs w:val="24"/>
              </w:rPr>
              <w:t>Независимые п</w:t>
            </w:r>
            <w:r w:rsidRPr="0081767E">
              <w:rPr>
                <w:szCs w:val="24"/>
              </w:rPr>
              <w:t>еременные</w:t>
            </w:r>
            <w:r>
              <w:rPr>
                <w:szCs w:val="24"/>
              </w:rPr>
              <w:t>, характеризующие состояние рынка накануне объявления</w:t>
            </w:r>
          </w:p>
        </w:tc>
      </w:tr>
      <w:tr w:rsidR="00927CD4" w14:paraId="37BCD3B7" w14:textId="77777777" w:rsidTr="00CA7536">
        <w:tc>
          <w:tcPr>
            <w:tcW w:w="4672" w:type="dxa"/>
          </w:tcPr>
          <w:p w14:paraId="51FC677D" w14:textId="77777777" w:rsidR="00927CD4" w:rsidRPr="00CA1559" w:rsidRDefault="00927CD4" w:rsidP="00CA7536">
            <w:pPr>
              <w:pStyle w:val="ae"/>
              <w:rPr>
                <w:sz w:val="22"/>
                <w:lang w:val="en-US"/>
              </w:rPr>
            </w:pPr>
            <w:r>
              <w:rPr>
                <w:sz w:val="22"/>
                <w:lang w:val="en-US"/>
              </w:rPr>
              <w:t>Low_return</w:t>
            </w:r>
            <w:r>
              <w:rPr>
                <w:sz w:val="22"/>
              </w:rPr>
              <w:t xml:space="preserve"> (</w:t>
            </w:r>
            <w:r>
              <w:rPr>
                <w:sz w:val="22"/>
                <w:lang w:val="en-US"/>
              </w:rPr>
              <w:t>b)</w:t>
            </w:r>
          </w:p>
        </w:tc>
        <w:tc>
          <w:tcPr>
            <w:tcW w:w="4673" w:type="dxa"/>
          </w:tcPr>
          <w:p w14:paraId="5B1B0C89" w14:textId="77777777" w:rsidR="00927CD4" w:rsidRPr="00212C49" w:rsidRDefault="00927CD4" w:rsidP="00CA7536">
            <w:pPr>
              <w:pStyle w:val="ae"/>
              <w:rPr>
                <w:sz w:val="22"/>
              </w:rPr>
            </w:pPr>
            <w:r>
              <w:rPr>
                <w:sz w:val="22"/>
              </w:rPr>
              <w:t xml:space="preserve">Бинарная переменная, характеризующая состояние доходности рынка как низкое за 30 торговых дней до объявления. </w:t>
            </w:r>
            <w:r>
              <w:rPr>
                <w:rStyle w:val="aff"/>
                <w:sz w:val="22"/>
              </w:rPr>
              <w:footnoteReference w:id="53"/>
            </w:r>
          </w:p>
        </w:tc>
      </w:tr>
      <w:tr w:rsidR="00927CD4" w14:paraId="45833B77" w14:textId="77777777" w:rsidTr="00CA7536">
        <w:tc>
          <w:tcPr>
            <w:tcW w:w="4672" w:type="dxa"/>
          </w:tcPr>
          <w:p w14:paraId="6212D531" w14:textId="77777777" w:rsidR="00927CD4" w:rsidRPr="0081767E" w:rsidRDefault="00927CD4" w:rsidP="00CA7536">
            <w:pPr>
              <w:pStyle w:val="ae"/>
              <w:rPr>
                <w:sz w:val="22"/>
                <w:lang w:val="en-US"/>
              </w:rPr>
            </w:pPr>
            <w:r>
              <w:rPr>
                <w:sz w:val="22"/>
                <w:lang w:val="en-US"/>
              </w:rPr>
              <w:t>Medium_return</w:t>
            </w:r>
            <w:r>
              <w:rPr>
                <w:sz w:val="22"/>
              </w:rPr>
              <w:t xml:space="preserve"> (</w:t>
            </w:r>
            <w:r>
              <w:rPr>
                <w:sz w:val="22"/>
                <w:lang w:val="en-US"/>
              </w:rPr>
              <w:t>b)</w:t>
            </w:r>
          </w:p>
        </w:tc>
        <w:tc>
          <w:tcPr>
            <w:tcW w:w="4673" w:type="dxa"/>
          </w:tcPr>
          <w:p w14:paraId="07899E1C" w14:textId="77777777" w:rsidR="00927CD4" w:rsidRPr="0081767E" w:rsidRDefault="00927CD4" w:rsidP="00CA7536">
            <w:pPr>
              <w:pStyle w:val="ae"/>
              <w:rPr>
                <w:sz w:val="22"/>
              </w:rPr>
            </w:pPr>
            <w:r>
              <w:rPr>
                <w:sz w:val="22"/>
              </w:rPr>
              <w:t xml:space="preserve">Бинарная переменная, характеризующая состояние доходности рынка как среднее за 30 торговых дней до объявления. </w:t>
            </w:r>
          </w:p>
        </w:tc>
      </w:tr>
      <w:tr w:rsidR="00927CD4" w14:paraId="1E45BA0C" w14:textId="77777777" w:rsidTr="00CA7536">
        <w:tc>
          <w:tcPr>
            <w:tcW w:w="4672" w:type="dxa"/>
          </w:tcPr>
          <w:p w14:paraId="568D0CE9" w14:textId="77777777" w:rsidR="00927CD4" w:rsidRPr="0081767E" w:rsidRDefault="00927CD4" w:rsidP="00CA7536">
            <w:pPr>
              <w:pStyle w:val="ae"/>
              <w:rPr>
                <w:sz w:val="22"/>
                <w:lang w:val="en-US"/>
              </w:rPr>
            </w:pPr>
            <w:r>
              <w:rPr>
                <w:sz w:val="22"/>
                <w:lang w:val="en-US"/>
              </w:rPr>
              <w:t>High_return</w:t>
            </w:r>
            <w:r>
              <w:rPr>
                <w:sz w:val="22"/>
              </w:rPr>
              <w:t xml:space="preserve"> (</w:t>
            </w:r>
            <w:r>
              <w:rPr>
                <w:sz w:val="22"/>
                <w:lang w:val="en-US"/>
              </w:rPr>
              <w:t>b)</w:t>
            </w:r>
          </w:p>
        </w:tc>
        <w:tc>
          <w:tcPr>
            <w:tcW w:w="4673" w:type="dxa"/>
          </w:tcPr>
          <w:p w14:paraId="7C3527D3" w14:textId="77777777" w:rsidR="00927CD4" w:rsidRPr="0081767E" w:rsidRDefault="00927CD4" w:rsidP="00CA7536">
            <w:pPr>
              <w:pStyle w:val="ae"/>
              <w:rPr>
                <w:sz w:val="22"/>
              </w:rPr>
            </w:pPr>
            <w:r>
              <w:rPr>
                <w:sz w:val="22"/>
              </w:rPr>
              <w:t xml:space="preserve">Бинарная переменная, характеризующая состояние доходности рынка как высокое за 30 торговых дней до объявления. </w:t>
            </w:r>
          </w:p>
        </w:tc>
      </w:tr>
      <w:tr w:rsidR="00927CD4" w14:paraId="25D97460" w14:textId="77777777" w:rsidTr="00CA7536">
        <w:tc>
          <w:tcPr>
            <w:tcW w:w="4672" w:type="dxa"/>
          </w:tcPr>
          <w:p w14:paraId="73FF2384" w14:textId="77777777" w:rsidR="00927CD4" w:rsidRDefault="00927CD4" w:rsidP="00CA7536">
            <w:pPr>
              <w:pStyle w:val="ae"/>
              <w:rPr>
                <w:sz w:val="22"/>
                <w:lang w:val="en-US"/>
              </w:rPr>
            </w:pPr>
            <w:r>
              <w:rPr>
                <w:sz w:val="22"/>
                <w:lang w:val="en-US"/>
              </w:rPr>
              <w:t>Low_volatility</w:t>
            </w:r>
            <w:r>
              <w:rPr>
                <w:sz w:val="22"/>
              </w:rPr>
              <w:t xml:space="preserve"> (</w:t>
            </w:r>
            <w:r>
              <w:rPr>
                <w:sz w:val="22"/>
                <w:lang w:val="en-US"/>
              </w:rPr>
              <w:t>b)</w:t>
            </w:r>
          </w:p>
        </w:tc>
        <w:tc>
          <w:tcPr>
            <w:tcW w:w="4673" w:type="dxa"/>
          </w:tcPr>
          <w:p w14:paraId="1E0271E5" w14:textId="77777777" w:rsidR="00927CD4" w:rsidRDefault="00927CD4" w:rsidP="00CA7536">
            <w:pPr>
              <w:pStyle w:val="ae"/>
              <w:rPr>
                <w:sz w:val="22"/>
              </w:rPr>
            </w:pPr>
            <w:r>
              <w:rPr>
                <w:sz w:val="22"/>
              </w:rPr>
              <w:t>Бинарная переменная, характеризующая состояние волатильности рынка как низкое за 30 торговых дней до объявления.</w:t>
            </w:r>
          </w:p>
          <w:p w14:paraId="5ED82A3E" w14:textId="77777777" w:rsidR="00927CD4" w:rsidRDefault="00927CD4" w:rsidP="00CA7536">
            <w:pPr>
              <w:pStyle w:val="ae"/>
              <w:rPr>
                <w:sz w:val="22"/>
              </w:rPr>
            </w:pPr>
          </w:p>
        </w:tc>
      </w:tr>
      <w:tr w:rsidR="00927CD4" w14:paraId="089D9DA1" w14:textId="77777777" w:rsidTr="00CA7536">
        <w:tc>
          <w:tcPr>
            <w:tcW w:w="4672" w:type="dxa"/>
          </w:tcPr>
          <w:p w14:paraId="22525746" w14:textId="77777777" w:rsidR="00927CD4" w:rsidRDefault="00927CD4" w:rsidP="00CA7536">
            <w:pPr>
              <w:pStyle w:val="ae"/>
              <w:rPr>
                <w:sz w:val="22"/>
                <w:lang w:val="en-US"/>
              </w:rPr>
            </w:pPr>
            <w:r>
              <w:rPr>
                <w:sz w:val="22"/>
                <w:lang w:val="en-US"/>
              </w:rPr>
              <w:t>Medium_volatility</w:t>
            </w:r>
            <w:r>
              <w:rPr>
                <w:sz w:val="22"/>
              </w:rPr>
              <w:t xml:space="preserve"> (</w:t>
            </w:r>
            <w:r>
              <w:rPr>
                <w:sz w:val="22"/>
                <w:lang w:val="en-US"/>
              </w:rPr>
              <w:t>b)</w:t>
            </w:r>
          </w:p>
        </w:tc>
        <w:tc>
          <w:tcPr>
            <w:tcW w:w="4673" w:type="dxa"/>
          </w:tcPr>
          <w:p w14:paraId="4BEAEE72" w14:textId="77777777" w:rsidR="00927CD4" w:rsidRDefault="00927CD4" w:rsidP="00CA7536">
            <w:pPr>
              <w:pStyle w:val="ae"/>
              <w:rPr>
                <w:sz w:val="22"/>
              </w:rPr>
            </w:pPr>
            <w:r>
              <w:rPr>
                <w:sz w:val="22"/>
              </w:rPr>
              <w:t>Бинарная переменная, характеризующая состояние волатильности рынка как среднее за 30 торговых дней до объявления.</w:t>
            </w:r>
          </w:p>
          <w:p w14:paraId="0ECA7956" w14:textId="77777777" w:rsidR="00927CD4" w:rsidRDefault="00927CD4" w:rsidP="00CA7536">
            <w:pPr>
              <w:pStyle w:val="ae"/>
              <w:rPr>
                <w:sz w:val="22"/>
              </w:rPr>
            </w:pPr>
          </w:p>
        </w:tc>
      </w:tr>
      <w:tr w:rsidR="00927CD4" w14:paraId="4F53791B" w14:textId="77777777" w:rsidTr="00CA7536">
        <w:tc>
          <w:tcPr>
            <w:tcW w:w="4672" w:type="dxa"/>
          </w:tcPr>
          <w:p w14:paraId="21B4E49C" w14:textId="77777777" w:rsidR="00927CD4" w:rsidRDefault="00927CD4" w:rsidP="00CA7536">
            <w:pPr>
              <w:pStyle w:val="ae"/>
              <w:rPr>
                <w:sz w:val="22"/>
                <w:lang w:val="en-US"/>
              </w:rPr>
            </w:pPr>
            <w:r>
              <w:rPr>
                <w:sz w:val="22"/>
                <w:lang w:val="en-US"/>
              </w:rPr>
              <w:t>High_volatility</w:t>
            </w:r>
            <w:r>
              <w:rPr>
                <w:sz w:val="22"/>
              </w:rPr>
              <w:t xml:space="preserve"> (</w:t>
            </w:r>
            <w:r>
              <w:rPr>
                <w:sz w:val="22"/>
                <w:lang w:val="en-US"/>
              </w:rPr>
              <w:t>b)</w:t>
            </w:r>
          </w:p>
        </w:tc>
        <w:tc>
          <w:tcPr>
            <w:tcW w:w="4673" w:type="dxa"/>
          </w:tcPr>
          <w:p w14:paraId="33B2F436" w14:textId="77777777" w:rsidR="00927CD4" w:rsidRDefault="00927CD4" w:rsidP="00CA7536">
            <w:pPr>
              <w:pStyle w:val="ae"/>
              <w:rPr>
                <w:sz w:val="22"/>
              </w:rPr>
            </w:pPr>
            <w:r>
              <w:rPr>
                <w:sz w:val="22"/>
              </w:rPr>
              <w:t>Бинарная переменная, характеризующая состояние волатильности рынка как высокое за 30 торговых дней до объявления.</w:t>
            </w:r>
          </w:p>
          <w:p w14:paraId="734F96A7" w14:textId="77777777" w:rsidR="00927CD4" w:rsidRDefault="00927CD4" w:rsidP="00CA7536">
            <w:pPr>
              <w:pStyle w:val="ae"/>
              <w:rPr>
                <w:sz w:val="22"/>
              </w:rPr>
            </w:pPr>
          </w:p>
        </w:tc>
      </w:tr>
    </w:tbl>
    <w:p w14:paraId="5059E523" w14:textId="77777777" w:rsidR="00927CD4" w:rsidRDefault="00927CD4" w:rsidP="00927CD4">
      <w:pPr>
        <w:pStyle w:val="a"/>
      </w:pPr>
      <w:r>
        <w:t>Описание переменных, включенных в регрессионную модель</w:t>
      </w:r>
    </w:p>
    <w:p w14:paraId="23EEF306" w14:textId="77777777" w:rsidR="00493D4E" w:rsidRPr="00897F1B" w:rsidRDefault="00493D4E" w:rsidP="00493D4E"/>
    <w:p w14:paraId="20EDF2DD" w14:textId="77777777" w:rsidR="00493D4E" w:rsidRDefault="00493D4E" w:rsidP="00493D4E">
      <w:r>
        <w:t>Описанные выше переменные были включены в следующую модель (теоретическое представление модели):</w:t>
      </w:r>
    </w:p>
    <w:p w14:paraId="638ADF46" w14:textId="77777777" w:rsidR="00493D4E" w:rsidRPr="00C10C09" w:rsidRDefault="00493D4E" w:rsidP="00493D4E"/>
    <w:p w14:paraId="61A47C36" w14:textId="6DD6FDED" w:rsidR="00493D4E" w:rsidRPr="003A28F8" w:rsidRDefault="00CF4558" w:rsidP="00493D4E">
      <w:pPr>
        <w:ind w:left="-1701" w:right="2267" w:firstLine="2127"/>
        <w:rPr>
          <w:rFonts w:eastAsiaTheme="minorEastAsia"/>
          <w:i/>
          <w:szCs w:val="24"/>
        </w:rPr>
      </w:pPr>
      <m:oMathPara>
        <m:oMathParaPr>
          <m:jc m:val="center"/>
        </m:oMathParaPr>
        <m:oMath>
          <m:sSub>
            <m:sSubPr>
              <m:ctrlPr>
                <w:rPr>
                  <w:rFonts w:ascii="Cambria Math" w:hAnsi="Cambria Math"/>
                  <w:i/>
                  <w:szCs w:val="24"/>
                </w:rPr>
              </m:ctrlPr>
            </m:sSubPr>
            <m:e>
              <m:r>
                <w:rPr>
                  <w:rFonts w:ascii="Cambria Math" w:hAnsi="Cambria Math"/>
                  <w:szCs w:val="24"/>
                </w:rPr>
                <m:t>CAR</m:t>
              </m:r>
            </m:e>
            <m:sub>
              <m:r>
                <w:rPr>
                  <w:rFonts w:ascii="Cambria Math" w:hAnsi="Cambria Math"/>
                  <w:szCs w:val="24"/>
                </w:rPr>
                <m:t>it</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β</m:t>
              </m:r>
            </m:e>
            <m:sub>
              <m:r>
                <w:rPr>
                  <w:rFonts w:ascii="Cambria Math" w:hAnsi="Cambria Math"/>
                  <w:szCs w:val="24"/>
                </w:rPr>
                <m:t>0</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β</m:t>
              </m:r>
            </m:e>
            <m:sub>
              <m:r>
                <w:rPr>
                  <w:rFonts w:ascii="Cambria Math" w:hAnsi="Cambria Math"/>
                  <w:szCs w:val="24"/>
                </w:rPr>
                <m:t>1</m:t>
              </m:r>
            </m:sub>
          </m:sSub>
          <m:sSub>
            <m:sSubPr>
              <m:ctrlPr>
                <w:rPr>
                  <w:rFonts w:ascii="Cambria Math" w:hAnsi="Cambria Math"/>
                  <w:i/>
                  <w:szCs w:val="24"/>
                </w:rPr>
              </m:ctrlPr>
            </m:sSubPr>
            <m:e>
              <m:r>
                <w:rPr>
                  <w:rFonts w:ascii="Cambria Math" w:hAnsi="Cambria Math"/>
                  <w:szCs w:val="24"/>
                  <w:lang w:val="en-US"/>
                </w:rPr>
                <m:t>large</m:t>
              </m:r>
            </m:e>
            <m:sub>
              <m:r>
                <w:rPr>
                  <w:rFonts w:ascii="Cambria Math" w:hAnsi="Cambria Math"/>
                  <w:szCs w:val="24"/>
                </w:rPr>
                <m:t>it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β</m:t>
              </m:r>
            </m:e>
            <m:sub>
              <m:r>
                <w:rPr>
                  <w:rFonts w:ascii="Cambria Math" w:hAnsi="Cambria Math"/>
                  <w:szCs w:val="24"/>
                </w:rPr>
                <m:t>2</m:t>
              </m:r>
            </m:sub>
          </m:sSub>
          <m:sSub>
            <m:sSubPr>
              <m:ctrlPr>
                <w:rPr>
                  <w:rFonts w:ascii="Cambria Math" w:hAnsi="Cambria Math"/>
                  <w:i/>
                  <w:szCs w:val="24"/>
                </w:rPr>
              </m:ctrlPr>
            </m:sSubPr>
            <m:e>
              <m:r>
                <w:rPr>
                  <w:rFonts w:ascii="Cambria Math" w:hAnsi="Cambria Math"/>
                  <w:szCs w:val="24"/>
                </w:rPr>
                <m:t>small</m:t>
              </m:r>
            </m:e>
            <m:sub>
              <m:r>
                <w:rPr>
                  <w:rFonts w:ascii="Cambria Math" w:hAnsi="Cambria Math"/>
                  <w:szCs w:val="24"/>
                </w:rPr>
                <m:t>it</m:t>
              </m:r>
            </m:sub>
          </m:sSub>
          <m:sSub>
            <m:sSubPr>
              <m:ctrlPr>
                <w:rPr>
                  <w:rFonts w:ascii="Cambria Math" w:hAnsi="Cambria Math"/>
                  <w:i/>
                  <w:szCs w:val="24"/>
                </w:rPr>
              </m:ctrlPr>
            </m:sSubPr>
            <m:e>
              <m:r>
                <w:rPr>
                  <w:rFonts w:ascii="Cambria Math" w:hAnsi="Cambria Math"/>
                  <w:szCs w:val="24"/>
                </w:rPr>
                <m:t>+β</m:t>
              </m:r>
            </m:e>
            <m:sub>
              <m:r>
                <w:rPr>
                  <w:rFonts w:ascii="Cambria Math" w:hAnsi="Cambria Math"/>
                  <w:szCs w:val="24"/>
                </w:rPr>
                <m:t>3</m:t>
              </m:r>
            </m:sub>
          </m:sSub>
          <m:sSub>
            <m:sSubPr>
              <m:ctrlPr>
                <w:rPr>
                  <w:rFonts w:ascii="Cambria Math" w:hAnsi="Cambria Math"/>
                  <w:i/>
                  <w:szCs w:val="24"/>
                </w:rPr>
              </m:ctrlPr>
            </m:sSubPr>
            <m:e>
              <m:r>
                <w:rPr>
                  <w:rFonts w:ascii="Cambria Math" w:hAnsi="Cambria Math"/>
                  <w:szCs w:val="24"/>
                </w:rPr>
                <m:t>div_yield</m:t>
              </m:r>
            </m:e>
            <m:sub>
              <m:r>
                <w:rPr>
                  <w:rFonts w:ascii="Cambria Math" w:hAnsi="Cambria Math"/>
                  <w:szCs w:val="24"/>
                </w:rPr>
                <m:t>it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β</m:t>
              </m:r>
            </m:e>
            <m:sub>
              <m:r>
                <w:rPr>
                  <w:rFonts w:ascii="Cambria Math" w:hAnsi="Cambria Math"/>
                  <w:szCs w:val="24"/>
                </w:rPr>
                <m:t>4</m:t>
              </m:r>
            </m:sub>
          </m:sSub>
          <m:sSub>
            <m:sSubPr>
              <m:ctrlPr>
                <w:rPr>
                  <w:rFonts w:ascii="Cambria Math" w:hAnsi="Cambria Math"/>
                  <w:i/>
                  <w:szCs w:val="24"/>
                </w:rPr>
              </m:ctrlPr>
            </m:sSubPr>
            <m:e>
              <m:r>
                <w:rPr>
                  <w:rFonts w:ascii="Cambria Math" w:hAnsi="Cambria Math"/>
                  <w:szCs w:val="24"/>
                </w:rPr>
                <m:t>DPS_change</m:t>
              </m:r>
            </m:e>
            <m:sub>
              <m:r>
                <w:rPr>
                  <w:rFonts w:ascii="Cambria Math" w:hAnsi="Cambria Math"/>
                  <w:szCs w:val="24"/>
                </w:rPr>
                <m:t>it</m:t>
              </m:r>
            </m:sub>
          </m:sSub>
          <m:sSub>
            <m:sSubPr>
              <m:ctrlPr>
                <w:rPr>
                  <w:rFonts w:ascii="Cambria Math" w:hAnsi="Cambria Math"/>
                  <w:i/>
                  <w:szCs w:val="24"/>
                </w:rPr>
              </m:ctrlPr>
            </m:sSubPr>
            <m:e>
              <m:r>
                <w:rPr>
                  <w:rFonts w:ascii="Cambria Math" w:hAnsi="Cambria Math"/>
                  <w:szCs w:val="24"/>
                </w:rPr>
                <m:t>+</m:t>
              </m:r>
              <m:sSub>
                <m:sSubPr>
                  <m:ctrlPr>
                    <w:rPr>
                      <w:rFonts w:ascii="Cambria Math" w:hAnsi="Cambria Math"/>
                      <w:i/>
                      <w:szCs w:val="24"/>
                    </w:rPr>
                  </m:ctrlPr>
                </m:sSubPr>
                <m:e>
                  <m:r>
                    <w:rPr>
                      <w:rFonts w:ascii="Cambria Math" w:hAnsi="Cambria Math"/>
                      <w:szCs w:val="24"/>
                    </w:rPr>
                    <m:t>β</m:t>
                  </m:r>
                </m:e>
                <m:sub>
                  <m:r>
                    <w:rPr>
                      <w:rFonts w:ascii="Cambria Math" w:hAnsi="Cambria Math"/>
                      <w:szCs w:val="24"/>
                    </w:rPr>
                    <m:t>5</m:t>
                  </m:r>
                </m:sub>
              </m:sSub>
              <m:r>
                <w:rPr>
                  <w:rFonts w:ascii="Cambria Math" w:hAnsi="Cambria Math"/>
                  <w:szCs w:val="24"/>
                </w:rPr>
                <m:t>EP</m:t>
              </m:r>
              <m:sSub>
                <m:sSubPr>
                  <m:ctrlPr>
                    <w:rPr>
                      <w:rFonts w:ascii="Cambria Math" w:hAnsi="Cambria Math"/>
                      <w:i/>
                      <w:szCs w:val="24"/>
                    </w:rPr>
                  </m:ctrlPr>
                </m:sSubPr>
                <m:e>
                  <m:r>
                    <w:rPr>
                      <w:rFonts w:ascii="Cambria Math" w:hAnsi="Cambria Math"/>
                      <w:szCs w:val="24"/>
                    </w:rPr>
                    <m:t>S_</m:t>
                  </m:r>
                  <m:r>
                    <w:rPr>
                      <w:rFonts w:ascii="Cambria Math" w:hAnsi="Cambria Math"/>
                      <w:szCs w:val="24"/>
                      <w:lang w:val="en-US"/>
                    </w:rPr>
                    <m:t>confirm</m:t>
                  </m:r>
                </m:e>
                <m:sub>
                  <m:r>
                    <w:rPr>
                      <w:rFonts w:ascii="Cambria Math" w:hAnsi="Cambria Math"/>
                      <w:szCs w:val="24"/>
                    </w:rPr>
                    <m:t>it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β</m:t>
                  </m:r>
                </m:e>
                <m:sub>
                  <m:r>
                    <w:rPr>
                      <w:rFonts w:ascii="Cambria Math" w:hAnsi="Cambria Math"/>
                      <w:szCs w:val="24"/>
                    </w:rPr>
                    <m:t>6</m:t>
                  </m:r>
                </m:sub>
              </m:sSub>
              <m:sSub>
                <m:sSubPr>
                  <m:ctrlPr>
                    <w:rPr>
                      <w:rFonts w:ascii="Cambria Math" w:hAnsi="Cambria Math"/>
                      <w:i/>
                      <w:szCs w:val="24"/>
                    </w:rPr>
                  </m:ctrlPr>
                </m:sSubPr>
                <m:e>
                  <m:r>
                    <w:rPr>
                      <w:rFonts w:ascii="Cambria Math" w:hAnsi="Cambria Math"/>
                      <w:szCs w:val="24"/>
                    </w:rPr>
                    <m:t>P_BV</m:t>
                  </m:r>
                </m:e>
                <m:sub>
                  <m:r>
                    <w:rPr>
                      <w:rFonts w:ascii="Cambria Math" w:hAnsi="Cambria Math"/>
                      <w:szCs w:val="24"/>
                    </w:rPr>
                    <m:t>it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β</m:t>
                  </m:r>
                </m:e>
                <m:sub>
                  <m:r>
                    <w:rPr>
                      <w:rFonts w:ascii="Cambria Math" w:hAnsi="Cambria Math"/>
                      <w:szCs w:val="24"/>
                    </w:rPr>
                    <m:t>7</m:t>
                  </m:r>
                </m:sub>
              </m:sSub>
              <m:sSub>
                <m:sSubPr>
                  <m:ctrlPr>
                    <w:rPr>
                      <w:rFonts w:ascii="Cambria Math" w:hAnsi="Cambria Math"/>
                      <w:i/>
                      <w:szCs w:val="24"/>
                    </w:rPr>
                  </m:ctrlPr>
                </m:sSubPr>
                <m:e>
                  <m:r>
                    <w:rPr>
                      <w:rFonts w:ascii="Cambria Math" w:hAnsi="Cambria Math"/>
                      <w:szCs w:val="24"/>
                    </w:rPr>
                    <m:t>DPS_surprise</m:t>
                  </m:r>
                </m:e>
                <m:sub>
                  <m:r>
                    <w:rPr>
                      <w:rFonts w:ascii="Cambria Math" w:hAnsi="Cambria Math"/>
                      <w:szCs w:val="24"/>
                    </w:rPr>
                    <m:t>it</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β</m:t>
                  </m:r>
                </m:e>
                <m:sub>
                  <m:r>
                    <w:rPr>
                      <w:rFonts w:ascii="Cambria Math" w:hAnsi="Cambria Math"/>
                      <w:szCs w:val="24"/>
                    </w:rPr>
                    <m:t>8</m:t>
                  </m:r>
                </m:sub>
              </m:sSub>
              <m:sSub>
                <m:sSubPr>
                  <m:ctrlPr>
                    <w:rPr>
                      <w:rFonts w:ascii="Cambria Math" w:hAnsi="Cambria Math"/>
                      <w:i/>
                      <w:szCs w:val="24"/>
                    </w:rPr>
                  </m:ctrlPr>
                </m:sSubPr>
                <m:e>
                  <m:sSub>
                    <m:sSubPr>
                      <m:ctrlPr>
                        <w:rPr>
                          <w:rFonts w:ascii="Cambria Math" w:hAnsi="Cambria Math"/>
                          <w:szCs w:val="24"/>
                          <w:lang w:val="en-US"/>
                        </w:rPr>
                      </m:ctrlPr>
                    </m:sSubPr>
                    <m:e>
                      <m:r>
                        <m:rPr>
                          <m:sty m:val="p"/>
                        </m:rPr>
                        <w:rPr>
                          <w:rFonts w:ascii="Cambria Math" w:hAnsi="Cambria Math"/>
                          <w:szCs w:val="24"/>
                          <w:lang w:val="en-US"/>
                        </w:rPr>
                        <m:t>EPS</m:t>
                      </m:r>
                    </m:e>
                    <m:sub>
                      <m:r>
                        <m:rPr>
                          <m:sty m:val="p"/>
                        </m:rPr>
                        <w:rPr>
                          <w:rFonts w:ascii="Cambria Math" w:hAnsi="Cambria Math"/>
                          <w:szCs w:val="24"/>
                          <w:lang w:val="en-US"/>
                        </w:rPr>
                        <m:t>surprise</m:t>
                      </m:r>
                    </m:sub>
                  </m:sSub>
                </m:e>
                <m:sub>
                  <m:r>
                    <w:rPr>
                      <w:rFonts w:ascii="Cambria Math" w:hAnsi="Cambria Math"/>
                      <w:szCs w:val="24"/>
                    </w:rPr>
                    <m:t>it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β</m:t>
                  </m:r>
                </m:e>
                <m:sub>
                  <m:r>
                    <w:rPr>
                      <w:rFonts w:ascii="Cambria Math" w:hAnsi="Cambria Math"/>
                      <w:szCs w:val="24"/>
                    </w:rPr>
                    <m:t>9</m:t>
                  </m:r>
                </m:sub>
              </m:sSub>
              <m:sSub>
                <m:sSubPr>
                  <m:ctrlPr>
                    <w:rPr>
                      <w:rFonts w:ascii="Cambria Math" w:hAnsi="Cambria Math"/>
                      <w:i/>
                      <w:szCs w:val="24"/>
                    </w:rPr>
                  </m:ctrlPr>
                </m:sSubPr>
                <m:e>
                  <m:sSub>
                    <m:sSubPr>
                      <m:ctrlPr>
                        <w:rPr>
                          <w:rFonts w:ascii="Cambria Math" w:hAnsi="Cambria Math"/>
                          <w:szCs w:val="24"/>
                          <w:lang w:val="en-US"/>
                        </w:rPr>
                      </m:ctrlPr>
                    </m:sSubPr>
                    <m:e>
                      <m:r>
                        <m:rPr>
                          <m:sty m:val="p"/>
                        </m:rPr>
                        <w:rPr>
                          <w:rFonts w:ascii="Cambria Math" w:hAnsi="Cambria Math"/>
                          <w:szCs w:val="24"/>
                          <w:lang w:val="en-US"/>
                        </w:rPr>
                        <m:t>state</m:t>
                      </m:r>
                    </m:e>
                    <m:sub>
                      <m:r>
                        <m:rPr>
                          <m:sty m:val="p"/>
                        </m:rPr>
                        <w:rPr>
                          <w:rFonts w:ascii="Cambria Math" w:hAnsi="Cambria Math"/>
                          <w:szCs w:val="24"/>
                          <w:lang w:val="en-US"/>
                        </w:rPr>
                        <m:t>control</m:t>
                      </m:r>
                      <m:d>
                        <m:dPr>
                          <m:ctrlPr>
                            <w:rPr>
                              <w:rFonts w:ascii="Cambria Math" w:hAnsi="Cambria Math"/>
                              <w:szCs w:val="24"/>
                              <w:lang w:val="en-US"/>
                            </w:rPr>
                          </m:ctrlPr>
                        </m:dPr>
                        <m:e>
                          <m:r>
                            <m:rPr>
                              <m:sty m:val="p"/>
                            </m:rPr>
                            <w:rPr>
                              <w:rFonts w:ascii="Cambria Math" w:hAnsi="Cambria Math"/>
                              <w:szCs w:val="24"/>
                              <w:lang w:val="en-US"/>
                            </w:rPr>
                            <m:t>d</m:t>
                          </m:r>
                        </m:e>
                      </m:d>
                    </m:sub>
                  </m:sSub>
                </m:e>
                <m:sub>
                  <m:r>
                    <w:rPr>
                      <w:rFonts w:ascii="Cambria Math" w:hAnsi="Cambria Math"/>
                      <w:szCs w:val="24"/>
                    </w:rPr>
                    <m:t>it</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β</m:t>
                  </m:r>
                </m:e>
                <m:sub>
                  <m:r>
                    <w:rPr>
                      <w:rFonts w:ascii="Cambria Math" w:hAnsi="Cambria Math"/>
                      <w:szCs w:val="24"/>
                    </w:rPr>
                    <m:t>10</m:t>
                  </m:r>
                </m:sub>
              </m:sSub>
              <m:sSub>
                <m:sSubPr>
                  <m:ctrlPr>
                    <w:rPr>
                      <w:rFonts w:ascii="Cambria Math" w:hAnsi="Cambria Math"/>
                      <w:i/>
                      <w:szCs w:val="24"/>
                    </w:rPr>
                  </m:ctrlPr>
                </m:sSubPr>
                <m:e>
                  <m:r>
                    <m:rPr>
                      <m:sty m:val="p"/>
                    </m:rPr>
                    <w:rPr>
                      <w:rFonts w:ascii="Cambria Math" w:hAnsi="Cambria Math"/>
                      <w:szCs w:val="24"/>
                      <w:lang w:val="en-US"/>
                    </w:rPr>
                    <m:t>High_return(d)</m:t>
                  </m:r>
                </m:e>
                <m:sub>
                  <m:r>
                    <w:rPr>
                      <w:rFonts w:ascii="Cambria Math" w:hAnsi="Cambria Math"/>
                      <w:szCs w:val="24"/>
                    </w:rPr>
                    <m:t>it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β</m:t>
                  </m:r>
                </m:e>
                <m:sub>
                  <m:r>
                    <w:rPr>
                      <w:rFonts w:ascii="Cambria Math" w:hAnsi="Cambria Math"/>
                      <w:szCs w:val="24"/>
                    </w:rPr>
                    <m:t>11</m:t>
                  </m:r>
                </m:sub>
              </m:sSub>
              <m:sSub>
                <m:sSubPr>
                  <m:ctrlPr>
                    <w:rPr>
                      <w:rFonts w:ascii="Cambria Math" w:hAnsi="Cambria Math"/>
                      <w:i/>
                      <w:szCs w:val="24"/>
                    </w:rPr>
                  </m:ctrlPr>
                </m:sSubPr>
                <m:e>
                  <m:r>
                    <m:rPr>
                      <m:sty m:val="p"/>
                    </m:rPr>
                    <w:rPr>
                      <w:rFonts w:ascii="Cambria Math" w:hAnsi="Cambria Math"/>
                      <w:szCs w:val="24"/>
                      <w:lang w:val="en-US"/>
                    </w:rPr>
                    <m:t>Low_return(d)</m:t>
                  </m:r>
                </m:e>
                <m:sub>
                  <m:r>
                    <w:rPr>
                      <w:rFonts w:ascii="Cambria Math" w:hAnsi="Cambria Math"/>
                      <w:szCs w:val="24"/>
                    </w:rPr>
                    <m:t>it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β</m:t>
                  </m:r>
                </m:e>
                <m:sub>
                  <m:r>
                    <w:rPr>
                      <w:rFonts w:ascii="Cambria Math" w:hAnsi="Cambria Math"/>
                      <w:szCs w:val="24"/>
                    </w:rPr>
                    <m:t>12</m:t>
                  </m:r>
                </m:sub>
              </m:sSub>
              <m:sSub>
                <m:sSubPr>
                  <m:ctrlPr>
                    <w:rPr>
                      <w:rFonts w:ascii="Cambria Math" w:hAnsi="Cambria Math"/>
                      <w:i/>
                      <w:szCs w:val="24"/>
                    </w:rPr>
                  </m:ctrlPr>
                </m:sSubPr>
                <m:e>
                  <m:r>
                    <m:rPr>
                      <m:sty m:val="p"/>
                    </m:rPr>
                    <w:rPr>
                      <w:rFonts w:ascii="Cambria Math" w:hAnsi="Cambria Math"/>
                      <w:szCs w:val="24"/>
                      <w:lang w:val="en-US"/>
                    </w:rPr>
                    <m:t>High_volatility(d)</m:t>
                  </m:r>
                </m:e>
                <m:sub>
                  <m:r>
                    <w:rPr>
                      <w:rFonts w:ascii="Cambria Math" w:hAnsi="Cambria Math"/>
                      <w:szCs w:val="24"/>
                    </w:rPr>
                    <m:t>it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β</m:t>
                  </m:r>
                </m:e>
                <m:sub>
                  <m:r>
                    <w:rPr>
                      <w:rFonts w:ascii="Cambria Math" w:hAnsi="Cambria Math"/>
                      <w:szCs w:val="24"/>
                    </w:rPr>
                    <m:t>13</m:t>
                  </m:r>
                </m:sub>
              </m:sSub>
              <m:sSub>
                <m:sSubPr>
                  <m:ctrlPr>
                    <w:rPr>
                      <w:rFonts w:ascii="Cambria Math" w:hAnsi="Cambria Math"/>
                      <w:i/>
                      <w:szCs w:val="24"/>
                    </w:rPr>
                  </m:ctrlPr>
                </m:sSubPr>
                <m:e>
                  <m:r>
                    <m:rPr>
                      <m:sty m:val="p"/>
                    </m:rPr>
                    <w:rPr>
                      <w:rFonts w:ascii="Cambria Math" w:hAnsi="Cambria Math"/>
                      <w:szCs w:val="24"/>
                      <w:lang w:val="en-US"/>
                    </w:rPr>
                    <m:t>Low_volatility(d)</m:t>
                  </m:r>
                </m:e>
                <m:sub>
                  <m:r>
                    <w:rPr>
                      <w:rFonts w:ascii="Cambria Math" w:hAnsi="Cambria Math"/>
                      <w:szCs w:val="24"/>
                    </w:rPr>
                    <m:t>it</m:t>
                  </m:r>
                </m:sub>
              </m:sSub>
              <m:r>
                <w:rPr>
                  <w:rFonts w:ascii="Cambria Math" w:hAnsi="Cambria Math"/>
                  <w:szCs w:val="24"/>
                </w:rPr>
                <m:t>+ε</m:t>
              </m:r>
            </m:e>
            <m:sub>
              <m:r>
                <w:rPr>
                  <w:rFonts w:ascii="Cambria Math" w:hAnsi="Cambria Math"/>
                  <w:szCs w:val="24"/>
                </w:rPr>
                <m:t>it</m:t>
              </m:r>
            </m:sub>
          </m:sSub>
        </m:oMath>
      </m:oMathPara>
    </w:p>
    <w:p w14:paraId="7E3E0026" w14:textId="77777777" w:rsidR="00493D4E" w:rsidRPr="008B2B57" w:rsidRDefault="00493D4E" w:rsidP="00493D4E">
      <w:pPr>
        <w:rPr>
          <w:rFonts w:eastAsiaTheme="minorEastAsia"/>
          <w:i/>
        </w:rPr>
      </w:pPr>
    </w:p>
    <w:p w14:paraId="2B98BE86" w14:textId="77777777" w:rsidR="00493D4E" w:rsidRDefault="00493D4E" w:rsidP="00493D4E">
      <w:pPr>
        <w:rPr>
          <w:rFonts w:eastAsiaTheme="minorEastAsia" w:cs="Times New Roman"/>
          <w:szCs w:val="24"/>
        </w:rPr>
      </w:pPr>
      <w:r w:rsidRPr="002B2115">
        <w:rPr>
          <w:rFonts w:eastAsiaTheme="minorEastAsia" w:cs="Times New Roman"/>
          <w:iCs/>
          <w:szCs w:val="24"/>
        </w:rPr>
        <w:t xml:space="preserve">Зависимая переменная </w:t>
      </w:r>
      <w:r w:rsidRPr="002B2115">
        <w:rPr>
          <w:rFonts w:cs="Times New Roman"/>
          <w:color w:val="70757A"/>
          <w:szCs w:val="24"/>
          <w:shd w:val="clear" w:color="auto" w:fill="FFFFFF"/>
        </w:rPr>
        <w:t>— </w:t>
      </w:r>
      <w:r w:rsidRPr="002B2115">
        <w:rPr>
          <w:rFonts w:eastAsiaTheme="minorEastAsia" w:cs="Times New Roman"/>
          <w:iCs/>
          <w:szCs w:val="24"/>
        </w:rPr>
        <w:t xml:space="preserve"> </w:t>
      </w:r>
      <m:oMath>
        <m:sSub>
          <m:sSubPr>
            <m:ctrlPr>
              <w:rPr>
                <w:rFonts w:ascii="Cambria Math" w:hAnsi="Cambria Math" w:cs="Times New Roman"/>
                <w:i/>
                <w:szCs w:val="24"/>
              </w:rPr>
            </m:ctrlPr>
          </m:sSubPr>
          <m:e>
            <m:r>
              <w:rPr>
                <w:rFonts w:ascii="Cambria Math" w:hAnsi="Cambria Math" w:cs="Times New Roman"/>
                <w:szCs w:val="24"/>
              </w:rPr>
              <m:t>CAR</m:t>
            </m:r>
          </m:e>
          <m:sub>
            <m:r>
              <w:rPr>
                <w:rFonts w:ascii="Cambria Math" w:hAnsi="Cambria Math" w:cs="Times New Roman"/>
                <w:szCs w:val="24"/>
              </w:rPr>
              <m:t>it</m:t>
            </m:r>
          </m:sub>
        </m:sSub>
      </m:oMath>
      <w:r w:rsidRPr="002B2115">
        <w:rPr>
          <w:rFonts w:eastAsiaTheme="minorEastAsia" w:cs="Times New Roman"/>
          <w:szCs w:val="24"/>
        </w:rPr>
        <w:t xml:space="preserve"> </w:t>
      </w:r>
      <w:r w:rsidRPr="002B2115">
        <w:rPr>
          <w:rFonts w:eastAsiaTheme="minorEastAsia" w:cs="Times New Roman"/>
          <w:szCs w:val="24"/>
          <w:lang w:val="en-US"/>
        </w:rPr>
        <w:t>i</w:t>
      </w:r>
      <w:r w:rsidRPr="009217DB">
        <w:rPr>
          <w:rFonts w:eastAsiaTheme="minorEastAsia" w:cs="Times New Roman"/>
          <w:szCs w:val="24"/>
        </w:rPr>
        <w:t>=</w:t>
      </w:r>
      <w:proofErr w:type="gramStart"/>
      <w:r w:rsidRPr="009217DB">
        <w:rPr>
          <w:rFonts w:eastAsiaTheme="minorEastAsia" w:cs="Times New Roman"/>
          <w:szCs w:val="24"/>
        </w:rPr>
        <w:t>1,</w:t>
      </w:r>
      <w:r w:rsidRPr="002B2115">
        <w:rPr>
          <w:rFonts w:eastAsiaTheme="minorEastAsia" w:cs="Times New Roman"/>
          <w:szCs w:val="24"/>
        </w:rPr>
        <w:t>…</w:t>
      </w:r>
      <w:proofErr w:type="gramEnd"/>
      <w:r w:rsidRPr="002B2115">
        <w:rPr>
          <w:rFonts w:eastAsiaTheme="minorEastAsia" w:cs="Times New Roman"/>
          <w:szCs w:val="24"/>
        </w:rPr>
        <w:t>,</w:t>
      </w:r>
      <w:r w:rsidRPr="002B2115">
        <w:rPr>
          <w:rFonts w:eastAsiaTheme="minorEastAsia" w:cs="Times New Roman"/>
          <w:szCs w:val="24"/>
          <w:lang w:val="en-US"/>
        </w:rPr>
        <w:t>n</w:t>
      </w:r>
      <w:r w:rsidRPr="009217DB">
        <w:rPr>
          <w:rFonts w:eastAsiaTheme="minorEastAsia" w:cs="Times New Roman"/>
          <w:szCs w:val="24"/>
        </w:rPr>
        <w:t xml:space="preserve">; </w:t>
      </w:r>
      <w:r w:rsidRPr="002B2115">
        <w:rPr>
          <w:rFonts w:eastAsiaTheme="minorEastAsia" w:cs="Times New Roman"/>
          <w:szCs w:val="24"/>
          <w:lang w:val="en-US"/>
        </w:rPr>
        <w:t>t</w:t>
      </w:r>
      <w:r w:rsidRPr="009217DB">
        <w:rPr>
          <w:rFonts w:eastAsiaTheme="minorEastAsia" w:cs="Times New Roman"/>
          <w:szCs w:val="24"/>
        </w:rPr>
        <w:t xml:space="preserve">=1, …, </w:t>
      </w:r>
      <w:r w:rsidRPr="002B2115">
        <w:rPr>
          <w:rFonts w:eastAsiaTheme="minorEastAsia" w:cs="Times New Roman"/>
          <w:szCs w:val="24"/>
          <w:lang w:val="en-US"/>
        </w:rPr>
        <w:t>T</w:t>
      </w:r>
      <w:r w:rsidRPr="009217DB">
        <w:rPr>
          <w:rFonts w:eastAsiaTheme="minorEastAsia" w:cs="Times New Roman"/>
          <w:szCs w:val="24"/>
        </w:rPr>
        <w:t xml:space="preserve"> – </w:t>
      </w:r>
      <w:r w:rsidRPr="002B2115">
        <w:rPr>
          <w:rFonts w:cs="Times New Roman"/>
          <w:szCs w:val="24"/>
        </w:rPr>
        <w:t xml:space="preserve">Значение накопленной избыточной доходности </w:t>
      </w:r>
      <w:r w:rsidRPr="002B2115">
        <w:rPr>
          <w:rFonts w:eastAsiaTheme="minorEastAsia" w:cs="Times New Roman"/>
          <w:szCs w:val="24"/>
        </w:rPr>
        <w:t>в окне события.</w:t>
      </w:r>
      <w:r w:rsidRPr="009217DB">
        <w:rPr>
          <w:rFonts w:eastAsiaTheme="minorEastAsia" w:cs="Times New Roman"/>
          <w:szCs w:val="24"/>
        </w:rPr>
        <w:t xml:space="preserve"> </w:t>
      </w:r>
      <w:r w:rsidRPr="002B2115">
        <w:rPr>
          <w:rFonts w:eastAsiaTheme="minorEastAsia" w:cs="Times New Roman"/>
          <w:szCs w:val="24"/>
        </w:rPr>
        <w:t xml:space="preserve">Под символом </w:t>
      </w:r>
      <m:oMath>
        <m:sSub>
          <m:sSubPr>
            <m:ctrlPr>
              <w:rPr>
                <w:rFonts w:ascii="Cambria Math" w:eastAsiaTheme="minorEastAsia" w:hAnsi="Cambria Math" w:cs="Times New Roman"/>
                <w:i/>
                <w:szCs w:val="24"/>
              </w:rPr>
            </m:ctrlPr>
          </m:sSubPr>
          <m:e>
            <m:r>
              <w:rPr>
                <w:rFonts w:ascii="Cambria Math" w:hAnsi="Cambria Math" w:cs="Times New Roman"/>
                <w:szCs w:val="24"/>
              </w:rPr>
              <m:t>ε</m:t>
            </m:r>
          </m:e>
          <m:sub>
            <m:r>
              <w:rPr>
                <w:rFonts w:ascii="Cambria Math" w:eastAsiaTheme="minorEastAsia" w:hAnsi="Cambria Math" w:cs="Times New Roman"/>
                <w:szCs w:val="24"/>
                <w:lang w:val="en-US"/>
              </w:rPr>
              <m:t>it</m:t>
            </m:r>
          </m:sub>
        </m:sSub>
      </m:oMath>
      <w:r w:rsidRPr="009217DB">
        <w:rPr>
          <w:rFonts w:eastAsiaTheme="minorEastAsia" w:cs="Times New Roman"/>
          <w:szCs w:val="24"/>
        </w:rPr>
        <w:t xml:space="preserve"> </w:t>
      </w:r>
      <w:r w:rsidRPr="002B2115">
        <w:rPr>
          <w:rFonts w:eastAsiaTheme="minorEastAsia" w:cs="Times New Roman"/>
          <w:szCs w:val="24"/>
        </w:rPr>
        <w:t xml:space="preserve">в данной модели обозначена случайная ошибка, под </w:t>
      </w:r>
      <m:oMath>
        <m:sSub>
          <m:sSubPr>
            <m:ctrlPr>
              <w:rPr>
                <w:rFonts w:ascii="Cambria Math" w:hAnsi="Cambria Math" w:cs="Times New Roman"/>
                <w:i/>
                <w:szCs w:val="24"/>
              </w:rPr>
            </m:ctrlPr>
          </m:sSubPr>
          <m:e>
            <m:r>
              <w:rPr>
                <w:rFonts w:ascii="Cambria Math" w:hAnsi="Cambria Math" w:cs="Times New Roman"/>
                <w:szCs w:val="24"/>
              </w:rPr>
              <m:t>β</m:t>
            </m:r>
          </m:e>
          <m:sub>
            <m:r>
              <w:rPr>
                <w:rFonts w:ascii="Cambria Math" w:hAnsi="Cambria Math" w:cs="Times New Roman"/>
                <w:szCs w:val="24"/>
              </w:rPr>
              <m:t>0</m:t>
            </m:r>
          </m:sub>
        </m:sSub>
        <m:r>
          <w:rPr>
            <w:rFonts w:ascii="Cambria Math" w:hAnsi="Cambria Math" w:cs="Times New Roman"/>
            <w:szCs w:val="24"/>
          </w:rPr>
          <m:t>-константа.</m:t>
        </m:r>
      </m:oMath>
    </w:p>
    <w:p w14:paraId="6C733669" w14:textId="4579AE96" w:rsidR="00493D4E" w:rsidRDefault="00493D4E" w:rsidP="00493D4E">
      <w:pPr>
        <w:rPr>
          <w:rFonts w:eastAsiaTheme="minorEastAsia" w:cs="Times New Roman"/>
          <w:szCs w:val="24"/>
        </w:rPr>
      </w:pPr>
      <w:r>
        <w:rPr>
          <w:rFonts w:eastAsiaTheme="minorEastAsia" w:cs="Times New Roman"/>
          <w:szCs w:val="24"/>
        </w:rPr>
        <w:t>При этом данные переменные не были включены в модель одновременно: сначала были включены контрольные переменные, и далее, при условии значимости хотя бы некоторых контрольных переменных, включались переменные, характеризующие состояние рынка перед объялением.</w:t>
      </w:r>
    </w:p>
    <w:p w14:paraId="682B9D23" w14:textId="77777777" w:rsidR="00493D4E" w:rsidRPr="00493D4E" w:rsidRDefault="00493D4E" w:rsidP="00493D4E">
      <w:pPr>
        <w:rPr>
          <w:rFonts w:cs="Times New Roman"/>
          <w:szCs w:val="24"/>
        </w:rPr>
      </w:pPr>
    </w:p>
    <w:p w14:paraId="7C757C35" w14:textId="3B7D8644" w:rsidR="003E2B05" w:rsidRDefault="003E2B05" w:rsidP="003E2B05">
      <w:pPr>
        <w:pStyle w:val="2"/>
      </w:pPr>
      <w:bookmarkStart w:id="36" w:name="_Toc104840367"/>
      <w:r>
        <w:t>3.</w:t>
      </w:r>
      <w:r w:rsidR="00493D4E" w:rsidRPr="009217DB">
        <w:t>3</w:t>
      </w:r>
      <w:r>
        <w:t xml:space="preserve"> Формирование выборки</w:t>
      </w:r>
      <w:bookmarkEnd w:id="36"/>
    </w:p>
    <w:p w14:paraId="50BB7F05" w14:textId="4C4829EC" w:rsidR="00BB087C" w:rsidRDefault="003E2B05" w:rsidP="003E2B05">
      <w:r>
        <w:t>Для формирования выборки были собраны данные об объявлениях компаний о размере дивидендов</w:t>
      </w:r>
      <w:r w:rsidR="003F2184">
        <w:rPr>
          <w:rStyle w:val="aff"/>
        </w:rPr>
        <w:footnoteReference w:id="54"/>
      </w:r>
      <w:r>
        <w:t xml:space="preserve"> были собраны за период </w:t>
      </w:r>
      <w:r w:rsidR="003F2184">
        <w:t xml:space="preserve">2016–2019 </w:t>
      </w:r>
      <w:r>
        <w:t xml:space="preserve">гг., исходя из потребности в наиболее свежих данных. </w:t>
      </w:r>
      <w:r w:rsidR="003F2184">
        <w:t xml:space="preserve">В выборку не вошли данные по объявлениям в </w:t>
      </w:r>
      <w:r w:rsidR="00906A51">
        <w:t>2014–</w:t>
      </w:r>
      <w:proofErr w:type="gramStart"/>
      <w:r w:rsidR="00906A51">
        <w:t xml:space="preserve">2015 </w:t>
      </w:r>
      <w:r w:rsidR="00BB087C">
        <w:t xml:space="preserve"> г</w:t>
      </w:r>
      <w:r w:rsidR="003F2184">
        <w:t>г.</w:t>
      </w:r>
      <w:proofErr w:type="gramEnd"/>
      <w:r w:rsidR="003F2184">
        <w:t xml:space="preserve"> и в 2020</w:t>
      </w:r>
      <w:r w:rsidR="00BB087C">
        <w:t xml:space="preserve"> </w:t>
      </w:r>
      <w:r w:rsidR="003F2184">
        <w:t>г., так как эти годы характеризовались периодом экономического кризиса в России, и, поскольку реакция рынка на новость о дивидендах име</w:t>
      </w:r>
      <w:r w:rsidR="00BB087C">
        <w:t>е</w:t>
      </w:r>
      <w:r w:rsidR="003F2184">
        <w:t xml:space="preserve">т свою специфику </w:t>
      </w:r>
      <w:r w:rsidR="00BB087C">
        <w:t xml:space="preserve">в условиях кризиса, </w:t>
      </w:r>
      <w:r>
        <w:t>включение данных за эт</w:t>
      </w:r>
      <w:r w:rsidR="00BB087C">
        <w:t>и</w:t>
      </w:r>
      <w:r>
        <w:t xml:space="preserve"> год</w:t>
      </w:r>
      <w:r w:rsidR="00BB087C">
        <w:t>ы</w:t>
      </w:r>
      <w:r>
        <w:t xml:space="preserve"> мо</w:t>
      </w:r>
      <w:r w:rsidR="00BB087C">
        <w:t>гло значительно</w:t>
      </w:r>
      <w:r>
        <w:t xml:space="preserve"> исказить</w:t>
      </w:r>
      <w:r w:rsidR="00BB087C">
        <w:t xml:space="preserve"> итоговые</w:t>
      </w:r>
      <w:r>
        <w:t xml:space="preserve"> результат</w:t>
      </w:r>
      <w:r w:rsidR="00BB087C">
        <w:t>ы</w:t>
      </w:r>
      <w:r>
        <w:t xml:space="preserve"> анализа. </w:t>
      </w:r>
      <w:r w:rsidR="00573D31">
        <w:t xml:space="preserve">Аналогично, в Китае произошел кризис фондового рынка в 2015 г., когда надутый финансовый «пузырь» лопнул, и ключевой индекс китайского рынка </w:t>
      </w:r>
      <w:r w:rsidR="00573D31" w:rsidRPr="00887416">
        <w:t>Shanghai Composite потерял треть своей стоимости летом 2015г.</w:t>
      </w:r>
      <w:r w:rsidR="00887416">
        <w:rPr>
          <w:rStyle w:val="aff"/>
        </w:rPr>
        <w:footnoteReference w:id="55"/>
      </w:r>
    </w:p>
    <w:p w14:paraId="07289ABC" w14:textId="1C30C42B" w:rsidR="00997E58" w:rsidRDefault="00887416" w:rsidP="003E2B05">
      <w:r>
        <w:t xml:space="preserve">В выборку по России были включены российские компании, которые </w:t>
      </w:r>
      <w:r w:rsidR="00847202">
        <w:t>торговались в выбранный период на Московской Бирже</w:t>
      </w:r>
      <w:r w:rsidR="00906A51">
        <w:t xml:space="preserve"> (</w:t>
      </w:r>
      <w:r w:rsidR="00906A51">
        <w:rPr>
          <w:lang w:val="en-US"/>
        </w:rPr>
        <w:t>MICEX</w:t>
      </w:r>
      <w:r w:rsidR="00906A51" w:rsidRPr="009217DB">
        <w:t>)</w:t>
      </w:r>
      <w:r w:rsidR="00847202">
        <w:t>. Для формирования выборки по Китаю было необходимо выбрать одну из двух бирж Китая: Шанхасйкую или Шеньженьскую.</w:t>
      </w:r>
      <w:r>
        <w:t xml:space="preserve"> </w:t>
      </w:r>
      <w:r w:rsidR="00847202">
        <w:t>Была выбрана биржа Шень</w:t>
      </w:r>
      <w:r w:rsidR="00F04BDC">
        <w:t>ч</w:t>
      </w:r>
      <w:r w:rsidR="00847202">
        <w:t>ж</w:t>
      </w:r>
      <w:r w:rsidR="00F04BDC">
        <w:t>э</w:t>
      </w:r>
      <w:r w:rsidR="00847202">
        <w:t xml:space="preserve">ня, исходя из </w:t>
      </w:r>
      <w:r w:rsidR="00D34B4D">
        <w:t>большего</w:t>
      </w:r>
      <w:r w:rsidR="00847202">
        <w:t xml:space="preserve"> количества залистингованных на ней компаний</w:t>
      </w:r>
      <w:r w:rsidR="00D34B4D">
        <w:t xml:space="preserve"> (в частности, на конец 2019</w:t>
      </w:r>
      <w:r w:rsidR="00906A51">
        <w:t xml:space="preserve"> </w:t>
      </w:r>
      <w:r w:rsidR="00D34B4D">
        <w:t>г. на Шень</w:t>
      </w:r>
      <w:r w:rsidR="00F04BDC">
        <w:t>ч</w:t>
      </w:r>
      <w:r w:rsidR="00D34B4D">
        <w:t>ж</w:t>
      </w:r>
      <w:r w:rsidR="00F04BDC">
        <w:t>э</w:t>
      </w:r>
      <w:r w:rsidR="00D34B4D">
        <w:t>ньской бирже было залистинговано 2205 компаний по сравнению с 1572 компаниями на Шанхайской бирже).</w:t>
      </w:r>
      <w:r w:rsidR="00BF35F3">
        <w:rPr>
          <w:rStyle w:val="aff"/>
        </w:rPr>
        <w:footnoteReference w:id="56"/>
      </w:r>
      <w:r w:rsidR="00D34B4D">
        <w:t xml:space="preserve"> </w:t>
      </w:r>
      <w:r w:rsidR="00BF35F3">
        <w:t xml:space="preserve">При этом в выборку были включены только китайские акции типа А, поскольку </w:t>
      </w:r>
      <w:r w:rsidR="00717486">
        <w:t xml:space="preserve">число таких акций ежегодно набирает популярность по сравнению с акциями типа Б (на 2020г. более 4 тыс. компаний выпустили акции типа А, и только 93 компании  выпустили акции типа Б, их число ежегодно падает). </w:t>
      </w:r>
    </w:p>
    <w:p w14:paraId="4E44B976" w14:textId="48D7712B" w:rsidR="00BB087C" w:rsidRDefault="00997E58" w:rsidP="003E2B05">
      <w:r>
        <w:t>При формировании</w:t>
      </w:r>
      <w:r w:rsidR="00BB087C">
        <w:t xml:space="preserve"> выборок </w:t>
      </w:r>
      <w:r>
        <w:t>использовались следующие критерии:</w:t>
      </w:r>
    </w:p>
    <w:p w14:paraId="0C1D5DDC" w14:textId="1F165E50" w:rsidR="00B75101" w:rsidRDefault="00B75101" w:rsidP="003E2B05">
      <w:r>
        <w:t xml:space="preserve"> - акции </w:t>
      </w:r>
      <w:r w:rsidR="006F0817">
        <w:t xml:space="preserve">компаний </w:t>
      </w:r>
      <w:r>
        <w:t>активно торговались на всем анализируемом периоде (оборот не менее 1 млн акций в год</w:t>
      </w:r>
      <w:r w:rsidR="006F0817">
        <w:t xml:space="preserve">), при этом не было зафиксировано длительных перерывов в торгах </w:t>
      </w:r>
      <w:r w:rsidR="006F0817" w:rsidRPr="00822303">
        <w:t>(</w:t>
      </w:r>
      <w:r w:rsidR="00822303" w:rsidRPr="00822303">
        <w:t>больше двух недель</w:t>
      </w:r>
      <w:r w:rsidR="006F0817" w:rsidRPr="00822303">
        <w:t>)</w:t>
      </w:r>
    </w:p>
    <w:p w14:paraId="0FDB535B" w14:textId="6C1979B6" w:rsidR="006F0817" w:rsidRDefault="006F0817" w:rsidP="006F0817">
      <w:r>
        <w:t>- акции компаний всех секторов, за исключением финансового</w:t>
      </w:r>
    </w:p>
    <w:p w14:paraId="49E24476" w14:textId="4FFB561B" w:rsidR="006F0817" w:rsidRDefault="006F0817" w:rsidP="003E2B05">
      <w:r>
        <w:t xml:space="preserve">- компании регулярно платили дивиденды </w:t>
      </w:r>
      <w:r w:rsidRPr="006F0817">
        <w:t xml:space="preserve">в течение наблюдаемого периода (не менее </w:t>
      </w:r>
      <w:r>
        <w:t>двух</w:t>
      </w:r>
      <w:r w:rsidRPr="006F0817">
        <w:t xml:space="preserve"> раз)</w:t>
      </w:r>
      <w:r w:rsidRPr="009217DB">
        <w:t xml:space="preserve">; </w:t>
      </w:r>
      <w:r>
        <w:t>при этом в выборку не включались объявления о первой выплате дивидендов за историю компании</w:t>
      </w:r>
    </w:p>
    <w:p w14:paraId="78233D0C" w14:textId="17F6C838" w:rsidR="004B60B6" w:rsidRDefault="004B60B6" w:rsidP="003E2B05">
      <w:r>
        <w:t xml:space="preserve">- компании не проводили </w:t>
      </w:r>
      <w:r w:rsidR="007E6744">
        <w:t xml:space="preserve">дробление </w:t>
      </w:r>
      <w:r>
        <w:t>акций в течение года</w:t>
      </w:r>
    </w:p>
    <w:p w14:paraId="20CD40C5" w14:textId="3546DC3E" w:rsidR="004B60B6" w:rsidRDefault="006F0817" w:rsidP="003E2B05">
      <w:r>
        <w:t xml:space="preserve">- </w:t>
      </w:r>
      <w:r w:rsidR="004B60B6">
        <w:t xml:space="preserve">в окне события </w:t>
      </w:r>
      <w:r>
        <w:t xml:space="preserve">о дивидендах не было </w:t>
      </w:r>
      <w:r w:rsidR="004B60B6">
        <w:t xml:space="preserve">сделано других важных объявленийили новостей, которые могли бы существенно повлиять на результаты </w:t>
      </w:r>
      <w:r w:rsidR="00193273">
        <w:t xml:space="preserve">событийного анализа </w:t>
      </w:r>
      <w:r w:rsidR="004B60B6">
        <w:t xml:space="preserve">(объявления о сделках </w:t>
      </w:r>
      <w:r w:rsidR="004B60B6">
        <w:rPr>
          <w:lang w:val="en-US"/>
        </w:rPr>
        <w:t>M</w:t>
      </w:r>
      <w:r w:rsidR="004B60B6" w:rsidRPr="009217DB">
        <w:t>&amp;</w:t>
      </w:r>
      <w:r w:rsidR="004B60B6">
        <w:rPr>
          <w:lang w:val="en-US"/>
        </w:rPr>
        <w:t>A</w:t>
      </w:r>
      <w:r w:rsidR="004B60B6">
        <w:t xml:space="preserve">, </w:t>
      </w:r>
      <w:r w:rsidR="00906A51">
        <w:t xml:space="preserve">изменение состава органов управления, </w:t>
      </w:r>
      <w:r w:rsidR="004B60B6">
        <w:t>корпоративные скандалы и прочее)</w:t>
      </w:r>
    </w:p>
    <w:p w14:paraId="0F0E6F0C" w14:textId="19A97FAB" w:rsidR="006F0817" w:rsidRPr="00CC2063" w:rsidRDefault="006F0817" w:rsidP="003E2B05">
      <w:r>
        <w:t xml:space="preserve"> </w:t>
      </w:r>
      <w:r w:rsidR="004B60B6">
        <w:t xml:space="preserve">- есть данные о консенсус-прогнозе дивидендов компаний в базе </w:t>
      </w:r>
      <w:r w:rsidR="004B60B6">
        <w:rPr>
          <w:lang w:val="en-US"/>
        </w:rPr>
        <w:t>I</w:t>
      </w:r>
      <w:r w:rsidR="004B60B6" w:rsidRPr="009217DB">
        <w:t>/</w:t>
      </w:r>
      <w:r w:rsidR="004B60B6">
        <w:rPr>
          <w:lang w:val="en-US"/>
        </w:rPr>
        <w:t>B</w:t>
      </w:r>
      <w:r w:rsidR="004B60B6" w:rsidRPr="009217DB">
        <w:t>/</w:t>
      </w:r>
      <w:r w:rsidR="004B60B6">
        <w:rPr>
          <w:lang w:val="en-US"/>
        </w:rPr>
        <w:t>E</w:t>
      </w:r>
      <w:r w:rsidR="004B60B6" w:rsidRPr="009217DB">
        <w:t>/</w:t>
      </w:r>
      <w:r w:rsidR="004B60B6">
        <w:rPr>
          <w:lang w:val="en-US"/>
        </w:rPr>
        <w:t>S</w:t>
      </w:r>
      <w:r w:rsidR="00CC2063" w:rsidRPr="009217DB">
        <w:t xml:space="preserve"> </w:t>
      </w:r>
      <w:r w:rsidR="00CC2063">
        <w:t>на дату, не ранее, чем за 3 месяца до дня объявления</w:t>
      </w:r>
    </w:p>
    <w:p w14:paraId="713FCFD2" w14:textId="0D430328" w:rsidR="004B60B6" w:rsidRPr="004B60B6" w:rsidRDefault="004B60B6" w:rsidP="003E2B05">
      <w:r w:rsidRPr="009217DB">
        <w:t>-</w:t>
      </w:r>
      <w:r>
        <w:t xml:space="preserve"> объявленный размер дивиденда отличался от консенсус-прогноза более чем на 5%</w:t>
      </w:r>
    </w:p>
    <w:p w14:paraId="10F41D88" w14:textId="5C47AF23" w:rsidR="00997E58" w:rsidRDefault="00906A51" w:rsidP="003E2B05">
      <w:r>
        <w:t>Данные по датам объявлений</w:t>
      </w:r>
      <w:r w:rsidR="0078091A">
        <w:t xml:space="preserve"> и котировкам были выгружены из базы данных </w:t>
      </w:r>
      <w:r w:rsidR="0078091A">
        <w:rPr>
          <w:lang w:val="en-US"/>
        </w:rPr>
        <w:t>Refinitiv</w:t>
      </w:r>
      <w:r w:rsidR="0078091A" w:rsidRPr="009217DB">
        <w:t xml:space="preserve"> </w:t>
      </w:r>
      <w:r w:rsidR="0078091A">
        <w:rPr>
          <w:lang w:val="en-US"/>
        </w:rPr>
        <w:t>Eikon</w:t>
      </w:r>
      <w:r w:rsidR="0078091A" w:rsidRPr="009217DB">
        <w:t xml:space="preserve">. </w:t>
      </w:r>
      <w:r w:rsidR="0078091A">
        <w:t>Данные по характеристикам</w:t>
      </w:r>
      <w:r>
        <w:t xml:space="preserve"> </w:t>
      </w:r>
      <w:r w:rsidR="0078091A">
        <w:t xml:space="preserve">компаний были выгружены из базы данных </w:t>
      </w:r>
      <w:r w:rsidR="0078091A">
        <w:rPr>
          <w:lang w:val="en-US"/>
        </w:rPr>
        <w:t>Bloomberg</w:t>
      </w:r>
      <w:r w:rsidR="0078091A" w:rsidRPr="009217DB">
        <w:t xml:space="preserve">. </w:t>
      </w:r>
      <w:r w:rsidR="0078091A">
        <w:t xml:space="preserve">Для данных по консенсус-прогнозам аналитиков была использована база данных </w:t>
      </w:r>
      <w:r w:rsidR="0078091A">
        <w:rPr>
          <w:lang w:val="en-US"/>
        </w:rPr>
        <w:t>I</w:t>
      </w:r>
      <w:r w:rsidR="0078091A" w:rsidRPr="009217DB">
        <w:t>/</w:t>
      </w:r>
      <w:r w:rsidR="0078091A">
        <w:rPr>
          <w:lang w:val="en-US"/>
        </w:rPr>
        <w:t>B</w:t>
      </w:r>
      <w:r w:rsidR="0078091A" w:rsidRPr="009217DB">
        <w:t>/</w:t>
      </w:r>
      <w:r w:rsidR="0078091A">
        <w:rPr>
          <w:lang w:val="en-US"/>
        </w:rPr>
        <w:t>E</w:t>
      </w:r>
      <w:r w:rsidR="0078091A" w:rsidRPr="009217DB">
        <w:t>/</w:t>
      </w:r>
      <w:r w:rsidR="0078091A">
        <w:rPr>
          <w:lang w:val="en-US"/>
        </w:rPr>
        <w:t>S</w:t>
      </w:r>
      <w:r w:rsidR="0078091A" w:rsidRPr="009217DB">
        <w:t xml:space="preserve"> (</w:t>
      </w:r>
      <w:r w:rsidR="0078091A" w:rsidRPr="0078091A">
        <w:rPr>
          <w:lang w:val="en-US"/>
        </w:rPr>
        <w:t>Institutional</w:t>
      </w:r>
      <w:r w:rsidR="0078091A" w:rsidRPr="009217DB">
        <w:t xml:space="preserve"> </w:t>
      </w:r>
      <w:r w:rsidR="0078091A" w:rsidRPr="0078091A">
        <w:rPr>
          <w:lang w:val="en-US"/>
        </w:rPr>
        <w:t>Brokers</w:t>
      </w:r>
      <w:r w:rsidR="0078091A" w:rsidRPr="009217DB">
        <w:t xml:space="preserve">’ </w:t>
      </w:r>
      <w:r w:rsidR="0078091A" w:rsidRPr="0078091A">
        <w:rPr>
          <w:lang w:val="en-US"/>
        </w:rPr>
        <w:t>Estimate</w:t>
      </w:r>
      <w:r w:rsidR="0078091A" w:rsidRPr="009217DB">
        <w:t xml:space="preserve"> </w:t>
      </w:r>
      <w:r w:rsidR="0078091A" w:rsidRPr="0078091A">
        <w:rPr>
          <w:lang w:val="en-US"/>
        </w:rPr>
        <w:t>System</w:t>
      </w:r>
      <w:r w:rsidR="0078091A" w:rsidRPr="009217DB">
        <w:t xml:space="preserve">). </w:t>
      </w:r>
      <w:r w:rsidR="0078091A">
        <w:t>В ряде анлогичных исследований было под</w:t>
      </w:r>
      <w:r w:rsidR="00D2688B">
        <w:t>тв</w:t>
      </w:r>
      <w:r w:rsidR="0078091A">
        <w:t>ерждено, что оценки из данной базы имеют низкую ошибку прогноза</w:t>
      </w:r>
      <w:r w:rsidR="00172A28" w:rsidRPr="009217DB">
        <w:t xml:space="preserve"> (</w:t>
      </w:r>
      <w:r w:rsidR="0078091A" w:rsidRPr="0078091A">
        <w:t>How, and Verhoeven (2008)</w:t>
      </w:r>
      <w:r w:rsidR="0078091A">
        <w:t xml:space="preserve">, </w:t>
      </w:r>
      <w:r w:rsidR="0078091A" w:rsidRPr="0078091A">
        <w:t>Andres et al. (2013)</w:t>
      </w:r>
      <w:r w:rsidR="0078091A">
        <w:t xml:space="preserve">, </w:t>
      </w:r>
      <w:r w:rsidR="00172A28">
        <w:rPr>
          <w:lang w:val="en-US"/>
        </w:rPr>
        <w:t>Berezinets et al., 2017).</w:t>
      </w:r>
      <w:r w:rsidR="000E03F7">
        <w:t xml:space="preserve"> Прогноз брался на дату за месяц до дня объявления, при отсутствии такого – </w:t>
      </w:r>
      <w:r w:rsidR="00D2688B">
        <w:t>на дату не ранее 3 месяцев до дня объявления. Это позволило брать в расчет именно те прогнозы, которые уже учитывали новости о компании, которые произошли в течение времени, предшествющего объявлению. Кроме того, данный подход был применен в ранних исследованиях, упомянутых выше.</w:t>
      </w:r>
    </w:p>
    <w:p w14:paraId="4516B9DD" w14:textId="0547F5D2" w:rsidR="00D2688B" w:rsidRDefault="00D2688B" w:rsidP="00017CB2">
      <w:r>
        <w:t xml:space="preserve">В итоге в выборку российских компаний вошло </w:t>
      </w:r>
      <w:r w:rsidR="00EA3ED5">
        <w:t xml:space="preserve">35 российских компаний. </w:t>
      </w:r>
      <w:r w:rsidR="00B0781D">
        <w:t>В соответствии с глобальным стандартом классификации отраслей (</w:t>
      </w:r>
      <w:r w:rsidR="00B0781D">
        <w:rPr>
          <w:lang w:val="en-US"/>
        </w:rPr>
        <w:t>GICS</w:t>
      </w:r>
      <w:r w:rsidR="00B0781D" w:rsidRPr="009217DB">
        <w:t xml:space="preserve">) </w:t>
      </w:r>
      <w:r w:rsidR="00B0781D">
        <w:t xml:space="preserve">самая большая доля в выборке оказался у компаний в секторе </w:t>
      </w:r>
      <w:r w:rsidR="00B0781D">
        <w:rPr>
          <w:lang w:val="en-US"/>
        </w:rPr>
        <w:t>Utilities</w:t>
      </w:r>
      <w:r w:rsidR="00B0781D" w:rsidRPr="009217DB">
        <w:t xml:space="preserve"> (3</w:t>
      </w:r>
      <w:r w:rsidR="00B0781D">
        <w:t>4</w:t>
      </w:r>
      <w:r w:rsidR="00B0781D" w:rsidRPr="009217DB">
        <w:t xml:space="preserve">%), </w:t>
      </w:r>
      <w:r w:rsidR="00B0781D">
        <w:t xml:space="preserve">а также у секторов </w:t>
      </w:r>
      <w:r w:rsidR="00B0781D">
        <w:rPr>
          <w:lang w:val="en-US"/>
        </w:rPr>
        <w:t>Energy</w:t>
      </w:r>
      <w:r w:rsidR="00B210F7">
        <w:t xml:space="preserve"> (23%)</w:t>
      </w:r>
      <w:r w:rsidR="00B0781D" w:rsidRPr="009217DB">
        <w:t xml:space="preserve"> </w:t>
      </w:r>
      <w:r w:rsidR="00B0781D">
        <w:t xml:space="preserve">и </w:t>
      </w:r>
      <w:r w:rsidR="00B0781D">
        <w:rPr>
          <w:lang w:val="en-US"/>
        </w:rPr>
        <w:t>Materials</w:t>
      </w:r>
      <w:r w:rsidR="00B210F7">
        <w:t xml:space="preserve"> (17%)</w:t>
      </w:r>
      <w:r w:rsidR="00B0781D" w:rsidRPr="009217DB">
        <w:t xml:space="preserve"> (</w:t>
      </w:r>
      <w:r w:rsidR="00B0781D">
        <w:t xml:space="preserve">см. Рис. </w:t>
      </w:r>
      <w:r w:rsidR="00E338E1">
        <w:t>8</w:t>
      </w:r>
      <w:r w:rsidR="00B0781D">
        <w:t>)</w:t>
      </w:r>
      <w:r w:rsidR="00B210F7">
        <w:t xml:space="preserve">. Это неудивительно, поскольку публичные компании из этих отраслей — это крупные предприятия, </w:t>
      </w:r>
      <w:r w:rsidR="003217E2">
        <w:t>многие,</w:t>
      </w:r>
      <w:r w:rsidR="00B210F7">
        <w:t xml:space="preserve"> из которых подконтрольны государству, и следовательно, имеют значительные денежные потоки, часть которых можно направить на выплаты акционерам, а также имеют обязательства по выполнению нормы выплат для госкомпаний.</w:t>
      </w:r>
    </w:p>
    <w:p w14:paraId="5BB6FA69" w14:textId="65B43D24" w:rsidR="00017CB2" w:rsidRDefault="00017CB2" w:rsidP="00B0781D">
      <w:pPr>
        <w:pStyle w:val="a9"/>
      </w:pPr>
      <w:r>
        <w:rPr>
          <w:noProof/>
        </w:rPr>
        <w:drawing>
          <wp:inline distT="0" distB="0" distL="0" distR="0" wp14:anchorId="4E9A728E" wp14:editId="66449AE8">
            <wp:extent cx="5829300" cy="2940050"/>
            <wp:effectExtent l="0" t="0" r="0" b="0"/>
            <wp:docPr id="5" name="Диаграмма 5">
              <a:extLst xmlns:a="http://schemas.openxmlformats.org/drawingml/2006/main">
                <a:ext uri="{FF2B5EF4-FFF2-40B4-BE49-F238E27FC236}">
                  <a16:creationId xmlns:a16="http://schemas.microsoft.com/office/drawing/2014/main" id="{6F92F2B0-307B-4D6D-85FC-7CFC278B4E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03D903C" w14:textId="77777777" w:rsidR="00B0781D" w:rsidRPr="00B0781D" w:rsidRDefault="00B0781D" w:rsidP="00B0781D">
      <w:pPr>
        <w:pStyle w:val="a0"/>
      </w:pPr>
      <w:r w:rsidRPr="00B0781D">
        <w:t xml:space="preserve">Распределение отраслей в выборке компаний </w:t>
      </w:r>
      <w:r w:rsidRPr="00B0781D">
        <w:rPr>
          <w:lang w:val="en-US"/>
        </w:rPr>
        <w:t>MICEX</w:t>
      </w:r>
    </w:p>
    <w:p w14:paraId="57BE5E46" w14:textId="77777777" w:rsidR="00DD3B7A" w:rsidRDefault="00DD3B7A" w:rsidP="00032299"/>
    <w:p w14:paraId="5D598D3C" w14:textId="4690E82A" w:rsidR="00B0781D" w:rsidRPr="00032299" w:rsidRDefault="00B210F7" w:rsidP="00032299">
      <w:r>
        <w:t xml:space="preserve">В выборку китайских компаний попало </w:t>
      </w:r>
      <w:r w:rsidR="00221A1B">
        <w:t>40 компаний, из которых наибольшая доля (</w:t>
      </w:r>
      <w:r w:rsidR="00FA2574">
        <w:t>3</w:t>
      </w:r>
      <w:r w:rsidR="00221A1B">
        <w:t xml:space="preserve">0%) принадлежит компаниям </w:t>
      </w:r>
      <w:r w:rsidR="00221A1B">
        <w:rPr>
          <w:lang w:val="en-US"/>
        </w:rPr>
        <w:t>IT</w:t>
      </w:r>
      <w:r w:rsidR="00221A1B" w:rsidRPr="009217DB">
        <w:t>-</w:t>
      </w:r>
      <w:r w:rsidR="00221A1B">
        <w:t xml:space="preserve">сектора. Это связано со спецификой биржи </w:t>
      </w:r>
      <w:r w:rsidR="00221A1B">
        <w:rPr>
          <w:lang w:val="en-US"/>
        </w:rPr>
        <w:t>Shenzhen</w:t>
      </w:r>
      <w:r w:rsidR="00221A1B" w:rsidRPr="009217DB">
        <w:t xml:space="preserve"> </w:t>
      </w:r>
      <w:r w:rsidR="00221A1B">
        <w:rPr>
          <w:lang w:val="en-US"/>
        </w:rPr>
        <w:t>Stock</w:t>
      </w:r>
      <w:r w:rsidR="00221A1B" w:rsidRPr="009217DB">
        <w:t xml:space="preserve"> </w:t>
      </w:r>
      <w:r w:rsidR="00221A1B">
        <w:rPr>
          <w:lang w:val="en-US"/>
        </w:rPr>
        <w:t>Exchange</w:t>
      </w:r>
      <w:r w:rsidR="00221A1B">
        <w:t>: на ней торгуются небольшие компании из развивающихся отраслей в отличие от биржи Шанхая, на которой в основном торгуются более крупные компании, преимущественно банковского и энергетического сектора. На Шэньчжэньской бирж</w:t>
      </w:r>
      <w:r w:rsidR="00032299">
        <w:t>е</w:t>
      </w:r>
      <w:r w:rsidR="00221A1B">
        <w:t xml:space="preserve"> даже выделена отдельная торговая площадка </w:t>
      </w:r>
      <w:r w:rsidR="00221A1B">
        <w:rPr>
          <w:lang w:val="en-US"/>
        </w:rPr>
        <w:t>ChiNext</w:t>
      </w:r>
      <w:r w:rsidR="00221A1B" w:rsidRPr="009217DB">
        <w:t xml:space="preserve"> – </w:t>
      </w:r>
      <w:r w:rsidR="00221A1B">
        <w:t xml:space="preserve">ее также называют китайским аналогом </w:t>
      </w:r>
      <w:r w:rsidR="00221A1B">
        <w:rPr>
          <w:lang w:val="en-US"/>
        </w:rPr>
        <w:t>Nasdaq</w:t>
      </w:r>
      <w:r w:rsidR="00221A1B" w:rsidRPr="009217DB">
        <w:t xml:space="preserve">, </w:t>
      </w:r>
      <w:r w:rsidR="00032299">
        <w:t xml:space="preserve">поскольку она ориентирована на акции инновационных компаний в стадии роста и стартапов. Следом за сектором </w:t>
      </w:r>
      <w:r w:rsidR="00032299">
        <w:rPr>
          <w:lang w:val="en-US"/>
        </w:rPr>
        <w:t>IT</w:t>
      </w:r>
      <w:r w:rsidR="00032299" w:rsidRPr="009217DB">
        <w:t xml:space="preserve"> </w:t>
      </w:r>
      <w:r w:rsidR="00032299">
        <w:t xml:space="preserve">в выборке следуют с большим отрывом секторы </w:t>
      </w:r>
      <w:r w:rsidR="00032299">
        <w:rPr>
          <w:lang w:val="en-US"/>
        </w:rPr>
        <w:t>Materials</w:t>
      </w:r>
      <w:r w:rsidR="00032299" w:rsidRPr="009217DB">
        <w:t xml:space="preserve"> </w:t>
      </w:r>
      <w:r w:rsidR="00032299">
        <w:t xml:space="preserve">и </w:t>
      </w:r>
      <w:r w:rsidR="00032299">
        <w:rPr>
          <w:lang w:val="en-US"/>
        </w:rPr>
        <w:t>Consumer</w:t>
      </w:r>
      <w:r w:rsidR="00032299" w:rsidRPr="009217DB">
        <w:t xml:space="preserve"> </w:t>
      </w:r>
      <w:r w:rsidR="00032299">
        <w:rPr>
          <w:lang w:val="en-US"/>
        </w:rPr>
        <w:t>Discretionary</w:t>
      </w:r>
      <w:r w:rsidR="00032299" w:rsidRPr="009217DB">
        <w:t xml:space="preserve"> (</w:t>
      </w:r>
      <w:r w:rsidR="00032299">
        <w:t>по 15%).</w:t>
      </w:r>
    </w:p>
    <w:p w14:paraId="12FB611F" w14:textId="530D8008" w:rsidR="00017CB2" w:rsidRPr="00B0781D" w:rsidRDefault="00715918" w:rsidP="00FE5A52">
      <w:pPr>
        <w:pStyle w:val="a9"/>
        <w:ind w:right="-284"/>
      </w:pPr>
      <w:r>
        <w:rPr>
          <w:noProof/>
        </w:rPr>
        <w:drawing>
          <wp:inline distT="0" distB="0" distL="0" distR="0" wp14:anchorId="47F583FB" wp14:editId="01715A24">
            <wp:extent cx="6096000" cy="2743200"/>
            <wp:effectExtent l="0" t="0" r="0" b="0"/>
            <wp:docPr id="33" name="Диаграмма 33">
              <a:extLst xmlns:a="http://schemas.openxmlformats.org/drawingml/2006/main">
                <a:ext uri="{FF2B5EF4-FFF2-40B4-BE49-F238E27FC236}">
                  <a16:creationId xmlns:a16="http://schemas.microsoft.com/office/drawing/2014/main" id="{7CC43842-C46F-604A-CDBF-4DFDC9583E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016AB38" w14:textId="271EAEA4" w:rsidR="00017CB2" w:rsidRPr="00017CB2" w:rsidRDefault="00017CB2" w:rsidP="00017CB2">
      <w:pPr>
        <w:pStyle w:val="a0"/>
      </w:pPr>
      <w:r w:rsidRPr="00017CB2">
        <w:t xml:space="preserve">Распределение отраслей </w:t>
      </w:r>
      <w:r w:rsidR="00FA2574">
        <w:t xml:space="preserve">в выборке </w:t>
      </w:r>
      <w:r>
        <w:t xml:space="preserve">компаний </w:t>
      </w:r>
      <w:r w:rsidRPr="00017CB2">
        <w:rPr>
          <w:lang w:val="en-US"/>
        </w:rPr>
        <w:t>S</w:t>
      </w:r>
      <w:r w:rsidR="00FA2574">
        <w:rPr>
          <w:lang w:val="en-US"/>
        </w:rPr>
        <w:t>henzhen Stock Exchange</w:t>
      </w:r>
    </w:p>
    <w:p w14:paraId="564BE6BF" w14:textId="77777777" w:rsidR="00997E58" w:rsidRDefault="00997E58" w:rsidP="003E2B05"/>
    <w:p w14:paraId="7F713C09" w14:textId="77777777" w:rsidR="00922232" w:rsidRDefault="00AD5CF1" w:rsidP="00922232">
      <w:r>
        <w:t xml:space="preserve">Всего </w:t>
      </w:r>
      <w:r w:rsidR="00922232">
        <w:t xml:space="preserve">по этим компаниям </w:t>
      </w:r>
      <w:r>
        <w:t xml:space="preserve">было получено 106 наблюдений для России и 125 наблюдений для Китая. </w:t>
      </w:r>
      <w:r w:rsidR="00922232">
        <w:t>Далее эти наблюдения были поделены на две группы:</w:t>
      </w:r>
    </w:p>
    <w:p w14:paraId="3C1278B7" w14:textId="00F62EE2" w:rsidR="00032299" w:rsidRDefault="00922232" w:rsidP="00922232">
      <w:r>
        <w:t xml:space="preserve"> </w:t>
      </w:r>
    </w:p>
    <w:p w14:paraId="411CA418" w14:textId="2E232C93" w:rsidR="00922232" w:rsidRPr="00922232" w:rsidRDefault="00922232" w:rsidP="00922232">
      <w:pPr>
        <w:pStyle w:val="af7"/>
        <w:numPr>
          <w:ilvl w:val="0"/>
          <w:numId w:val="9"/>
        </w:numPr>
        <w:spacing w:line="360" w:lineRule="auto"/>
        <w:rPr>
          <w:rFonts w:ascii="Times New Roman" w:hAnsi="Times New Roman" w:cs="Times New Roman"/>
          <w:sz w:val="24"/>
          <w:szCs w:val="24"/>
        </w:rPr>
      </w:pPr>
      <w:r w:rsidRPr="00922232">
        <w:rPr>
          <w:rFonts w:ascii="Times New Roman" w:hAnsi="Times New Roman" w:cs="Times New Roman"/>
          <w:b/>
          <w:bCs/>
          <w:i/>
          <w:iCs/>
          <w:sz w:val="24"/>
          <w:szCs w:val="24"/>
        </w:rPr>
        <w:t>Объявления с «позитивным сюрпризом»,</w:t>
      </w:r>
      <w:r w:rsidRPr="00922232">
        <w:rPr>
          <w:rFonts w:ascii="Times New Roman" w:hAnsi="Times New Roman" w:cs="Times New Roman"/>
          <w:sz w:val="24"/>
          <w:szCs w:val="24"/>
        </w:rPr>
        <w:t xml:space="preserve"> то есть случаем, когда фактический диивиденд превысил консенсус-прогноз аналитиков на 5% и более</w:t>
      </w:r>
    </w:p>
    <w:p w14:paraId="60B19042" w14:textId="7B810E04" w:rsidR="00922232" w:rsidRDefault="00922232" w:rsidP="00922232">
      <w:pPr>
        <w:pStyle w:val="af7"/>
        <w:numPr>
          <w:ilvl w:val="0"/>
          <w:numId w:val="9"/>
        </w:numPr>
        <w:spacing w:line="360" w:lineRule="auto"/>
        <w:rPr>
          <w:rFonts w:ascii="Times New Roman" w:hAnsi="Times New Roman" w:cs="Times New Roman"/>
          <w:sz w:val="24"/>
          <w:szCs w:val="24"/>
        </w:rPr>
      </w:pPr>
      <w:r w:rsidRPr="00922232">
        <w:rPr>
          <w:rFonts w:ascii="Times New Roman" w:hAnsi="Times New Roman" w:cs="Times New Roman"/>
          <w:b/>
          <w:bCs/>
          <w:i/>
          <w:iCs/>
          <w:sz w:val="24"/>
          <w:szCs w:val="24"/>
        </w:rPr>
        <w:t>Объявления с «негативным сюрпризом»</w:t>
      </w:r>
      <w:r w:rsidRPr="00922232">
        <w:rPr>
          <w:rFonts w:ascii="Times New Roman" w:hAnsi="Times New Roman" w:cs="Times New Roman"/>
          <w:i/>
          <w:iCs/>
          <w:sz w:val="24"/>
          <w:szCs w:val="24"/>
        </w:rPr>
        <w:t>,</w:t>
      </w:r>
      <w:r w:rsidRPr="00922232">
        <w:rPr>
          <w:rFonts w:ascii="Times New Roman" w:hAnsi="Times New Roman" w:cs="Times New Roman"/>
          <w:sz w:val="24"/>
          <w:szCs w:val="24"/>
        </w:rPr>
        <w:t xml:space="preserve"> то есть случаем, когда когда фактический диивиденд оказался ниже консенсус-прогноаз аналитиков на 5% и более</w:t>
      </w:r>
    </w:p>
    <w:p w14:paraId="210396C8" w14:textId="21BC3CB7" w:rsidR="00922232" w:rsidRPr="00922232" w:rsidRDefault="00922232" w:rsidP="00922232">
      <w:pPr>
        <w:ind w:left="360" w:firstLine="0"/>
        <w:rPr>
          <w:rFonts w:cs="Times New Roman"/>
          <w:b/>
          <w:bCs/>
          <w:i/>
          <w:iCs/>
          <w:szCs w:val="24"/>
        </w:rPr>
      </w:pPr>
    </w:p>
    <w:p w14:paraId="4D720BF3" w14:textId="106D6F76" w:rsidR="00922232" w:rsidRDefault="00922232" w:rsidP="00922232">
      <w:r>
        <w:t>По итогам такого разделения оказалось, что в выборку по России попало 45 объявлений с негативным сюрпризом и 61 наблюдение с позитивным сюрпризом. В то же время, в Китае, наоборот, случаев негативных сюрпризов оказалось гораздо больше позитивных: 80 против 4</w:t>
      </w:r>
      <w:r w:rsidR="00307AC6" w:rsidRPr="009217DB">
        <w:t>8</w:t>
      </w:r>
      <w:r>
        <w:t>.</w:t>
      </w:r>
    </w:p>
    <w:p w14:paraId="7A81D728" w14:textId="77777777" w:rsidR="001E1C00" w:rsidRDefault="001E1C00" w:rsidP="00922232"/>
    <w:p w14:paraId="67973EEF" w14:textId="305637B5" w:rsidR="00565885" w:rsidRDefault="00565885" w:rsidP="004947D6"/>
    <w:p w14:paraId="1CD5378F" w14:textId="77777777" w:rsidR="000425FA" w:rsidRPr="00304E1E" w:rsidRDefault="000425FA" w:rsidP="005D3E60"/>
    <w:p w14:paraId="1B32C17D" w14:textId="20401CEB" w:rsidR="00C55866" w:rsidRPr="00493D4E" w:rsidRDefault="00404C83" w:rsidP="00493D4E">
      <w:pPr>
        <w:pStyle w:val="2"/>
      </w:pPr>
      <w:bookmarkStart w:id="37" w:name="_Toc104840368"/>
      <w:r w:rsidRPr="00493D4E">
        <w:t>3.4 Анализ описательной статистики</w:t>
      </w:r>
      <w:bookmarkEnd w:id="37"/>
    </w:p>
    <w:p w14:paraId="0EA52537" w14:textId="70915CD5" w:rsidR="006F357F" w:rsidRDefault="006F357F" w:rsidP="006F357F"/>
    <w:p w14:paraId="13A35DE1" w14:textId="0D966534" w:rsidR="006F357F" w:rsidRPr="009217DB" w:rsidRDefault="005A4F0F" w:rsidP="005A4F0F">
      <w:pPr>
        <w:pStyle w:val="a"/>
      </w:pPr>
      <w:r>
        <w:t xml:space="preserve">Описательная статистика для переменной </w:t>
      </w:r>
      <w:r>
        <w:rPr>
          <w:lang w:val="en-US"/>
        </w:rPr>
        <w:t>DPS</w:t>
      </w:r>
      <w:r w:rsidRPr="009217DB">
        <w:t>_</w:t>
      </w:r>
      <w:r>
        <w:rPr>
          <w:lang w:val="en-US"/>
        </w:rPr>
        <w:t>surprise</w:t>
      </w:r>
    </w:p>
    <w:tbl>
      <w:tblPr>
        <w:tblStyle w:val="ad"/>
        <w:tblW w:w="0" w:type="auto"/>
        <w:tblLook w:val="04A0" w:firstRow="1" w:lastRow="0" w:firstColumn="1" w:lastColumn="0" w:noHBand="0" w:noVBand="1"/>
      </w:tblPr>
      <w:tblGrid>
        <w:gridCol w:w="1557"/>
        <w:gridCol w:w="1557"/>
        <w:gridCol w:w="1557"/>
        <w:gridCol w:w="1558"/>
        <w:gridCol w:w="1558"/>
        <w:gridCol w:w="1558"/>
      </w:tblGrid>
      <w:tr w:rsidR="006F357F" w14:paraId="2E3708C9" w14:textId="77777777" w:rsidTr="006F357F">
        <w:tc>
          <w:tcPr>
            <w:tcW w:w="1557" w:type="dxa"/>
          </w:tcPr>
          <w:p w14:paraId="003029B6" w14:textId="77777777" w:rsidR="006F357F" w:rsidRDefault="006F357F" w:rsidP="006F357F">
            <w:pPr>
              <w:ind w:firstLine="0"/>
            </w:pPr>
          </w:p>
        </w:tc>
        <w:tc>
          <w:tcPr>
            <w:tcW w:w="1557" w:type="dxa"/>
          </w:tcPr>
          <w:p w14:paraId="52BCE017" w14:textId="3745DE29" w:rsidR="006F357F" w:rsidRDefault="006F357F" w:rsidP="005A4F0F">
            <w:pPr>
              <w:pStyle w:val="ac"/>
            </w:pPr>
            <w:r>
              <w:t>Число наблюдений</w:t>
            </w:r>
          </w:p>
        </w:tc>
        <w:tc>
          <w:tcPr>
            <w:tcW w:w="1557" w:type="dxa"/>
          </w:tcPr>
          <w:p w14:paraId="32EDBC4F" w14:textId="7846670E" w:rsidR="006F357F" w:rsidRDefault="006F357F" w:rsidP="005A4F0F">
            <w:pPr>
              <w:pStyle w:val="ac"/>
            </w:pPr>
            <w:r>
              <w:t>Выборочное среднее</w:t>
            </w:r>
          </w:p>
        </w:tc>
        <w:tc>
          <w:tcPr>
            <w:tcW w:w="1558" w:type="dxa"/>
          </w:tcPr>
          <w:p w14:paraId="655DDE6A" w14:textId="19E32447" w:rsidR="006F357F" w:rsidRDefault="006F357F" w:rsidP="005A4F0F">
            <w:pPr>
              <w:pStyle w:val="ac"/>
            </w:pPr>
            <w:r>
              <w:t>Выборочное стандартное отклонение</w:t>
            </w:r>
          </w:p>
        </w:tc>
        <w:tc>
          <w:tcPr>
            <w:tcW w:w="1558" w:type="dxa"/>
          </w:tcPr>
          <w:p w14:paraId="5D2A7FCB" w14:textId="2308AFA4" w:rsidR="006F357F" w:rsidRDefault="006F357F" w:rsidP="005A4F0F">
            <w:pPr>
              <w:pStyle w:val="ac"/>
            </w:pPr>
            <w:r>
              <w:t>Минимум</w:t>
            </w:r>
          </w:p>
        </w:tc>
        <w:tc>
          <w:tcPr>
            <w:tcW w:w="1558" w:type="dxa"/>
          </w:tcPr>
          <w:p w14:paraId="42756F2E" w14:textId="4C2B9F8E" w:rsidR="006F357F" w:rsidRDefault="006F357F" w:rsidP="005A4F0F">
            <w:pPr>
              <w:pStyle w:val="ac"/>
            </w:pPr>
            <w:r>
              <w:t>Максимум</w:t>
            </w:r>
          </w:p>
        </w:tc>
      </w:tr>
      <w:tr w:rsidR="006F357F" w14:paraId="303518F8" w14:textId="77777777" w:rsidTr="00702EE1">
        <w:tc>
          <w:tcPr>
            <w:tcW w:w="9345" w:type="dxa"/>
            <w:gridSpan w:val="6"/>
          </w:tcPr>
          <w:p w14:paraId="273B7CF2" w14:textId="74E7B1F7" w:rsidR="006F357F" w:rsidRPr="005A4F0F" w:rsidRDefault="006F357F" w:rsidP="006F357F">
            <w:pPr>
              <w:ind w:firstLine="0"/>
              <w:jc w:val="center"/>
              <w:rPr>
                <w:b/>
                <w:bCs/>
              </w:rPr>
            </w:pPr>
            <w:r w:rsidRPr="005A4F0F">
              <w:rPr>
                <w:b/>
                <w:bCs/>
              </w:rPr>
              <w:t>«Позитивный» сюрприз</w:t>
            </w:r>
          </w:p>
        </w:tc>
      </w:tr>
      <w:tr w:rsidR="006F357F" w14:paraId="2A38DF5E" w14:textId="77777777" w:rsidTr="006F357F">
        <w:tc>
          <w:tcPr>
            <w:tcW w:w="1557" w:type="dxa"/>
          </w:tcPr>
          <w:p w14:paraId="000BBFC2" w14:textId="4BAAEF46" w:rsidR="006F357F" w:rsidRDefault="006F357F" w:rsidP="006F357F">
            <w:pPr>
              <w:ind w:firstLine="0"/>
            </w:pPr>
            <w:r>
              <w:t>Россия</w:t>
            </w:r>
          </w:p>
        </w:tc>
        <w:tc>
          <w:tcPr>
            <w:tcW w:w="1557" w:type="dxa"/>
          </w:tcPr>
          <w:p w14:paraId="5DC82AE6" w14:textId="27C7B3CD" w:rsidR="006F357F" w:rsidRDefault="006F357F" w:rsidP="006F357F">
            <w:pPr>
              <w:ind w:firstLine="0"/>
            </w:pPr>
            <w:r>
              <w:t>62</w:t>
            </w:r>
          </w:p>
        </w:tc>
        <w:tc>
          <w:tcPr>
            <w:tcW w:w="1557" w:type="dxa"/>
          </w:tcPr>
          <w:p w14:paraId="6322A6F3" w14:textId="236D3A59" w:rsidR="006F357F" w:rsidRDefault="006F357F" w:rsidP="006F357F">
            <w:pPr>
              <w:ind w:firstLine="0"/>
            </w:pPr>
            <w:r>
              <w:t>0,244</w:t>
            </w:r>
          </w:p>
        </w:tc>
        <w:tc>
          <w:tcPr>
            <w:tcW w:w="1558" w:type="dxa"/>
          </w:tcPr>
          <w:p w14:paraId="436BA73F" w14:textId="25518EDE" w:rsidR="006F357F" w:rsidRDefault="006F357F" w:rsidP="006F357F">
            <w:pPr>
              <w:ind w:firstLine="0"/>
            </w:pPr>
            <w:r>
              <w:t>0,27</w:t>
            </w:r>
          </w:p>
        </w:tc>
        <w:tc>
          <w:tcPr>
            <w:tcW w:w="1558" w:type="dxa"/>
          </w:tcPr>
          <w:p w14:paraId="13FBF61A" w14:textId="3D719C2A" w:rsidR="006F357F" w:rsidRDefault="006F357F" w:rsidP="006F357F">
            <w:pPr>
              <w:ind w:firstLine="0"/>
            </w:pPr>
            <w:r>
              <w:t>0,05</w:t>
            </w:r>
            <w:r w:rsidR="002054B0">
              <w:t>1</w:t>
            </w:r>
          </w:p>
        </w:tc>
        <w:tc>
          <w:tcPr>
            <w:tcW w:w="1558" w:type="dxa"/>
          </w:tcPr>
          <w:p w14:paraId="441D1198" w14:textId="2ECEA63F" w:rsidR="006F357F" w:rsidRDefault="006F357F" w:rsidP="006F357F">
            <w:pPr>
              <w:ind w:firstLine="0"/>
            </w:pPr>
            <w:r>
              <w:t>1,141</w:t>
            </w:r>
          </w:p>
        </w:tc>
      </w:tr>
      <w:tr w:rsidR="006F357F" w14:paraId="05210F14" w14:textId="77777777" w:rsidTr="006F357F">
        <w:tc>
          <w:tcPr>
            <w:tcW w:w="1557" w:type="dxa"/>
          </w:tcPr>
          <w:p w14:paraId="62DDE93F" w14:textId="30A94160" w:rsidR="006F357F" w:rsidRDefault="006F357F" w:rsidP="006F357F">
            <w:pPr>
              <w:ind w:firstLine="0"/>
            </w:pPr>
            <w:r>
              <w:t>Китай</w:t>
            </w:r>
          </w:p>
        </w:tc>
        <w:tc>
          <w:tcPr>
            <w:tcW w:w="1557" w:type="dxa"/>
          </w:tcPr>
          <w:p w14:paraId="7649F664" w14:textId="4C822AD2" w:rsidR="006F357F" w:rsidRDefault="006F357F" w:rsidP="006F357F">
            <w:pPr>
              <w:ind w:firstLine="0"/>
            </w:pPr>
            <w:r>
              <w:t>44</w:t>
            </w:r>
          </w:p>
        </w:tc>
        <w:tc>
          <w:tcPr>
            <w:tcW w:w="1557" w:type="dxa"/>
          </w:tcPr>
          <w:p w14:paraId="0E7E58BC" w14:textId="4239F0BF" w:rsidR="006F357F" w:rsidRDefault="006F357F" w:rsidP="006F357F">
            <w:pPr>
              <w:ind w:firstLine="0"/>
            </w:pPr>
            <w:r>
              <w:t>0,1</w:t>
            </w:r>
          </w:p>
        </w:tc>
        <w:tc>
          <w:tcPr>
            <w:tcW w:w="1558" w:type="dxa"/>
          </w:tcPr>
          <w:p w14:paraId="201EE842" w14:textId="32DC79DD" w:rsidR="006F357F" w:rsidRDefault="006F357F" w:rsidP="006F357F">
            <w:pPr>
              <w:ind w:firstLine="0"/>
            </w:pPr>
            <w:r>
              <w:t>0,062</w:t>
            </w:r>
          </w:p>
        </w:tc>
        <w:tc>
          <w:tcPr>
            <w:tcW w:w="1558" w:type="dxa"/>
          </w:tcPr>
          <w:p w14:paraId="5CC0FC26" w14:textId="579B8FBE" w:rsidR="006F357F" w:rsidRDefault="006F357F" w:rsidP="006F357F">
            <w:pPr>
              <w:ind w:firstLine="0"/>
            </w:pPr>
            <w:r>
              <w:t>0,055</w:t>
            </w:r>
          </w:p>
        </w:tc>
        <w:tc>
          <w:tcPr>
            <w:tcW w:w="1558" w:type="dxa"/>
          </w:tcPr>
          <w:p w14:paraId="72962547" w14:textId="691DAAFE" w:rsidR="006F357F" w:rsidRDefault="006F357F" w:rsidP="006F357F">
            <w:pPr>
              <w:ind w:firstLine="0"/>
            </w:pPr>
            <w:r>
              <w:t>0,279</w:t>
            </w:r>
          </w:p>
        </w:tc>
      </w:tr>
      <w:tr w:rsidR="006F357F" w14:paraId="27CB3A67" w14:textId="77777777" w:rsidTr="00702EE1">
        <w:tc>
          <w:tcPr>
            <w:tcW w:w="9345" w:type="dxa"/>
            <w:gridSpan w:val="6"/>
          </w:tcPr>
          <w:p w14:paraId="2E30F8F2" w14:textId="01F05788" w:rsidR="006F357F" w:rsidRPr="005A4F0F" w:rsidRDefault="006F357F" w:rsidP="006F357F">
            <w:pPr>
              <w:ind w:firstLine="0"/>
              <w:jc w:val="center"/>
              <w:rPr>
                <w:b/>
                <w:bCs/>
              </w:rPr>
            </w:pPr>
            <w:r w:rsidRPr="005A4F0F">
              <w:rPr>
                <w:b/>
                <w:bCs/>
              </w:rPr>
              <w:t>«Негативный» сюрприз</w:t>
            </w:r>
          </w:p>
        </w:tc>
      </w:tr>
      <w:tr w:rsidR="006F357F" w14:paraId="4A7E0679" w14:textId="77777777" w:rsidTr="006F357F">
        <w:tc>
          <w:tcPr>
            <w:tcW w:w="1557" w:type="dxa"/>
          </w:tcPr>
          <w:p w14:paraId="3A8C36C4" w14:textId="64F694AB" w:rsidR="006F357F" w:rsidRDefault="006F357F" w:rsidP="006F357F">
            <w:pPr>
              <w:ind w:firstLine="0"/>
            </w:pPr>
            <w:r>
              <w:t>Россия</w:t>
            </w:r>
          </w:p>
        </w:tc>
        <w:tc>
          <w:tcPr>
            <w:tcW w:w="1557" w:type="dxa"/>
          </w:tcPr>
          <w:p w14:paraId="301DE3A2" w14:textId="26FD0CE9" w:rsidR="006F357F" w:rsidRDefault="006F357F" w:rsidP="006F357F">
            <w:pPr>
              <w:ind w:firstLine="0"/>
            </w:pPr>
            <w:r>
              <w:t>45</w:t>
            </w:r>
          </w:p>
        </w:tc>
        <w:tc>
          <w:tcPr>
            <w:tcW w:w="1557" w:type="dxa"/>
          </w:tcPr>
          <w:p w14:paraId="05B27CF2" w14:textId="0F0A7667" w:rsidR="006F357F" w:rsidRDefault="006F357F" w:rsidP="006F357F">
            <w:pPr>
              <w:ind w:firstLine="0"/>
            </w:pPr>
            <w:r>
              <w:t>-0,282</w:t>
            </w:r>
          </w:p>
        </w:tc>
        <w:tc>
          <w:tcPr>
            <w:tcW w:w="1558" w:type="dxa"/>
          </w:tcPr>
          <w:p w14:paraId="2B700125" w14:textId="76A3694C" w:rsidR="006F357F" w:rsidRDefault="006F357F" w:rsidP="006F357F">
            <w:pPr>
              <w:ind w:firstLine="0"/>
            </w:pPr>
            <w:r>
              <w:t>0,247</w:t>
            </w:r>
          </w:p>
        </w:tc>
        <w:tc>
          <w:tcPr>
            <w:tcW w:w="1558" w:type="dxa"/>
          </w:tcPr>
          <w:p w14:paraId="02E8A8E2" w14:textId="208EDB50" w:rsidR="006F357F" w:rsidRDefault="006F357F" w:rsidP="006F357F">
            <w:pPr>
              <w:ind w:firstLine="0"/>
            </w:pPr>
            <w:r>
              <w:t>-0,743</w:t>
            </w:r>
          </w:p>
        </w:tc>
        <w:tc>
          <w:tcPr>
            <w:tcW w:w="1558" w:type="dxa"/>
          </w:tcPr>
          <w:p w14:paraId="32A3A1AC" w14:textId="6A2817EF" w:rsidR="006F357F" w:rsidRDefault="006F357F" w:rsidP="006F357F">
            <w:pPr>
              <w:ind w:firstLine="0"/>
            </w:pPr>
            <w:r>
              <w:t>-0,053</w:t>
            </w:r>
          </w:p>
        </w:tc>
      </w:tr>
      <w:tr w:rsidR="006F357F" w14:paraId="020A9C17" w14:textId="77777777" w:rsidTr="006F357F">
        <w:tc>
          <w:tcPr>
            <w:tcW w:w="1557" w:type="dxa"/>
          </w:tcPr>
          <w:p w14:paraId="5FCB2945" w14:textId="668C7AE3" w:rsidR="006F357F" w:rsidRDefault="006F357F" w:rsidP="006F357F">
            <w:pPr>
              <w:ind w:firstLine="0"/>
            </w:pPr>
            <w:r>
              <w:t>Китай</w:t>
            </w:r>
          </w:p>
        </w:tc>
        <w:tc>
          <w:tcPr>
            <w:tcW w:w="1557" w:type="dxa"/>
          </w:tcPr>
          <w:p w14:paraId="0FFB29B1" w14:textId="6E478852" w:rsidR="006F357F" w:rsidRDefault="006F357F" w:rsidP="006F357F">
            <w:pPr>
              <w:ind w:firstLine="0"/>
            </w:pPr>
            <w:r>
              <w:t>80</w:t>
            </w:r>
          </w:p>
        </w:tc>
        <w:tc>
          <w:tcPr>
            <w:tcW w:w="1557" w:type="dxa"/>
          </w:tcPr>
          <w:p w14:paraId="317B14D0" w14:textId="73E7195C" w:rsidR="006F357F" w:rsidRDefault="006F357F" w:rsidP="006F357F">
            <w:pPr>
              <w:ind w:firstLine="0"/>
            </w:pPr>
            <w:r>
              <w:t>-0,116</w:t>
            </w:r>
          </w:p>
        </w:tc>
        <w:tc>
          <w:tcPr>
            <w:tcW w:w="1558" w:type="dxa"/>
          </w:tcPr>
          <w:p w14:paraId="59DA3B2A" w14:textId="2670094D" w:rsidR="006F357F" w:rsidRDefault="006F357F" w:rsidP="006F357F">
            <w:pPr>
              <w:ind w:firstLine="0"/>
            </w:pPr>
            <w:r>
              <w:t>0,11</w:t>
            </w:r>
          </w:p>
        </w:tc>
        <w:tc>
          <w:tcPr>
            <w:tcW w:w="1558" w:type="dxa"/>
          </w:tcPr>
          <w:p w14:paraId="241C9EAA" w14:textId="78D7CE21" w:rsidR="006F357F" w:rsidRDefault="006F357F" w:rsidP="006F357F">
            <w:pPr>
              <w:ind w:firstLine="0"/>
            </w:pPr>
            <w:r>
              <w:t>-0,514</w:t>
            </w:r>
          </w:p>
        </w:tc>
        <w:tc>
          <w:tcPr>
            <w:tcW w:w="1558" w:type="dxa"/>
          </w:tcPr>
          <w:p w14:paraId="78FFA284" w14:textId="526088ED" w:rsidR="006F357F" w:rsidRPr="006F357F" w:rsidRDefault="006F357F" w:rsidP="006F357F">
            <w:pPr>
              <w:ind w:firstLine="0"/>
              <w:rPr>
                <w:lang w:val="en-US"/>
              </w:rPr>
            </w:pPr>
            <w:r>
              <w:t>-0</w:t>
            </w:r>
            <w:r>
              <w:rPr>
                <w:lang w:val="en-US"/>
              </w:rPr>
              <w:t>,052</w:t>
            </w:r>
          </w:p>
        </w:tc>
      </w:tr>
    </w:tbl>
    <w:p w14:paraId="4905F08C" w14:textId="77777777" w:rsidR="006F357F" w:rsidRPr="006F357F" w:rsidRDefault="006F357F" w:rsidP="006F357F"/>
    <w:p w14:paraId="1AEA792E" w14:textId="58AD17AA" w:rsidR="00404C83" w:rsidRDefault="005A4F0F" w:rsidP="00404C83">
      <w:r>
        <w:t xml:space="preserve">Анализируя описательную статистику для перемнной, отвечающей за относительную величину сюрприза – </w:t>
      </w:r>
      <w:r>
        <w:rPr>
          <w:lang w:val="en-US"/>
        </w:rPr>
        <w:t>DPS</w:t>
      </w:r>
      <w:r w:rsidRPr="009217DB">
        <w:t>_</w:t>
      </w:r>
      <w:r>
        <w:rPr>
          <w:lang w:val="en-US"/>
        </w:rPr>
        <w:t>surprise</w:t>
      </w:r>
      <w:r>
        <w:t>, можно заметить, что средняя величина сюрприза, как отрицательного, так и положительного, для российских компаний больше, чем для китайских, причем более чем в два раза. То есть можно предположить, что точность прогнозов для китайских компаний выше, что может говорить о более высокой степени информационной прозрачности компаний</w:t>
      </w:r>
      <w:r w:rsidR="002054B0">
        <w:t xml:space="preserve">, в том числе за счет жестких требований к раскрытию информации со стороны </w:t>
      </w:r>
      <w:r w:rsidR="002054B0" w:rsidRPr="002054B0">
        <w:t>Комиссии по регулированию рынка ценных бумаг.</w:t>
      </w:r>
    </w:p>
    <w:p w14:paraId="0371BD23" w14:textId="42F8ADFD" w:rsidR="002054B0" w:rsidRPr="009217DB" w:rsidRDefault="002054B0" w:rsidP="00404C83">
      <w:r>
        <w:t xml:space="preserve">Любопытно, что в России среди позитивных сюрпризов зафиксирован максимум в размере 1,141 – то есть, величина фактического дивиденда превысила ожидаемый более чем в два раза. Этот максимум был зафикисирован для объявления ПАО «Мосэнерго» о дивидендах в 2019 году. </w:t>
      </w:r>
      <w:r w:rsidR="00470222">
        <w:t xml:space="preserve">Прибыль компании по итогам 2018г. упала с 24 до 21 млрд руб., и рынок ожидал, что и дивиденды окажутся значительно ниже по сравнению с предыдущей выплатой в размере 0,166 руб. на акцию. Консенсус-прогноз за месяц до объявления составлял 0,098 руб. на акцию, однако «Мосэнерго» выплатил дивиденды гораздо выше прогноза и даже выше дивиденда за прошлый год – 0,21 руб. на акцию. При этом рынок отреагировал на данную новость негативно – </w:t>
      </w:r>
      <w:r w:rsidR="00470222">
        <w:rPr>
          <w:lang w:val="en-US"/>
        </w:rPr>
        <w:t>CAR</w:t>
      </w:r>
      <w:r w:rsidR="00470222" w:rsidRPr="009217DB">
        <w:t xml:space="preserve"> </w:t>
      </w:r>
      <w:r w:rsidR="00470222">
        <w:t>на 10 день после объявления составила -0,009.</w:t>
      </w:r>
    </w:p>
    <w:p w14:paraId="61EA912C" w14:textId="406FDDE3" w:rsidR="00404C83" w:rsidRDefault="002C4A12" w:rsidP="00404C83">
      <w:r>
        <w:t>Перейдем к анализу описательной статистики для остальных переменных.</w:t>
      </w:r>
    </w:p>
    <w:p w14:paraId="1EA0177F" w14:textId="7EB2284B" w:rsidR="00BA4DFA" w:rsidRDefault="00BA4DFA" w:rsidP="00404C83"/>
    <w:p w14:paraId="13C0B830" w14:textId="2A7D6E04" w:rsidR="00BA4DFA" w:rsidRDefault="00BA4DFA" w:rsidP="00404C83"/>
    <w:p w14:paraId="28F26912" w14:textId="76B5944E" w:rsidR="00E3728C" w:rsidRDefault="00E3728C" w:rsidP="00404C83"/>
    <w:p w14:paraId="2F075A17" w14:textId="77777777" w:rsidR="00E3728C" w:rsidRDefault="00E3728C" w:rsidP="00404C83"/>
    <w:p w14:paraId="6ED4C8B9" w14:textId="16BB6132" w:rsidR="004736E1" w:rsidRDefault="004736E1" w:rsidP="004736E1">
      <w:pPr>
        <w:pStyle w:val="a"/>
      </w:pPr>
      <w:r>
        <w:t>Описательная статистика для переменных в регрессионном анализе</w:t>
      </w:r>
    </w:p>
    <w:tbl>
      <w:tblPr>
        <w:tblStyle w:val="11"/>
        <w:tblW w:w="9471" w:type="dxa"/>
        <w:tblLook w:val="04A0" w:firstRow="1" w:lastRow="0" w:firstColumn="1" w:lastColumn="0" w:noHBand="0" w:noVBand="1"/>
      </w:tblPr>
      <w:tblGrid>
        <w:gridCol w:w="1405"/>
        <w:gridCol w:w="899"/>
        <w:gridCol w:w="867"/>
        <w:gridCol w:w="1123"/>
        <w:gridCol w:w="1197"/>
        <w:gridCol w:w="899"/>
        <w:gridCol w:w="867"/>
        <w:gridCol w:w="1123"/>
        <w:gridCol w:w="1197"/>
      </w:tblGrid>
      <w:tr w:rsidR="00BA4DFA" w14:paraId="36F544CA" w14:textId="77777777" w:rsidTr="00702EE1">
        <w:trPr>
          <w:trHeight w:val="596"/>
        </w:trPr>
        <w:tc>
          <w:tcPr>
            <w:tcW w:w="1643" w:type="dxa"/>
          </w:tcPr>
          <w:p w14:paraId="4AB31E75" w14:textId="77777777" w:rsidR="00BA4DFA" w:rsidRDefault="00BA4DFA" w:rsidP="004736E1">
            <w:pPr>
              <w:pStyle w:val="ae"/>
            </w:pPr>
          </w:p>
        </w:tc>
        <w:tc>
          <w:tcPr>
            <w:tcW w:w="3914" w:type="dxa"/>
            <w:gridSpan w:val="4"/>
          </w:tcPr>
          <w:p w14:paraId="19E6EE30" w14:textId="22EF90FC" w:rsidR="00BA4DFA" w:rsidRDefault="00BA4DFA" w:rsidP="00BA4DFA">
            <w:pPr>
              <w:pStyle w:val="ac"/>
            </w:pPr>
            <w:r>
              <w:t>Россия</w:t>
            </w:r>
          </w:p>
        </w:tc>
        <w:tc>
          <w:tcPr>
            <w:tcW w:w="3914" w:type="dxa"/>
            <w:gridSpan w:val="4"/>
          </w:tcPr>
          <w:p w14:paraId="2AEBE678" w14:textId="5E6CC6A5" w:rsidR="00BA4DFA" w:rsidRPr="004736E1" w:rsidRDefault="00BA4DFA" w:rsidP="00BA4DFA">
            <w:pPr>
              <w:pStyle w:val="ac"/>
              <w:rPr>
                <w:sz w:val="20"/>
              </w:rPr>
            </w:pPr>
            <w:r>
              <w:t>Китай</w:t>
            </w:r>
          </w:p>
        </w:tc>
      </w:tr>
      <w:tr w:rsidR="00BA4DFA" w14:paraId="317F42A6" w14:textId="724C6A01" w:rsidTr="00BA4DFA">
        <w:trPr>
          <w:trHeight w:val="596"/>
        </w:trPr>
        <w:tc>
          <w:tcPr>
            <w:tcW w:w="1643" w:type="dxa"/>
          </w:tcPr>
          <w:p w14:paraId="0EEAC54E" w14:textId="6ADA9349" w:rsidR="004736E1" w:rsidRDefault="004736E1" w:rsidP="004736E1">
            <w:pPr>
              <w:pStyle w:val="ae"/>
            </w:pPr>
          </w:p>
        </w:tc>
        <w:tc>
          <w:tcPr>
            <w:tcW w:w="880" w:type="dxa"/>
          </w:tcPr>
          <w:p w14:paraId="0B04E3D9" w14:textId="77777777" w:rsidR="004736E1" w:rsidRPr="00BA4DFA" w:rsidRDefault="004736E1" w:rsidP="004736E1">
            <w:pPr>
              <w:pStyle w:val="ae"/>
              <w:rPr>
                <w:b/>
                <w:bCs/>
              </w:rPr>
            </w:pPr>
            <w:r w:rsidRPr="00BA4DFA">
              <w:rPr>
                <w:b/>
                <w:bCs/>
              </w:rPr>
              <w:t>Выбор.</w:t>
            </w:r>
          </w:p>
          <w:p w14:paraId="1773F63F" w14:textId="55A5A7F7" w:rsidR="004736E1" w:rsidRPr="00BA4DFA" w:rsidRDefault="004736E1" w:rsidP="004736E1">
            <w:pPr>
              <w:pStyle w:val="ae"/>
              <w:rPr>
                <w:b/>
                <w:bCs/>
              </w:rPr>
            </w:pPr>
            <w:r w:rsidRPr="00BA4DFA">
              <w:rPr>
                <w:b/>
                <w:bCs/>
              </w:rPr>
              <w:t>среднее</w:t>
            </w:r>
          </w:p>
        </w:tc>
        <w:tc>
          <w:tcPr>
            <w:tcW w:w="836" w:type="dxa"/>
          </w:tcPr>
          <w:p w14:paraId="56BA7CE4" w14:textId="4F29880B" w:rsidR="004736E1" w:rsidRPr="00BA4DFA" w:rsidRDefault="004736E1" w:rsidP="004736E1">
            <w:pPr>
              <w:pStyle w:val="ae"/>
              <w:rPr>
                <w:b/>
                <w:bCs/>
              </w:rPr>
            </w:pPr>
            <w:r w:rsidRPr="00BA4DFA">
              <w:rPr>
                <w:b/>
                <w:bCs/>
              </w:rPr>
              <w:t>Выбор. СКО</w:t>
            </w:r>
          </w:p>
        </w:tc>
        <w:tc>
          <w:tcPr>
            <w:tcW w:w="1069" w:type="dxa"/>
          </w:tcPr>
          <w:p w14:paraId="4B5624E6" w14:textId="0754FB9F" w:rsidR="004736E1" w:rsidRPr="00BA4DFA" w:rsidRDefault="004736E1" w:rsidP="004736E1">
            <w:pPr>
              <w:pStyle w:val="ae"/>
              <w:rPr>
                <w:b/>
                <w:bCs/>
              </w:rPr>
            </w:pPr>
            <w:r w:rsidRPr="00BA4DFA">
              <w:rPr>
                <w:b/>
                <w:bCs/>
              </w:rPr>
              <w:t>Минимум</w:t>
            </w:r>
          </w:p>
        </w:tc>
        <w:tc>
          <w:tcPr>
            <w:tcW w:w="1129" w:type="dxa"/>
          </w:tcPr>
          <w:p w14:paraId="42D25EE0" w14:textId="6245AC45" w:rsidR="004736E1" w:rsidRPr="00BA4DFA" w:rsidRDefault="004736E1" w:rsidP="004736E1">
            <w:pPr>
              <w:pStyle w:val="ae"/>
              <w:rPr>
                <w:b/>
                <w:bCs/>
              </w:rPr>
            </w:pPr>
            <w:r w:rsidRPr="00BA4DFA">
              <w:rPr>
                <w:b/>
                <w:bCs/>
              </w:rPr>
              <w:t>Максимум</w:t>
            </w:r>
          </w:p>
        </w:tc>
        <w:tc>
          <w:tcPr>
            <w:tcW w:w="880" w:type="dxa"/>
          </w:tcPr>
          <w:p w14:paraId="5B53A82D" w14:textId="77777777" w:rsidR="004736E1" w:rsidRPr="00BA4DFA" w:rsidRDefault="004736E1" w:rsidP="004736E1">
            <w:pPr>
              <w:pStyle w:val="ae"/>
              <w:rPr>
                <w:b/>
                <w:bCs/>
              </w:rPr>
            </w:pPr>
            <w:r w:rsidRPr="00BA4DFA">
              <w:rPr>
                <w:b/>
                <w:bCs/>
              </w:rPr>
              <w:t>Выбор.</w:t>
            </w:r>
          </w:p>
          <w:p w14:paraId="1B8E909E" w14:textId="3367A37C" w:rsidR="004736E1" w:rsidRPr="00BA4DFA" w:rsidRDefault="004736E1" w:rsidP="004736E1">
            <w:pPr>
              <w:ind w:firstLine="0"/>
              <w:rPr>
                <w:b/>
                <w:bCs/>
                <w:sz w:val="20"/>
              </w:rPr>
            </w:pPr>
            <w:r w:rsidRPr="00BA4DFA">
              <w:rPr>
                <w:b/>
                <w:bCs/>
                <w:sz w:val="20"/>
              </w:rPr>
              <w:t>среднее</w:t>
            </w:r>
          </w:p>
        </w:tc>
        <w:tc>
          <w:tcPr>
            <w:tcW w:w="836" w:type="dxa"/>
          </w:tcPr>
          <w:p w14:paraId="32CFDCEF" w14:textId="29F79D6C" w:rsidR="004736E1" w:rsidRPr="00BA4DFA" w:rsidRDefault="004736E1" w:rsidP="004736E1">
            <w:pPr>
              <w:ind w:firstLine="0"/>
              <w:rPr>
                <w:b/>
                <w:bCs/>
                <w:sz w:val="20"/>
              </w:rPr>
            </w:pPr>
            <w:r w:rsidRPr="00BA4DFA">
              <w:rPr>
                <w:b/>
                <w:bCs/>
                <w:sz w:val="20"/>
              </w:rPr>
              <w:t>Выбор. СКО</w:t>
            </w:r>
          </w:p>
        </w:tc>
        <w:tc>
          <w:tcPr>
            <w:tcW w:w="1069" w:type="dxa"/>
          </w:tcPr>
          <w:p w14:paraId="6B5B880D" w14:textId="1B5EF5C1" w:rsidR="004736E1" w:rsidRPr="00BA4DFA" w:rsidRDefault="004736E1" w:rsidP="004736E1">
            <w:pPr>
              <w:ind w:firstLine="0"/>
              <w:rPr>
                <w:b/>
                <w:bCs/>
                <w:sz w:val="20"/>
              </w:rPr>
            </w:pPr>
            <w:r w:rsidRPr="00BA4DFA">
              <w:rPr>
                <w:b/>
                <w:bCs/>
                <w:sz w:val="20"/>
              </w:rPr>
              <w:t>Минимум</w:t>
            </w:r>
          </w:p>
        </w:tc>
        <w:tc>
          <w:tcPr>
            <w:tcW w:w="1129" w:type="dxa"/>
          </w:tcPr>
          <w:p w14:paraId="788B911C" w14:textId="2506A576" w:rsidR="004736E1" w:rsidRPr="00BA4DFA" w:rsidRDefault="004736E1" w:rsidP="004736E1">
            <w:pPr>
              <w:ind w:firstLine="0"/>
              <w:rPr>
                <w:b/>
                <w:bCs/>
                <w:sz w:val="20"/>
              </w:rPr>
            </w:pPr>
            <w:r w:rsidRPr="00BA4DFA">
              <w:rPr>
                <w:b/>
                <w:bCs/>
                <w:sz w:val="20"/>
              </w:rPr>
              <w:t>Максимум</w:t>
            </w:r>
          </w:p>
        </w:tc>
      </w:tr>
      <w:tr w:rsidR="00BA4DFA" w14:paraId="6A4612D6" w14:textId="5DC1281A" w:rsidTr="00BA4DFA">
        <w:trPr>
          <w:trHeight w:val="596"/>
        </w:trPr>
        <w:tc>
          <w:tcPr>
            <w:tcW w:w="1643" w:type="dxa"/>
          </w:tcPr>
          <w:p w14:paraId="7A2CB1BE" w14:textId="138D41C5" w:rsidR="004736E1" w:rsidRPr="004736E1" w:rsidRDefault="004736E1" w:rsidP="00BA4DFA">
            <w:pPr>
              <w:pStyle w:val="ae"/>
              <w:rPr>
                <w:lang w:val="en-US"/>
              </w:rPr>
            </w:pPr>
            <w:r>
              <w:rPr>
                <w:lang w:val="en-US"/>
              </w:rPr>
              <w:t>Div_yield_exp</w:t>
            </w:r>
          </w:p>
        </w:tc>
        <w:tc>
          <w:tcPr>
            <w:tcW w:w="880" w:type="dxa"/>
          </w:tcPr>
          <w:p w14:paraId="1BBB1293" w14:textId="0C2800FD" w:rsidR="004736E1" w:rsidRPr="000B6135" w:rsidRDefault="00A21379" w:rsidP="00BA4DFA">
            <w:pPr>
              <w:pStyle w:val="ae"/>
            </w:pPr>
            <w:r>
              <w:rPr>
                <w:lang w:val="en-US"/>
              </w:rPr>
              <w:t>0,07</w:t>
            </w:r>
            <w:r w:rsidR="000B6135">
              <w:t>3</w:t>
            </w:r>
          </w:p>
        </w:tc>
        <w:tc>
          <w:tcPr>
            <w:tcW w:w="836" w:type="dxa"/>
          </w:tcPr>
          <w:p w14:paraId="72C46193" w14:textId="05334535" w:rsidR="004736E1" w:rsidRPr="00A21379" w:rsidRDefault="00A21379" w:rsidP="00BA4DFA">
            <w:pPr>
              <w:pStyle w:val="ae"/>
              <w:rPr>
                <w:lang w:val="en-US"/>
              </w:rPr>
            </w:pPr>
            <w:r>
              <w:rPr>
                <w:lang w:val="en-US"/>
              </w:rPr>
              <w:t>0,414</w:t>
            </w:r>
          </w:p>
        </w:tc>
        <w:tc>
          <w:tcPr>
            <w:tcW w:w="1069" w:type="dxa"/>
          </w:tcPr>
          <w:p w14:paraId="72E02BE0" w14:textId="3845FC1F" w:rsidR="004736E1" w:rsidRPr="00E90081" w:rsidRDefault="00A21379" w:rsidP="00BA4DFA">
            <w:pPr>
              <w:pStyle w:val="ae"/>
              <w:rPr>
                <w:lang w:val="en-US"/>
              </w:rPr>
            </w:pPr>
            <w:r>
              <w:rPr>
                <w:lang w:val="en-US"/>
              </w:rPr>
              <w:t>0</w:t>
            </w:r>
            <w:r w:rsidR="00E90081">
              <w:t>,</w:t>
            </w:r>
            <w:r w:rsidR="00E90081">
              <w:rPr>
                <w:lang w:val="en-US"/>
              </w:rPr>
              <w:t>001</w:t>
            </w:r>
          </w:p>
        </w:tc>
        <w:tc>
          <w:tcPr>
            <w:tcW w:w="1129" w:type="dxa"/>
          </w:tcPr>
          <w:p w14:paraId="1D002ABC" w14:textId="0F440590" w:rsidR="004736E1" w:rsidRPr="00A21379" w:rsidRDefault="00A21379" w:rsidP="00BA4DFA">
            <w:pPr>
              <w:pStyle w:val="ae"/>
              <w:rPr>
                <w:lang w:val="en-US"/>
              </w:rPr>
            </w:pPr>
            <w:r>
              <w:rPr>
                <w:lang w:val="en-US"/>
              </w:rPr>
              <w:t>0,197</w:t>
            </w:r>
          </w:p>
        </w:tc>
        <w:tc>
          <w:tcPr>
            <w:tcW w:w="880" w:type="dxa"/>
          </w:tcPr>
          <w:p w14:paraId="2A74399A" w14:textId="6A318758" w:rsidR="004736E1" w:rsidRPr="00A21379" w:rsidRDefault="00A21379" w:rsidP="00BA4DFA">
            <w:pPr>
              <w:pStyle w:val="ae"/>
              <w:rPr>
                <w:lang w:val="en-US"/>
              </w:rPr>
            </w:pPr>
            <w:r>
              <w:rPr>
                <w:lang w:val="en-US"/>
              </w:rPr>
              <w:t>0,017</w:t>
            </w:r>
          </w:p>
        </w:tc>
        <w:tc>
          <w:tcPr>
            <w:tcW w:w="836" w:type="dxa"/>
          </w:tcPr>
          <w:p w14:paraId="7423C890" w14:textId="116B4539" w:rsidR="004736E1" w:rsidRPr="00A21379" w:rsidRDefault="00A21379" w:rsidP="00BA4DFA">
            <w:pPr>
              <w:pStyle w:val="ae"/>
              <w:rPr>
                <w:lang w:val="en-US"/>
              </w:rPr>
            </w:pPr>
            <w:r>
              <w:rPr>
                <w:lang w:val="en-US"/>
              </w:rPr>
              <w:t>0,015</w:t>
            </w:r>
          </w:p>
        </w:tc>
        <w:tc>
          <w:tcPr>
            <w:tcW w:w="1069" w:type="dxa"/>
          </w:tcPr>
          <w:p w14:paraId="1BD234F3" w14:textId="61D616F9" w:rsidR="004736E1" w:rsidRPr="00A21379" w:rsidRDefault="00A21379" w:rsidP="00BA4DFA">
            <w:pPr>
              <w:pStyle w:val="ae"/>
              <w:rPr>
                <w:lang w:val="en-US"/>
              </w:rPr>
            </w:pPr>
            <w:r>
              <w:rPr>
                <w:lang w:val="en-US"/>
              </w:rPr>
              <w:t>0,0004</w:t>
            </w:r>
          </w:p>
        </w:tc>
        <w:tc>
          <w:tcPr>
            <w:tcW w:w="1129" w:type="dxa"/>
          </w:tcPr>
          <w:p w14:paraId="562C5200" w14:textId="72B731CB" w:rsidR="004736E1" w:rsidRPr="00A21379" w:rsidRDefault="00A21379" w:rsidP="00BA4DFA">
            <w:pPr>
              <w:pStyle w:val="ae"/>
              <w:rPr>
                <w:lang w:val="en-US"/>
              </w:rPr>
            </w:pPr>
            <w:r>
              <w:rPr>
                <w:lang w:val="en-US"/>
              </w:rPr>
              <w:t>0,057</w:t>
            </w:r>
          </w:p>
        </w:tc>
      </w:tr>
      <w:tr w:rsidR="00BA4DFA" w14:paraId="7A9A8136" w14:textId="6505908E" w:rsidTr="00BA4DFA">
        <w:trPr>
          <w:trHeight w:val="596"/>
        </w:trPr>
        <w:tc>
          <w:tcPr>
            <w:tcW w:w="1643" w:type="dxa"/>
          </w:tcPr>
          <w:p w14:paraId="0125C3A9" w14:textId="1FFC45EC" w:rsidR="004736E1" w:rsidRDefault="004736E1" w:rsidP="00BA4DFA">
            <w:pPr>
              <w:pStyle w:val="ae"/>
            </w:pPr>
            <w:r>
              <w:rPr>
                <w:lang w:val="en-US"/>
              </w:rPr>
              <w:t>Div_yield_hist</w:t>
            </w:r>
          </w:p>
        </w:tc>
        <w:tc>
          <w:tcPr>
            <w:tcW w:w="880" w:type="dxa"/>
          </w:tcPr>
          <w:p w14:paraId="6314D373" w14:textId="44D5C542" w:rsidR="004736E1" w:rsidRPr="00A21379" w:rsidRDefault="00A21379" w:rsidP="00BA4DFA">
            <w:pPr>
              <w:pStyle w:val="ae"/>
              <w:rPr>
                <w:lang w:val="en-US"/>
              </w:rPr>
            </w:pPr>
            <w:r>
              <w:rPr>
                <w:lang w:val="en-US"/>
              </w:rPr>
              <w:t>0,043</w:t>
            </w:r>
          </w:p>
        </w:tc>
        <w:tc>
          <w:tcPr>
            <w:tcW w:w="836" w:type="dxa"/>
          </w:tcPr>
          <w:p w14:paraId="3100C20D" w14:textId="1D212F42" w:rsidR="004736E1" w:rsidRPr="00A21379" w:rsidRDefault="00A21379" w:rsidP="00BA4DFA">
            <w:pPr>
              <w:pStyle w:val="ae"/>
              <w:rPr>
                <w:lang w:val="en-US"/>
              </w:rPr>
            </w:pPr>
            <w:r>
              <w:rPr>
                <w:lang w:val="en-US"/>
              </w:rPr>
              <w:t>0,033</w:t>
            </w:r>
          </w:p>
        </w:tc>
        <w:tc>
          <w:tcPr>
            <w:tcW w:w="1069" w:type="dxa"/>
          </w:tcPr>
          <w:p w14:paraId="052131A9" w14:textId="2F0495B7" w:rsidR="004736E1" w:rsidRPr="00A21379" w:rsidRDefault="00A21379" w:rsidP="00BA4DFA">
            <w:pPr>
              <w:pStyle w:val="ae"/>
              <w:rPr>
                <w:lang w:val="en-US"/>
              </w:rPr>
            </w:pPr>
            <w:r>
              <w:rPr>
                <w:lang w:val="en-US"/>
              </w:rPr>
              <w:t>0,007</w:t>
            </w:r>
          </w:p>
        </w:tc>
        <w:tc>
          <w:tcPr>
            <w:tcW w:w="1129" w:type="dxa"/>
          </w:tcPr>
          <w:p w14:paraId="657AD810" w14:textId="77475980" w:rsidR="004736E1" w:rsidRPr="00A21379" w:rsidRDefault="00A21379" w:rsidP="00BA4DFA">
            <w:pPr>
              <w:pStyle w:val="ae"/>
              <w:rPr>
                <w:lang w:val="en-US"/>
              </w:rPr>
            </w:pPr>
            <w:r>
              <w:rPr>
                <w:lang w:val="en-US"/>
              </w:rPr>
              <w:t>0,15</w:t>
            </w:r>
          </w:p>
        </w:tc>
        <w:tc>
          <w:tcPr>
            <w:tcW w:w="880" w:type="dxa"/>
          </w:tcPr>
          <w:p w14:paraId="34BFDC71" w14:textId="624784AB" w:rsidR="004736E1" w:rsidRPr="00A21379" w:rsidRDefault="00A21379" w:rsidP="00BA4DFA">
            <w:pPr>
              <w:pStyle w:val="ae"/>
              <w:rPr>
                <w:lang w:val="en-US"/>
              </w:rPr>
            </w:pPr>
            <w:r>
              <w:rPr>
                <w:lang w:val="en-US"/>
              </w:rPr>
              <w:t>0,014</w:t>
            </w:r>
          </w:p>
        </w:tc>
        <w:tc>
          <w:tcPr>
            <w:tcW w:w="836" w:type="dxa"/>
          </w:tcPr>
          <w:p w14:paraId="14982250" w14:textId="007DC5C1" w:rsidR="004736E1" w:rsidRPr="00A21379" w:rsidRDefault="00A21379" w:rsidP="00BA4DFA">
            <w:pPr>
              <w:pStyle w:val="ae"/>
              <w:rPr>
                <w:lang w:val="en-US"/>
              </w:rPr>
            </w:pPr>
            <w:r>
              <w:rPr>
                <w:lang w:val="en-US"/>
              </w:rPr>
              <w:t>0,014</w:t>
            </w:r>
          </w:p>
        </w:tc>
        <w:tc>
          <w:tcPr>
            <w:tcW w:w="1069" w:type="dxa"/>
          </w:tcPr>
          <w:p w14:paraId="2B691D6C" w14:textId="52350F88" w:rsidR="004736E1" w:rsidRPr="00A21379" w:rsidRDefault="00A21379" w:rsidP="00BA4DFA">
            <w:pPr>
              <w:pStyle w:val="ae"/>
              <w:rPr>
                <w:lang w:val="en-US"/>
              </w:rPr>
            </w:pPr>
            <w:r>
              <w:rPr>
                <w:lang w:val="en-US"/>
              </w:rPr>
              <w:t>0,0005</w:t>
            </w:r>
          </w:p>
        </w:tc>
        <w:tc>
          <w:tcPr>
            <w:tcW w:w="1129" w:type="dxa"/>
          </w:tcPr>
          <w:p w14:paraId="21877506" w14:textId="1FA8265A" w:rsidR="004736E1" w:rsidRPr="00A21379" w:rsidRDefault="00A21379" w:rsidP="00BA4DFA">
            <w:pPr>
              <w:pStyle w:val="ae"/>
              <w:rPr>
                <w:lang w:val="en-US"/>
              </w:rPr>
            </w:pPr>
            <w:r>
              <w:rPr>
                <w:lang w:val="en-US"/>
              </w:rPr>
              <w:t>0,074</w:t>
            </w:r>
          </w:p>
        </w:tc>
      </w:tr>
      <w:tr w:rsidR="00BA4DFA" w14:paraId="1E23A714" w14:textId="1670EF36" w:rsidTr="00BA4DFA">
        <w:trPr>
          <w:trHeight w:val="596"/>
        </w:trPr>
        <w:tc>
          <w:tcPr>
            <w:tcW w:w="1643" w:type="dxa"/>
          </w:tcPr>
          <w:p w14:paraId="145BF1AD" w14:textId="3193AE1D" w:rsidR="004736E1" w:rsidRPr="004736E1" w:rsidRDefault="004736E1" w:rsidP="00BA4DFA">
            <w:pPr>
              <w:pStyle w:val="ae"/>
              <w:rPr>
                <w:lang w:val="en-US"/>
              </w:rPr>
            </w:pPr>
            <w:r>
              <w:rPr>
                <w:lang w:val="en-US"/>
              </w:rPr>
              <w:t>Lmarket_cap</w:t>
            </w:r>
          </w:p>
        </w:tc>
        <w:tc>
          <w:tcPr>
            <w:tcW w:w="880" w:type="dxa"/>
          </w:tcPr>
          <w:p w14:paraId="60EA5038" w14:textId="33B003C9" w:rsidR="004736E1" w:rsidRPr="00A21379" w:rsidRDefault="00A21379" w:rsidP="00BA4DFA">
            <w:pPr>
              <w:pStyle w:val="ae"/>
              <w:rPr>
                <w:lang w:val="en-US"/>
              </w:rPr>
            </w:pPr>
            <w:r>
              <w:rPr>
                <w:lang w:val="en-US"/>
              </w:rPr>
              <w:t>25,977</w:t>
            </w:r>
          </w:p>
        </w:tc>
        <w:tc>
          <w:tcPr>
            <w:tcW w:w="836" w:type="dxa"/>
          </w:tcPr>
          <w:p w14:paraId="18145514" w14:textId="5C9E6142" w:rsidR="004736E1" w:rsidRPr="00A21379" w:rsidRDefault="00A21379" w:rsidP="00BA4DFA">
            <w:pPr>
              <w:pStyle w:val="ae"/>
              <w:rPr>
                <w:lang w:val="en-US"/>
              </w:rPr>
            </w:pPr>
            <w:r>
              <w:rPr>
                <w:lang w:val="en-US"/>
              </w:rPr>
              <w:t>1,765</w:t>
            </w:r>
          </w:p>
        </w:tc>
        <w:tc>
          <w:tcPr>
            <w:tcW w:w="1069" w:type="dxa"/>
          </w:tcPr>
          <w:p w14:paraId="5F10A6D9" w14:textId="29543B46" w:rsidR="004736E1" w:rsidRPr="00A21379" w:rsidRDefault="00A21379" w:rsidP="00BA4DFA">
            <w:pPr>
              <w:pStyle w:val="ae"/>
              <w:rPr>
                <w:lang w:val="en-US"/>
              </w:rPr>
            </w:pPr>
            <w:r>
              <w:rPr>
                <w:lang w:val="en-US"/>
              </w:rPr>
              <w:t>22,35</w:t>
            </w:r>
          </w:p>
        </w:tc>
        <w:tc>
          <w:tcPr>
            <w:tcW w:w="1129" w:type="dxa"/>
          </w:tcPr>
          <w:p w14:paraId="1CDDB0B8" w14:textId="4D90BEA4" w:rsidR="004736E1" w:rsidRPr="00A21379" w:rsidRDefault="00A21379" w:rsidP="00BA4DFA">
            <w:pPr>
              <w:pStyle w:val="ae"/>
              <w:rPr>
                <w:lang w:val="en-US"/>
              </w:rPr>
            </w:pPr>
            <w:r>
              <w:rPr>
                <w:lang w:val="en-US"/>
              </w:rPr>
              <w:t>29,154</w:t>
            </w:r>
          </w:p>
        </w:tc>
        <w:tc>
          <w:tcPr>
            <w:tcW w:w="880" w:type="dxa"/>
          </w:tcPr>
          <w:p w14:paraId="7FD14D2B" w14:textId="3BEF7E2C" w:rsidR="004736E1" w:rsidRPr="00A21379" w:rsidRDefault="00A21379" w:rsidP="00BA4DFA">
            <w:pPr>
              <w:pStyle w:val="ae"/>
              <w:rPr>
                <w:lang w:val="en-US"/>
              </w:rPr>
            </w:pPr>
            <w:r>
              <w:rPr>
                <w:lang w:val="en-US"/>
              </w:rPr>
              <w:t>24,269</w:t>
            </w:r>
          </w:p>
        </w:tc>
        <w:tc>
          <w:tcPr>
            <w:tcW w:w="836" w:type="dxa"/>
          </w:tcPr>
          <w:p w14:paraId="2944E5FC" w14:textId="4E1811EF" w:rsidR="004736E1" w:rsidRPr="00DE02E4" w:rsidRDefault="00DE02E4" w:rsidP="00BA4DFA">
            <w:pPr>
              <w:pStyle w:val="ae"/>
              <w:rPr>
                <w:lang w:val="en-US"/>
              </w:rPr>
            </w:pPr>
            <w:r>
              <w:rPr>
                <w:lang w:val="en-US"/>
              </w:rPr>
              <w:t>0,841</w:t>
            </w:r>
          </w:p>
        </w:tc>
        <w:tc>
          <w:tcPr>
            <w:tcW w:w="1069" w:type="dxa"/>
          </w:tcPr>
          <w:p w14:paraId="5337C8EA" w14:textId="6A9729CF" w:rsidR="004736E1" w:rsidRPr="00DE02E4" w:rsidRDefault="00DE02E4" w:rsidP="00BA4DFA">
            <w:pPr>
              <w:pStyle w:val="ae"/>
              <w:rPr>
                <w:lang w:val="en-US"/>
              </w:rPr>
            </w:pPr>
            <w:r>
              <w:rPr>
                <w:lang w:val="en-US"/>
              </w:rPr>
              <w:t>22,51</w:t>
            </w:r>
          </w:p>
        </w:tc>
        <w:tc>
          <w:tcPr>
            <w:tcW w:w="1129" w:type="dxa"/>
          </w:tcPr>
          <w:p w14:paraId="0595A477" w14:textId="699403ED" w:rsidR="004736E1" w:rsidRPr="00DE02E4" w:rsidRDefault="00DE02E4" w:rsidP="00BA4DFA">
            <w:pPr>
              <w:pStyle w:val="ae"/>
              <w:rPr>
                <w:lang w:val="en-US"/>
              </w:rPr>
            </w:pPr>
            <w:r>
              <w:rPr>
                <w:lang w:val="en-US"/>
              </w:rPr>
              <w:t>26,602</w:t>
            </w:r>
          </w:p>
        </w:tc>
      </w:tr>
      <w:tr w:rsidR="00BA4DFA" w14:paraId="47E8DB60" w14:textId="374E8E6D" w:rsidTr="00BA4DFA">
        <w:trPr>
          <w:trHeight w:val="596"/>
        </w:trPr>
        <w:tc>
          <w:tcPr>
            <w:tcW w:w="1643" w:type="dxa"/>
          </w:tcPr>
          <w:p w14:paraId="58CD7D96" w14:textId="1D48DD5C" w:rsidR="004736E1" w:rsidRPr="004736E1" w:rsidRDefault="004736E1" w:rsidP="00BA4DFA">
            <w:pPr>
              <w:pStyle w:val="ae"/>
              <w:rPr>
                <w:lang w:val="en-US"/>
              </w:rPr>
            </w:pPr>
            <w:r>
              <w:rPr>
                <w:lang w:val="en-US"/>
              </w:rPr>
              <w:t>Lassets</w:t>
            </w:r>
          </w:p>
        </w:tc>
        <w:tc>
          <w:tcPr>
            <w:tcW w:w="880" w:type="dxa"/>
          </w:tcPr>
          <w:p w14:paraId="66F03895" w14:textId="46383855" w:rsidR="004736E1" w:rsidRPr="00A21379" w:rsidRDefault="00A21379" w:rsidP="00BA4DFA">
            <w:pPr>
              <w:pStyle w:val="ae"/>
              <w:rPr>
                <w:lang w:val="en-US"/>
              </w:rPr>
            </w:pPr>
            <w:r>
              <w:rPr>
                <w:lang w:val="en-US"/>
              </w:rPr>
              <w:t>26,82</w:t>
            </w:r>
          </w:p>
        </w:tc>
        <w:tc>
          <w:tcPr>
            <w:tcW w:w="836" w:type="dxa"/>
          </w:tcPr>
          <w:p w14:paraId="28B7A67D" w14:textId="2E4C3E01" w:rsidR="004736E1" w:rsidRPr="00A21379" w:rsidRDefault="00A21379" w:rsidP="00BA4DFA">
            <w:pPr>
              <w:pStyle w:val="ae"/>
              <w:rPr>
                <w:lang w:val="en-US"/>
              </w:rPr>
            </w:pPr>
            <w:r>
              <w:rPr>
                <w:lang w:val="en-US"/>
              </w:rPr>
              <w:t>1,82</w:t>
            </w:r>
          </w:p>
        </w:tc>
        <w:tc>
          <w:tcPr>
            <w:tcW w:w="1069" w:type="dxa"/>
          </w:tcPr>
          <w:p w14:paraId="287AD4A4" w14:textId="327F2317" w:rsidR="004736E1" w:rsidRPr="00A21379" w:rsidRDefault="00A21379" w:rsidP="00BA4DFA">
            <w:pPr>
              <w:pStyle w:val="ae"/>
              <w:rPr>
                <w:lang w:val="en-US"/>
              </w:rPr>
            </w:pPr>
            <w:r>
              <w:rPr>
                <w:lang w:val="en-US"/>
              </w:rPr>
              <w:t>22,493</w:t>
            </w:r>
          </w:p>
        </w:tc>
        <w:tc>
          <w:tcPr>
            <w:tcW w:w="1129" w:type="dxa"/>
          </w:tcPr>
          <w:p w14:paraId="0B3C5925" w14:textId="09402CC3" w:rsidR="004736E1" w:rsidRPr="00A21379" w:rsidRDefault="00A21379" w:rsidP="00BA4DFA">
            <w:pPr>
              <w:pStyle w:val="ae"/>
              <w:rPr>
                <w:lang w:val="en-US"/>
              </w:rPr>
            </w:pPr>
            <w:r>
              <w:rPr>
                <w:lang w:val="en-US"/>
              </w:rPr>
              <w:t>30,666</w:t>
            </w:r>
          </w:p>
        </w:tc>
        <w:tc>
          <w:tcPr>
            <w:tcW w:w="880" w:type="dxa"/>
          </w:tcPr>
          <w:p w14:paraId="25349172" w14:textId="3EB0F43B" w:rsidR="004736E1" w:rsidRDefault="00DE02E4" w:rsidP="00BA4DFA">
            <w:pPr>
              <w:pStyle w:val="ae"/>
            </w:pPr>
            <w:r w:rsidRPr="00DE02E4">
              <w:t>24</w:t>
            </w:r>
            <w:r w:rsidR="00BA4DFA">
              <w:t>,</w:t>
            </w:r>
            <w:r w:rsidRPr="00DE02E4">
              <w:t>276</w:t>
            </w:r>
          </w:p>
        </w:tc>
        <w:tc>
          <w:tcPr>
            <w:tcW w:w="836" w:type="dxa"/>
          </w:tcPr>
          <w:p w14:paraId="199288FF" w14:textId="1352301B" w:rsidR="004736E1" w:rsidRDefault="00DE02E4" w:rsidP="00BA4DFA">
            <w:pPr>
              <w:pStyle w:val="ae"/>
            </w:pPr>
            <w:r w:rsidRPr="00DE02E4">
              <w:t>1</w:t>
            </w:r>
            <w:r w:rsidR="00BA4DFA">
              <w:t>,</w:t>
            </w:r>
            <w:r w:rsidRPr="00DE02E4">
              <w:t>281</w:t>
            </w:r>
          </w:p>
        </w:tc>
        <w:tc>
          <w:tcPr>
            <w:tcW w:w="1069" w:type="dxa"/>
          </w:tcPr>
          <w:p w14:paraId="259E6080" w14:textId="156D95F8" w:rsidR="004736E1" w:rsidRDefault="00DE02E4" w:rsidP="00BA4DFA">
            <w:pPr>
              <w:pStyle w:val="ae"/>
            </w:pPr>
            <w:r w:rsidRPr="00DE02E4">
              <w:t>21</w:t>
            </w:r>
            <w:r w:rsidR="00BA4DFA">
              <w:t>,</w:t>
            </w:r>
            <w:r w:rsidRPr="00DE02E4">
              <w:t>613</w:t>
            </w:r>
          </w:p>
        </w:tc>
        <w:tc>
          <w:tcPr>
            <w:tcW w:w="1129" w:type="dxa"/>
          </w:tcPr>
          <w:p w14:paraId="5BBAB34D" w14:textId="4BBC4ECF" w:rsidR="004736E1" w:rsidRDefault="00DE02E4" w:rsidP="00BA4DFA">
            <w:pPr>
              <w:pStyle w:val="ae"/>
            </w:pPr>
            <w:r w:rsidRPr="00DE02E4">
              <w:t>28</w:t>
            </w:r>
            <w:r w:rsidR="00BA4DFA">
              <w:t>,</w:t>
            </w:r>
            <w:r w:rsidRPr="00DE02E4">
              <w:t>055</w:t>
            </w:r>
          </w:p>
        </w:tc>
      </w:tr>
      <w:tr w:rsidR="004736E1" w14:paraId="07711096" w14:textId="77777777" w:rsidTr="00BA4DFA">
        <w:trPr>
          <w:trHeight w:val="596"/>
        </w:trPr>
        <w:tc>
          <w:tcPr>
            <w:tcW w:w="1643" w:type="dxa"/>
          </w:tcPr>
          <w:p w14:paraId="0B1CB487" w14:textId="17736B5B" w:rsidR="004736E1" w:rsidRDefault="004736E1" w:rsidP="00BA4DFA">
            <w:pPr>
              <w:pStyle w:val="ae"/>
              <w:rPr>
                <w:lang w:val="en-US"/>
              </w:rPr>
            </w:pPr>
            <w:r>
              <w:rPr>
                <w:lang w:val="en-US"/>
              </w:rPr>
              <w:t>State_control</w:t>
            </w:r>
          </w:p>
        </w:tc>
        <w:tc>
          <w:tcPr>
            <w:tcW w:w="880" w:type="dxa"/>
          </w:tcPr>
          <w:p w14:paraId="67466373" w14:textId="7F1FEA30" w:rsidR="004736E1" w:rsidRPr="00A21379" w:rsidRDefault="00A21379" w:rsidP="00BA4DFA">
            <w:pPr>
              <w:pStyle w:val="ae"/>
              <w:rPr>
                <w:lang w:val="en-US"/>
              </w:rPr>
            </w:pPr>
            <w:r>
              <w:rPr>
                <w:lang w:val="en-US"/>
              </w:rPr>
              <w:t>0,439</w:t>
            </w:r>
          </w:p>
        </w:tc>
        <w:tc>
          <w:tcPr>
            <w:tcW w:w="836" w:type="dxa"/>
          </w:tcPr>
          <w:p w14:paraId="12622CC4" w14:textId="307CDAFD" w:rsidR="004736E1" w:rsidRPr="00A21379" w:rsidRDefault="00A21379" w:rsidP="00BA4DFA">
            <w:pPr>
              <w:pStyle w:val="ae"/>
              <w:rPr>
                <w:lang w:val="en-US"/>
              </w:rPr>
            </w:pPr>
            <w:r>
              <w:rPr>
                <w:lang w:val="en-US"/>
              </w:rPr>
              <w:t>0,499</w:t>
            </w:r>
          </w:p>
        </w:tc>
        <w:tc>
          <w:tcPr>
            <w:tcW w:w="1069" w:type="dxa"/>
          </w:tcPr>
          <w:p w14:paraId="5B5C0397" w14:textId="40E9F407" w:rsidR="004736E1" w:rsidRPr="00A21379" w:rsidRDefault="00A21379" w:rsidP="00BA4DFA">
            <w:pPr>
              <w:pStyle w:val="ae"/>
              <w:rPr>
                <w:lang w:val="en-US"/>
              </w:rPr>
            </w:pPr>
            <w:r>
              <w:rPr>
                <w:lang w:val="en-US"/>
              </w:rPr>
              <w:t>0</w:t>
            </w:r>
          </w:p>
        </w:tc>
        <w:tc>
          <w:tcPr>
            <w:tcW w:w="1129" w:type="dxa"/>
          </w:tcPr>
          <w:p w14:paraId="74028E05" w14:textId="6A437B65" w:rsidR="004736E1" w:rsidRPr="00A21379" w:rsidRDefault="00A21379" w:rsidP="00BA4DFA">
            <w:pPr>
              <w:pStyle w:val="ae"/>
              <w:rPr>
                <w:lang w:val="en-US"/>
              </w:rPr>
            </w:pPr>
            <w:r>
              <w:rPr>
                <w:lang w:val="en-US"/>
              </w:rPr>
              <w:t>1</w:t>
            </w:r>
          </w:p>
        </w:tc>
        <w:tc>
          <w:tcPr>
            <w:tcW w:w="880" w:type="dxa"/>
          </w:tcPr>
          <w:p w14:paraId="210F51AD" w14:textId="70B80D81" w:rsidR="004736E1" w:rsidRPr="00DE02E4" w:rsidRDefault="00F03FDF" w:rsidP="00BA4DFA">
            <w:pPr>
              <w:pStyle w:val="ae"/>
              <w:rPr>
                <w:lang w:val="en-US"/>
              </w:rPr>
            </w:pPr>
            <w:r>
              <w:t>0</w:t>
            </w:r>
            <w:r w:rsidR="00BA4DFA">
              <w:rPr>
                <w:lang w:val="en-US"/>
              </w:rPr>
              <w:t>,</w:t>
            </w:r>
            <w:r w:rsidR="00DE02E4" w:rsidRPr="00DE02E4">
              <w:rPr>
                <w:lang w:val="en-US"/>
              </w:rPr>
              <w:t>116</w:t>
            </w:r>
          </w:p>
        </w:tc>
        <w:tc>
          <w:tcPr>
            <w:tcW w:w="836" w:type="dxa"/>
          </w:tcPr>
          <w:p w14:paraId="63BD1710" w14:textId="31CF0CE5" w:rsidR="004736E1" w:rsidRPr="00DE02E4" w:rsidRDefault="00F03FDF" w:rsidP="00BA4DFA">
            <w:pPr>
              <w:pStyle w:val="ae"/>
              <w:rPr>
                <w:lang w:val="en-US"/>
              </w:rPr>
            </w:pPr>
            <w:r>
              <w:t>0</w:t>
            </w:r>
            <w:r w:rsidR="00BA4DFA">
              <w:rPr>
                <w:lang w:val="en-US"/>
              </w:rPr>
              <w:t>,</w:t>
            </w:r>
            <w:r w:rsidR="00DE02E4" w:rsidRPr="00DE02E4">
              <w:rPr>
                <w:lang w:val="en-US"/>
              </w:rPr>
              <w:t>32</w:t>
            </w:r>
            <w:r w:rsidR="00DE02E4">
              <w:rPr>
                <w:lang w:val="en-US"/>
              </w:rPr>
              <w:t>2</w:t>
            </w:r>
          </w:p>
        </w:tc>
        <w:tc>
          <w:tcPr>
            <w:tcW w:w="1069" w:type="dxa"/>
          </w:tcPr>
          <w:p w14:paraId="682AAA02" w14:textId="26CD9490" w:rsidR="004736E1" w:rsidRPr="00DE02E4" w:rsidRDefault="00DE02E4" w:rsidP="00BA4DFA">
            <w:pPr>
              <w:pStyle w:val="ae"/>
              <w:rPr>
                <w:lang w:val="en-US"/>
              </w:rPr>
            </w:pPr>
            <w:r>
              <w:rPr>
                <w:lang w:val="en-US"/>
              </w:rPr>
              <w:t>0</w:t>
            </w:r>
          </w:p>
        </w:tc>
        <w:tc>
          <w:tcPr>
            <w:tcW w:w="1129" w:type="dxa"/>
          </w:tcPr>
          <w:p w14:paraId="47C90FD4" w14:textId="37C927E3" w:rsidR="004736E1" w:rsidRPr="00DE02E4" w:rsidRDefault="00DE02E4" w:rsidP="00BA4DFA">
            <w:pPr>
              <w:pStyle w:val="ae"/>
              <w:rPr>
                <w:lang w:val="en-US"/>
              </w:rPr>
            </w:pPr>
            <w:r>
              <w:rPr>
                <w:lang w:val="en-US"/>
              </w:rPr>
              <w:t>1</w:t>
            </w:r>
          </w:p>
        </w:tc>
      </w:tr>
      <w:tr w:rsidR="004736E1" w14:paraId="52EC0473" w14:textId="77777777" w:rsidTr="00BA4DFA">
        <w:trPr>
          <w:trHeight w:val="596"/>
        </w:trPr>
        <w:tc>
          <w:tcPr>
            <w:tcW w:w="1643" w:type="dxa"/>
          </w:tcPr>
          <w:p w14:paraId="1795F26F" w14:textId="5D605FC8" w:rsidR="004736E1" w:rsidRDefault="004736E1" w:rsidP="00BA4DFA">
            <w:pPr>
              <w:pStyle w:val="ae"/>
              <w:rPr>
                <w:lang w:val="en-US"/>
              </w:rPr>
            </w:pPr>
            <w:r>
              <w:rPr>
                <w:lang w:val="en-US"/>
              </w:rPr>
              <w:t>Div_change</w:t>
            </w:r>
          </w:p>
        </w:tc>
        <w:tc>
          <w:tcPr>
            <w:tcW w:w="880" w:type="dxa"/>
          </w:tcPr>
          <w:p w14:paraId="6E8238AE" w14:textId="383AC472" w:rsidR="004736E1" w:rsidRPr="00A21379" w:rsidRDefault="00A21379" w:rsidP="00BA4DFA">
            <w:pPr>
              <w:pStyle w:val="ae"/>
              <w:rPr>
                <w:lang w:val="en-US"/>
              </w:rPr>
            </w:pPr>
            <w:r>
              <w:rPr>
                <w:lang w:val="en-US"/>
              </w:rPr>
              <w:t>0,624</w:t>
            </w:r>
          </w:p>
        </w:tc>
        <w:tc>
          <w:tcPr>
            <w:tcW w:w="836" w:type="dxa"/>
          </w:tcPr>
          <w:p w14:paraId="14C5596F" w14:textId="26C489CE" w:rsidR="004736E1" w:rsidRPr="00A21379" w:rsidRDefault="00A21379" w:rsidP="00BA4DFA">
            <w:pPr>
              <w:pStyle w:val="ae"/>
              <w:rPr>
                <w:lang w:val="en-US"/>
              </w:rPr>
            </w:pPr>
            <w:r>
              <w:rPr>
                <w:lang w:val="en-US"/>
              </w:rPr>
              <w:t>2,011</w:t>
            </w:r>
          </w:p>
        </w:tc>
        <w:tc>
          <w:tcPr>
            <w:tcW w:w="1069" w:type="dxa"/>
          </w:tcPr>
          <w:p w14:paraId="7204B24A" w14:textId="62A1D7AA" w:rsidR="004736E1" w:rsidRPr="00A21379" w:rsidRDefault="00A21379" w:rsidP="00BA4DFA">
            <w:pPr>
              <w:pStyle w:val="ae"/>
              <w:rPr>
                <w:lang w:val="en-US"/>
              </w:rPr>
            </w:pPr>
            <w:r>
              <w:rPr>
                <w:lang w:val="en-US"/>
              </w:rPr>
              <w:t>-0,884</w:t>
            </w:r>
          </w:p>
        </w:tc>
        <w:tc>
          <w:tcPr>
            <w:tcW w:w="1129" w:type="dxa"/>
          </w:tcPr>
          <w:p w14:paraId="3938BF36" w14:textId="74E27C54" w:rsidR="004736E1" w:rsidRPr="00A21379" w:rsidRDefault="00A21379" w:rsidP="00BA4DFA">
            <w:pPr>
              <w:pStyle w:val="ae"/>
              <w:rPr>
                <w:lang w:val="en-US"/>
              </w:rPr>
            </w:pPr>
            <w:r>
              <w:rPr>
                <w:lang w:val="en-US"/>
              </w:rPr>
              <w:t>16,8</w:t>
            </w:r>
          </w:p>
        </w:tc>
        <w:tc>
          <w:tcPr>
            <w:tcW w:w="880" w:type="dxa"/>
          </w:tcPr>
          <w:p w14:paraId="510C5E0C" w14:textId="5FEAFFAE" w:rsidR="004736E1" w:rsidRDefault="00F03FDF" w:rsidP="00BA4DFA">
            <w:pPr>
              <w:pStyle w:val="ae"/>
            </w:pPr>
            <w:r>
              <w:t>0</w:t>
            </w:r>
            <w:r w:rsidR="00BA4DFA">
              <w:t>,</w:t>
            </w:r>
            <w:r w:rsidR="00DE02E4" w:rsidRPr="00DE02E4">
              <w:t>576</w:t>
            </w:r>
          </w:p>
        </w:tc>
        <w:tc>
          <w:tcPr>
            <w:tcW w:w="836" w:type="dxa"/>
          </w:tcPr>
          <w:p w14:paraId="6280CD9F" w14:textId="5CA285E3" w:rsidR="004736E1" w:rsidRPr="00DE02E4" w:rsidRDefault="00DE02E4" w:rsidP="00BA4DFA">
            <w:pPr>
              <w:pStyle w:val="ae"/>
              <w:rPr>
                <w:lang w:val="en-US"/>
              </w:rPr>
            </w:pPr>
            <w:r w:rsidRPr="00DE02E4">
              <w:t>1</w:t>
            </w:r>
            <w:r w:rsidR="00BA4DFA">
              <w:t>,</w:t>
            </w:r>
            <w:r w:rsidRPr="00DE02E4">
              <w:t>95</w:t>
            </w:r>
            <w:r>
              <w:rPr>
                <w:lang w:val="en-US"/>
              </w:rPr>
              <w:t>9</w:t>
            </w:r>
          </w:p>
        </w:tc>
        <w:tc>
          <w:tcPr>
            <w:tcW w:w="1069" w:type="dxa"/>
          </w:tcPr>
          <w:p w14:paraId="025D2FBF" w14:textId="17C482B6" w:rsidR="004736E1" w:rsidRPr="00DE02E4" w:rsidRDefault="00DE02E4" w:rsidP="00BA4DFA">
            <w:pPr>
              <w:pStyle w:val="ae"/>
              <w:rPr>
                <w:lang w:val="en-US"/>
              </w:rPr>
            </w:pPr>
            <w:r>
              <w:rPr>
                <w:lang w:val="en-US"/>
              </w:rPr>
              <w:t>-1</w:t>
            </w:r>
          </w:p>
        </w:tc>
        <w:tc>
          <w:tcPr>
            <w:tcW w:w="1129" w:type="dxa"/>
          </w:tcPr>
          <w:p w14:paraId="4BFD63D7" w14:textId="220E6976" w:rsidR="004736E1" w:rsidRPr="00DE02E4" w:rsidRDefault="00DE02E4" w:rsidP="00BA4DFA">
            <w:pPr>
              <w:pStyle w:val="ae"/>
              <w:rPr>
                <w:lang w:val="en-US"/>
              </w:rPr>
            </w:pPr>
            <w:r>
              <w:rPr>
                <w:lang w:val="en-US"/>
              </w:rPr>
              <w:t>19</w:t>
            </w:r>
          </w:p>
        </w:tc>
      </w:tr>
      <w:tr w:rsidR="004736E1" w14:paraId="141B2D40" w14:textId="77777777" w:rsidTr="00BA4DFA">
        <w:trPr>
          <w:trHeight w:val="596"/>
        </w:trPr>
        <w:tc>
          <w:tcPr>
            <w:tcW w:w="1643" w:type="dxa"/>
          </w:tcPr>
          <w:p w14:paraId="43739C59" w14:textId="05123515" w:rsidR="004736E1" w:rsidRDefault="004736E1" w:rsidP="00BA4DFA">
            <w:pPr>
              <w:pStyle w:val="ae"/>
              <w:rPr>
                <w:lang w:val="en-US"/>
              </w:rPr>
            </w:pPr>
            <w:r>
              <w:rPr>
                <w:lang w:val="en-US"/>
              </w:rPr>
              <w:t>EPS_confirm</w:t>
            </w:r>
          </w:p>
        </w:tc>
        <w:tc>
          <w:tcPr>
            <w:tcW w:w="880" w:type="dxa"/>
          </w:tcPr>
          <w:p w14:paraId="4541E3BD" w14:textId="1B6BD3CF" w:rsidR="004736E1" w:rsidRPr="00A21379" w:rsidRDefault="00A21379" w:rsidP="00BA4DFA">
            <w:pPr>
              <w:pStyle w:val="ae"/>
              <w:rPr>
                <w:lang w:val="en-US"/>
              </w:rPr>
            </w:pPr>
            <w:r>
              <w:rPr>
                <w:lang w:val="en-US"/>
              </w:rPr>
              <w:t>0,495</w:t>
            </w:r>
          </w:p>
        </w:tc>
        <w:tc>
          <w:tcPr>
            <w:tcW w:w="836" w:type="dxa"/>
          </w:tcPr>
          <w:p w14:paraId="0BCAA899" w14:textId="51334AFC" w:rsidR="004736E1" w:rsidRPr="00A21379" w:rsidRDefault="00A21379" w:rsidP="00BA4DFA">
            <w:pPr>
              <w:pStyle w:val="ae"/>
              <w:rPr>
                <w:lang w:val="en-US"/>
              </w:rPr>
            </w:pPr>
            <w:r>
              <w:rPr>
                <w:lang w:val="en-US"/>
              </w:rPr>
              <w:t>0,502</w:t>
            </w:r>
          </w:p>
        </w:tc>
        <w:tc>
          <w:tcPr>
            <w:tcW w:w="1069" w:type="dxa"/>
          </w:tcPr>
          <w:p w14:paraId="78B2AE60" w14:textId="37D07CEA" w:rsidR="004736E1" w:rsidRPr="00A21379" w:rsidRDefault="00A21379" w:rsidP="00BA4DFA">
            <w:pPr>
              <w:pStyle w:val="ae"/>
              <w:rPr>
                <w:lang w:val="en-US"/>
              </w:rPr>
            </w:pPr>
            <w:r>
              <w:rPr>
                <w:lang w:val="en-US"/>
              </w:rPr>
              <w:t>0</w:t>
            </w:r>
          </w:p>
        </w:tc>
        <w:tc>
          <w:tcPr>
            <w:tcW w:w="1129" w:type="dxa"/>
          </w:tcPr>
          <w:p w14:paraId="79D88CF0" w14:textId="5454EEE7" w:rsidR="004736E1" w:rsidRPr="00A21379" w:rsidRDefault="00A21379" w:rsidP="00BA4DFA">
            <w:pPr>
              <w:pStyle w:val="ae"/>
              <w:rPr>
                <w:lang w:val="en-US"/>
              </w:rPr>
            </w:pPr>
            <w:r>
              <w:rPr>
                <w:lang w:val="en-US"/>
              </w:rPr>
              <w:t>1</w:t>
            </w:r>
          </w:p>
        </w:tc>
        <w:tc>
          <w:tcPr>
            <w:tcW w:w="880" w:type="dxa"/>
          </w:tcPr>
          <w:p w14:paraId="03A3BAF8" w14:textId="555F8CC1" w:rsidR="004736E1" w:rsidRPr="00BA4DFA" w:rsidRDefault="00F03FDF" w:rsidP="00BA4DFA">
            <w:pPr>
              <w:pStyle w:val="ae"/>
              <w:rPr>
                <w:lang w:val="en-US"/>
              </w:rPr>
            </w:pPr>
            <w:r>
              <w:t>0</w:t>
            </w:r>
            <w:r w:rsidR="00BA4DFA">
              <w:t>,</w:t>
            </w:r>
            <w:r w:rsidR="00BA4DFA" w:rsidRPr="00BA4DFA">
              <w:t>26</w:t>
            </w:r>
            <w:r w:rsidR="00BA4DFA">
              <w:rPr>
                <w:lang w:val="en-US"/>
              </w:rPr>
              <w:t>4</w:t>
            </w:r>
          </w:p>
        </w:tc>
        <w:tc>
          <w:tcPr>
            <w:tcW w:w="836" w:type="dxa"/>
          </w:tcPr>
          <w:p w14:paraId="3B485F3C" w14:textId="4DA79A16" w:rsidR="004736E1" w:rsidRDefault="00F03FDF" w:rsidP="00BA4DFA">
            <w:pPr>
              <w:pStyle w:val="ae"/>
            </w:pPr>
            <w:r>
              <w:t>0</w:t>
            </w:r>
            <w:r w:rsidR="00BA4DFA">
              <w:t>,</w:t>
            </w:r>
            <w:r w:rsidR="00BA4DFA" w:rsidRPr="00BA4DFA">
              <w:t>442</w:t>
            </w:r>
          </w:p>
        </w:tc>
        <w:tc>
          <w:tcPr>
            <w:tcW w:w="1069" w:type="dxa"/>
          </w:tcPr>
          <w:p w14:paraId="627A61E7" w14:textId="3D324A9B" w:rsidR="004736E1" w:rsidRPr="00BA4DFA" w:rsidRDefault="00BA4DFA" w:rsidP="00BA4DFA">
            <w:pPr>
              <w:pStyle w:val="ae"/>
              <w:rPr>
                <w:lang w:val="en-US"/>
              </w:rPr>
            </w:pPr>
            <w:r>
              <w:rPr>
                <w:lang w:val="en-US"/>
              </w:rPr>
              <w:t>0</w:t>
            </w:r>
          </w:p>
        </w:tc>
        <w:tc>
          <w:tcPr>
            <w:tcW w:w="1129" w:type="dxa"/>
          </w:tcPr>
          <w:p w14:paraId="0C0AC458" w14:textId="4D6502A9" w:rsidR="004736E1" w:rsidRPr="00BA4DFA" w:rsidRDefault="00BA4DFA" w:rsidP="00BA4DFA">
            <w:pPr>
              <w:pStyle w:val="ae"/>
              <w:rPr>
                <w:lang w:val="en-US"/>
              </w:rPr>
            </w:pPr>
            <w:r>
              <w:rPr>
                <w:lang w:val="en-US"/>
              </w:rPr>
              <w:t>1</w:t>
            </w:r>
          </w:p>
        </w:tc>
      </w:tr>
      <w:tr w:rsidR="004736E1" w14:paraId="4C0F4B62" w14:textId="77777777" w:rsidTr="00BA4DFA">
        <w:trPr>
          <w:trHeight w:val="596"/>
        </w:trPr>
        <w:tc>
          <w:tcPr>
            <w:tcW w:w="1643" w:type="dxa"/>
          </w:tcPr>
          <w:p w14:paraId="71A3BC73" w14:textId="17F0A65F" w:rsidR="004736E1" w:rsidRDefault="004736E1" w:rsidP="00BA4DFA">
            <w:pPr>
              <w:pStyle w:val="ae"/>
              <w:rPr>
                <w:lang w:val="en-US"/>
              </w:rPr>
            </w:pPr>
            <w:r>
              <w:rPr>
                <w:lang w:val="en-US"/>
              </w:rPr>
              <w:t>P_BV</w:t>
            </w:r>
          </w:p>
        </w:tc>
        <w:tc>
          <w:tcPr>
            <w:tcW w:w="880" w:type="dxa"/>
          </w:tcPr>
          <w:p w14:paraId="31817D91" w14:textId="3B7223D1" w:rsidR="004736E1" w:rsidRPr="00A21379" w:rsidRDefault="00A21379" w:rsidP="00BA4DFA">
            <w:pPr>
              <w:pStyle w:val="ae"/>
              <w:rPr>
                <w:lang w:val="en-US"/>
              </w:rPr>
            </w:pPr>
            <w:r>
              <w:rPr>
                <w:lang w:val="en-US"/>
              </w:rPr>
              <w:t>2,062</w:t>
            </w:r>
          </w:p>
        </w:tc>
        <w:tc>
          <w:tcPr>
            <w:tcW w:w="836" w:type="dxa"/>
          </w:tcPr>
          <w:p w14:paraId="4FBAEBD5" w14:textId="0E61AA31" w:rsidR="004736E1" w:rsidRPr="00A21379" w:rsidRDefault="00A21379" w:rsidP="00BA4DFA">
            <w:pPr>
              <w:pStyle w:val="ae"/>
              <w:rPr>
                <w:lang w:val="en-US"/>
              </w:rPr>
            </w:pPr>
            <w:r>
              <w:rPr>
                <w:lang w:val="en-US"/>
              </w:rPr>
              <w:t>3,545</w:t>
            </w:r>
          </w:p>
        </w:tc>
        <w:tc>
          <w:tcPr>
            <w:tcW w:w="1069" w:type="dxa"/>
          </w:tcPr>
          <w:p w14:paraId="50F62125" w14:textId="1590A049" w:rsidR="004736E1" w:rsidRPr="00A21379" w:rsidRDefault="00A21379" w:rsidP="00BA4DFA">
            <w:pPr>
              <w:pStyle w:val="ae"/>
              <w:rPr>
                <w:lang w:val="en-US"/>
              </w:rPr>
            </w:pPr>
            <w:r>
              <w:rPr>
                <w:lang w:val="en-US"/>
              </w:rPr>
              <w:t>0,087</w:t>
            </w:r>
          </w:p>
        </w:tc>
        <w:tc>
          <w:tcPr>
            <w:tcW w:w="1129" w:type="dxa"/>
          </w:tcPr>
          <w:p w14:paraId="0D626F52" w14:textId="4E2C2680" w:rsidR="004736E1" w:rsidRPr="00A21379" w:rsidRDefault="00A21379" w:rsidP="00BA4DFA">
            <w:pPr>
              <w:pStyle w:val="ae"/>
              <w:rPr>
                <w:lang w:val="en-US"/>
              </w:rPr>
            </w:pPr>
            <w:r>
              <w:rPr>
                <w:lang w:val="en-US"/>
              </w:rPr>
              <w:t>28,497</w:t>
            </w:r>
          </w:p>
        </w:tc>
        <w:tc>
          <w:tcPr>
            <w:tcW w:w="880" w:type="dxa"/>
          </w:tcPr>
          <w:p w14:paraId="14555F54" w14:textId="00D3733C" w:rsidR="004736E1" w:rsidRDefault="00BA4DFA" w:rsidP="00BA4DFA">
            <w:pPr>
              <w:pStyle w:val="ae"/>
            </w:pPr>
            <w:r w:rsidRPr="00BA4DFA">
              <w:t>3</w:t>
            </w:r>
            <w:r>
              <w:t>,</w:t>
            </w:r>
            <w:r w:rsidRPr="00BA4DFA">
              <w:t>175</w:t>
            </w:r>
          </w:p>
        </w:tc>
        <w:tc>
          <w:tcPr>
            <w:tcW w:w="836" w:type="dxa"/>
          </w:tcPr>
          <w:p w14:paraId="2A36D862" w14:textId="3733DDBC" w:rsidR="004736E1" w:rsidRDefault="00BA4DFA" w:rsidP="00BA4DFA">
            <w:pPr>
              <w:pStyle w:val="ae"/>
            </w:pPr>
            <w:r w:rsidRPr="00BA4DFA">
              <w:t>2</w:t>
            </w:r>
            <w:r>
              <w:t>,</w:t>
            </w:r>
            <w:r w:rsidRPr="00BA4DFA">
              <w:t>919</w:t>
            </w:r>
          </w:p>
        </w:tc>
        <w:tc>
          <w:tcPr>
            <w:tcW w:w="1069" w:type="dxa"/>
          </w:tcPr>
          <w:p w14:paraId="1517EA4A" w14:textId="6CFFBB84" w:rsidR="004736E1" w:rsidRDefault="00501C04" w:rsidP="00BA4DFA">
            <w:pPr>
              <w:pStyle w:val="ae"/>
            </w:pPr>
            <w:r>
              <w:t>0</w:t>
            </w:r>
            <w:r w:rsidR="00BA4DFA">
              <w:t>,</w:t>
            </w:r>
            <w:r w:rsidR="00BA4DFA" w:rsidRPr="00BA4DFA">
              <w:t>318</w:t>
            </w:r>
          </w:p>
        </w:tc>
        <w:tc>
          <w:tcPr>
            <w:tcW w:w="1129" w:type="dxa"/>
          </w:tcPr>
          <w:p w14:paraId="5183E5AF" w14:textId="3DFEE835" w:rsidR="004736E1" w:rsidRPr="00BA4DFA" w:rsidRDefault="00BA4DFA" w:rsidP="00BA4DFA">
            <w:pPr>
              <w:pStyle w:val="ae"/>
              <w:rPr>
                <w:lang w:val="en-US"/>
              </w:rPr>
            </w:pPr>
            <w:r w:rsidRPr="00BA4DFA">
              <w:t>16</w:t>
            </w:r>
            <w:r>
              <w:t>,</w:t>
            </w:r>
            <w:r w:rsidRPr="00BA4DFA">
              <w:t>96</w:t>
            </w:r>
            <w:r>
              <w:rPr>
                <w:lang w:val="en-US"/>
              </w:rPr>
              <w:t>8</w:t>
            </w:r>
          </w:p>
        </w:tc>
      </w:tr>
    </w:tbl>
    <w:p w14:paraId="3F5B0C3E" w14:textId="2A0B2ECA" w:rsidR="00E90081" w:rsidRDefault="00E90081" w:rsidP="00A21379">
      <w:pPr>
        <w:ind w:firstLine="0"/>
      </w:pPr>
    </w:p>
    <w:p w14:paraId="17E72FA5" w14:textId="5E4BB00F" w:rsidR="00501C04" w:rsidRPr="009217DB" w:rsidRDefault="009966BA" w:rsidP="00501C04">
      <w:r>
        <w:t xml:space="preserve">Среднее значение дивидендной доходности, как исторической, так и ожидаемой, в выборке по России выше (19,7% и 15%), чем в выборке Китая (5,7% и 7,4%).  Такое различие может быть связано с высокой недооцененностью российских акций, о которой говорилось ранее в 1 главе. Данное предположение подкрепляется и значительной разницей в средних значениях показателя </w:t>
      </w:r>
      <w:r>
        <w:rPr>
          <w:lang w:val="en-US"/>
        </w:rPr>
        <w:t>P</w:t>
      </w:r>
      <w:r w:rsidRPr="009217DB">
        <w:t>/</w:t>
      </w:r>
      <w:r>
        <w:rPr>
          <w:lang w:val="en-US"/>
        </w:rPr>
        <w:t>BV</w:t>
      </w:r>
      <w:r w:rsidRPr="009217DB">
        <w:t xml:space="preserve"> – </w:t>
      </w:r>
      <w:r>
        <w:t>в российской выборке он составляет 2,062 против среднего значения 3,175 в китайской выборке.</w:t>
      </w:r>
      <w:r w:rsidR="00501C04">
        <w:t xml:space="preserve"> Минимальное значение </w:t>
      </w:r>
      <w:r w:rsidR="00501C04">
        <w:rPr>
          <w:lang w:val="en-US"/>
        </w:rPr>
        <w:t>P</w:t>
      </w:r>
      <w:r w:rsidR="00501C04" w:rsidRPr="009217DB">
        <w:t>_</w:t>
      </w:r>
      <w:r w:rsidR="00501C04">
        <w:rPr>
          <w:lang w:val="en-US"/>
        </w:rPr>
        <w:t>BV</w:t>
      </w:r>
      <w:r w:rsidR="00501C04" w:rsidRPr="009217DB">
        <w:t xml:space="preserve"> </w:t>
      </w:r>
      <w:r w:rsidR="00501C04">
        <w:t xml:space="preserve">в китайской выборке 0,318, почти вчетверо больше, чем минимальное значение </w:t>
      </w:r>
      <w:r w:rsidR="00501C04">
        <w:rPr>
          <w:lang w:val="en-US"/>
        </w:rPr>
        <w:t>P</w:t>
      </w:r>
      <w:r w:rsidR="00501C04" w:rsidRPr="009217DB">
        <w:t>_</w:t>
      </w:r>
      <w:r w:rsidR="00501C04">
        <w:rPr>
          <w:lang w:val="en-US"/>
        </w:rPr>
        <w:t>BV</w:t>
      </w:r>
      <w:r w:rsidR="00501C04" w:rsidRPr="009217DB">
        <w:t xml:space="preserve"> </w:t>
      </w:r>
      <w:r w:rsidR="00501C04">
        <w:t xml:space="preserve">в выборке российских компаний. Это неудивительно, поскольку Шэньчжэнськая биржа, в отличие от Шанхайской, ориентирована в основном на инновационные компании и стартапы, а компании, связанные с прорывными технологиями, </w:t>
      </w:r>
      <w:r w:rsidR="00EB0FB9">
        <w:t xml:space="preserve">как правило, </w:t>
      </w:r>
      <w:r w:rsidR="00501C04">
        <w:t xml:space="preserve">имеют более высокий </w:t>
      </w:r>
      <w:r w:rsidR="00501C04">
        <w:rPr>
          <w:lang w:val="en-US"/>
        </w:rPr>
        <w:t>P</w:t>
      </w:r>
      <w:r w:rsidR="00501C04" w:rsidRPr="009217DB">
        <w:t>/</w:t>
      </w:r>
      <w:r w:rsidR="00501C04">
        <w:rPr>
          <w:lang w:val="en-US"/>
        </w:rPr>
        <w:t>BV</w:t>
      </w:r>
      <w:r w:rsidR="00501C04" w:rsidRPr="009217DB">
        <w:t>.</w:t>
      </w:r>
      <w:r w:rsidR="00501C04">
        <w:t xml:space="preserve"> </w:t>
      </w:r>
      <w:r w:rsidR="00EB0FB9">
        <w:t xml:space="preserve">Отдельно была выведена статистика в разрезе отраслей и было обнаружено, что среднее значение </w:t>
      </w:r>
      <w:r w:rsidR="00EB0FB9">
        <w:rPr>
          <w:lang w:val="en-US"/>
        </w:rPr>
        <w:t>P</w:t>
      </w:r>
      <w:r w:rsidR="00EB0FB9" w:rsidRPr="009217DB">
        <w:t>_</w:t>
      </w:r>
      <w:r w:rsidR="00EB0FB9">
        <w:rPr>
          <w:lang w:val="en-US"/>
        </w:rPr>
        <w:t>BV</w:t>
      </w:r>
      <w:r w:rsidR="00EB0FB9" w:rsidRPr="009217DB">
        <w:t xml:space="preserve"> </w:t>
      </w:r>
      <w:r w:rsidR="00EB0FB9">
        <w:t>для китайской выборки максимально по сравнению с остальными отраслями и составляет около 4,86</w:t>
      </w:r>
      <w:r w:rsidR="00EB0FB9" w:rsidRPr="009217DB">
        <w:t xml:space="preserve">; </w:t>
      </w:r>
      <w:r w:rsidR="00EB0FB9">
        <w:t>средняя дивидендная доходность при этом в компаниях этого сектора оказалась одной из наименьших. К слову, в выборке по России самая высокая ср</w:t>
      </w:r>
      <w:r w:rsidR="00652A73">
        <w:t>ед</w:t>
      </w:r>
      <w:r w:rsidR="00EB0FB9">
        <w:t xml:space="preserve">няя дивидедная доходность была обнаружена в секторе </w:t>
      </w:r>
      <w:r w:rsidR="00EB0FB9">
        <w:rPr>
          <w:lang w:val="en-US"/>
        </w:rPr>
        <w:t>Consumer</w:t>
      </w:r>
      <w:r w:rsidR="00EB0FB9" w:rsidRPr="009217DB">
        <w:t xml:space="preserve"> </w:t>
      </w:r>
      <w:r w:rsidR="00EB0FB9">
        <w:rPr>
          <w:lang w:val="en-US"/>
        </w:rPr>
        <w:t>Discretionary</w:t>
      </w:r>
      <w:r w:rsidR="00EB0FB9" w:rsidRPr="009217DB">
        <w:t xml:space="preserve"> </w:t>
      </w:r>
      <w:r w:rsidR="00EB0FB9">
        <w:t xml:space="preserve">(М. Видео, Детский мир и другие), а также в секторе </w:t>
      </w:r>
      <w:r w:rsidR="00EB0FB9">
        <w:rPr>
          <w:lang w:val="en-US"/>
        </w:rPr>
        <w:t>Materials</w:t>
      </w:r>
      <w:r w:rsidR="00EB0FB9" w:rsidRPr="009217DB">
        <w:t xml:space="preserve"> (</w:t>
      </w:r>
      <w:r w:rsidR="00EB0FB9">
        <w:t>НЛМК, Северсталь и другие).</w:t>
      </w:r>
      <w:r w:rsidR="00652A73">
        <w:t xml:space="preserve"> Самое высокое значение среднего </w:t>
      </w:r>
      <w:r w:rsidR="00652A73">
        <w:rPr>
          <w:lang w:val="en-US"/>
        </w:rPr>
        <w:t>P</w:t>
      </w:r>
      <w:r w:rsidR="00652A73" w:rsidRPr="009217DB">
        <w:t>/</w:t>
      </w:r>
      <w:r w:rsidR="00652A73">
        <w:rPr>
          <w:lang w:val="en-US"/>
        </w:rPr>
        <w:t>BV</w:t>
      </w:r>
      <w:r w:rsidR="00652A73" w:rsidRPr="009217DB">
        <w:t xml:space="preserve"> </w:t>
      </w:r>
      <w:r w:rsidR="00652A73">
        <w:t xml:space="preserve">по России оказался также в секторе </w:t>
      </w:r>
      <w:r w:rsidR="00652A73">
        <w:rPr>
          <w:lang w:val="en-US"/>
        </w:rPr>
        <w:t>Materials</w:t>
      </w:r>
      <w:r w:rsidR="00652A73" w:rsidRPr="009217DB">
        <w:t>.</w:t>
      </w:r>
    </w:p>
    <w:p w14:paraId="0982CF42" w14:textId="4F54171D" w:rsidR="00501C04" w:rsidRDefault="00501C04" w:rsidP="00501C04">
      <w:r>
        <w:t xml:space="preserve">Средний размер компаний больше в выборке по России, что также можно связать с тем, что на Шэньчжэньской бирже торгуются в основном молодые </w:t>
      </w:r>
      <w:r>
        <w:rPr>
          <w:lang w:val="en-US"/>
        </w:rPr>
        <w:t>IT</w:t>
      </w:r>
      <w:r w:rsidRPr="009217DB">
        <w:t>-</w:t>
      </w:r>
      <w:r>
        <w:t xml:space="preserve">компании, в то время как на Московской бирже немалую долю составляют крупные российские с государственным участием. Это видно по </w:t>
      </w:r>
      <w:r w:rsidR="008433FD">
        <w:t xml:space="preserve">средней </w:t>
      </w:r>
      <w:r>
        <w:t>доле компаний</w:t>
      </w:r>
      <w:r w:rsidR="008433FD">
        <w:t xml:space="preserve"> в выборке</w:t>
      </w:r>
      <w:r>
        <w:t>, контролируемых государством</w:t>
      </w:r>
      <w:r w:rsidR="008433FD">
        <w:t xml:space="preserve">: в российской выборке эта доля составляет 44%, в китайской – только 12%. </w:t>
      </w:r>
    </w:p>
    <w:p w14:paraId="5C325CD4" w14:textId="2F6B7B79" w:rsidR="008433FD" w:rsidRDefault="008433FD" w:rsidP="00501C04">
      <w:r>
        <w:t xml:space="preserve">Переменная </w:t>
      </w:r>
      <w:r>
        <w:rPr>
          <w:lang w:val="en-US"/>
        </w:rPr>
        <w:t>div</w:t>
      </w:r>
      <w:r w:rsidRPr="009217DB">
        <w:t>_</w:t>
      </w:r>
      <w:r>
        <w:rPr>
          <w:lang w:val="en-US"/>
        </w:rPr>
        <w:t>change</w:t>
      </w:r>
      <w:r w:rsidRPr="009217DB">
        <w:t xml:space="preserve">, </w:t>
      </w:r>
      <w:r>
        <w:t>отвечающая за относительное изменение размера дивиденда, в среднем слабо различается между китайской и российской выборками, составляя около 60%. При этом можно заметить, что в абсолютном значении максимум в обеих выборках в разы выше, чем минимум – можно предположить, что это связано с теорией Линтнера о том, что компании неохотно идут на уменьшение дивидендов. Отдельно хочется отметить</w:t>
      </w:r>
      <w:r w:rsidR="00187D1C">
        <w:t xml:space="preserve"> </w:t>
      </w:r>
      <w:r>
        <w:t>максимально</w:t>
      </w:r>
      <w:r w:rsidR="00187D1C">
        <w:t>е</w:t>
      </w:r>
      <w:r>
        <w:t xml:space="preserve"> значение </w:t>
      </w:r>
      <w:r>
        <w:rPr>
          <w:lang w:val="en-US"/>
        </w:rPr>
        <w:t>div</w:t>
      </w:r>
      <w:r w:rsidRPr="009217DB">
        <w:t>_</w:t>
      </w:r>
      <w:r>
        <w:rPr>
          <w:lang w:val="en-US"/>
        </w:rPr>
        <w:t>change</w:t>
      </w:r>
      <w:r w:rsidRPr="009217DB">
        <w:t xml:space="preserve"> </w:t>
      </w:r>
      <w:r>
        <w:t>для России, равное 16</w:t>
      </w:r>
      <w:r w:rsidR="00187D1C">
        <w:t xml:space="preserve">,8. Оно </w:t>
      </w:r>
      <w:r>
        <w:t>соответствует объявлению компании «Интеррао» в 2016 году</w:t>
      </w:r>
      <w:r w:rsidR="00187D1C">
        <w:t>, когда компания выплатила 0,0178 руб. на акцию по сравнению с предыдущим дидвидендом 0,001 руб. на акцию на фоне роста прибыли с 16 до 22 млрд руб. по итогам 2015 года.</w:t>
      </w:r>
    </w:p>
    <w:p w14:paraId="1561731D" w14:textId="5689DD20" w:rsidR="00F13E9C" w:rsidRDefault="00F13E9C" w:rsidP="00501C04">
      <w:r>
        <w:t xml:space="preserve">Анализируя статистику по переменной </w:t>
      </w:r>
      <w:r>
        <w:rPr>
          <w:lang w:val="en-US"/>
        </w:rPr>
        <w:t>EPS</w:t>
      </w:r>
      <w:r w:rsidRPr="009217DB">
        <w:t>_</w:t>
      </w:r>
      <w:r>
        <w:rPr>
          <w:lang w:val="en-US"/>
        </w:rPr>
        <w:t>confirm</w:t>
      </w:r>
      <w:r w:rsidRPr="009217DB">
        <w:t xml:space="preserve">, </w:t>
      </w:r>
      <w:r>
        <w:t xml:space="preserve">можно заметить, что в российской выборке в половине случаев знак дивидендного сюрприза совпадал с предыдущим изменением прибыли, в то время как в китайской выборке такое случалось только в 26% случаев. </w:t>
      </w:r>
    </w:p>
    <w:p w14:paraId="496C9657" w14:textId="33E5E3D0" w:rsidR="00F13E9C" w:rsidRPr="00F13E9C" w:rsidRDefault="00F13E9C" w:rsidP="00501C04">
      <w:r>
        <w:t xml:space="preserve"> </w:t>
      </w:r>
    </w:p>
    <w:p w14:paraId="26547FBF" w14:textId="540A2FDD" w:rsidR="00A41217" w:rsidRPr="00193273" w:rsidRDefault="00493D4E" w:rsidP="00493D4E">
      <w:pPr>
        <w:pStyle w:val="2"/>
      </w:pPr>
      <w:bookmarkStart w:id="38" w:name="_Toc104840369"/>
      <w:r w:rsidRPr="009217DB">
        <w:t xml:space="preserve">3.5 </w:t>
      </w:r>
      <w:r>
        <w:t xml:space="preserve">Результаты </w:t>
      </w:r>
      <w:r w:rsidR="00193273">
        <w:t>исследования по методологии анализа событий</w:t>
      </w:r>
      <w:bookmarkEnd w:id="38"/>
    </w:p>
    <w:p w14:paraId="3BB75ACF" w14:textId="04238AD3" w:rsidR="002F6A3C" w:rsidRDefault="002F6A3C" w:rsidP="001E1C00"/>
    <w:p w14:paraId="1E3C5561" w14:textId="5E47CE2C" w:rsidR="00D80362" w:rsidRDefault="00DF3595" w:rsidP="00D80362">
      <w:r w:rsidRPr="00825959">
        <w:t xml:space="preserve">В Таблице </w:t>
      </w:r>
      <w:r w:rsidRPr="009217DB">
        <w:t>8</w:t>
      </w:r>
      <w:r w:rsidRPr="00825959">
        <w:t xml:space="preserve"> подведены итоги пр</w:t>
      </w:r>
      <w:r w:rsidR="00193273">
        <w:t>именения метода событийного анализа («</w:t>
      </w:r>
      <w:r w:rsidRPr="00825959">
        <w:rPr>
          <w:lang w:val="en-US"/>
        </w:rPr>
        <w:t>event</w:t>
      </w:r>
      <w:r w:rsidRPr="009217DB">
        <w:t xml:space="preserve"> </w:t>
      </w:r>
      <w:r w:rsidRPr="00825959">
        <w:rPr>
          <w:lang w:val="en-US"/>
        </w:rPr>
        <w:t>study</w:t>
      </w:r>
      <w:r w:rsidR="00193273">
        <w:t>»)</w:t>
      </w:r>
      <w:r w:rsidRPr="00825959">
        <w:t>.</w:t>
      </w:r>
      <w:r>
        <w:t xml:space="preserve"> </w:t>
      </w:r>
      <w:r w:rsidR="00D80362">
        <w:t xml:space="preserve">Были получены статистически значимые результаты, в частности значения показателей </w:t>
      </w:r>
      <w:r w:rsidR="00D80362">
        <w:rPr>
          <w:lang w:val="en-US"/>
        </w:rPr>
        <w:t>AAR</w:t>
      </w:r>
      <w:r w:rsidR="00D80362" w:rsidRPr="009217DB">
        <w:t xml:space="preserve"> </w:t>
      </w:r>
      <w:r w:rsidR="00D80362">
        <w:t xml:space="preserve">и </w:t>
      </w:r>
      <w:r w:rsidR="00D80362">
        <w:rPr>
          <w:lang w:val="en-US"/>
        </w:rPr>
        <w:t>CAR</w:t>
      </w:r>
      <w:r w:rsidR="00D80362">
        <w:t xml:space="preserve">, которые в данном исследовании рассматриваются как «прокси» для измерения реакции рынка на событие. Полученные результаты подвтерждают сигнальную гипотезу. </w:t>
      </w:r>
    </w:p>
    <w:p w14:paraId="6BB02E1F" w14:textId="402EA699" w:rsidR="006D3F1D" w:rsidRPr="00193273" w:rsidRDefault="006D3F1D" w:rsidP="00193273">
      <w:pPr>
        <w:pStyle w:val="a"/>
      </w:pPr>
      <w:r w:rsidRPr="00193273">
        <w:t xml:space="preserve">Результаты </w:t>
      </w:r>
      <w:r w:rsidR="00193273" w:rsidRPr="00193273">
        <w:t>исследования реакции на дивиденды по методологии анализа событий</w:t>
      </w:r>
    </w:p>
    <w:tbl>
      <w:tblPr>
        <w:tblStyle w:val="ad"/>
        <w:tblW w:w="0" w:type="auto"/>
        <w:tblLayout w:type="fixed"/>
        <w:tblLook w:val="04A0" w:firstRow="1" w:lastRow="0" w:firstColumn="1" w:lastColumn="0" w:noHBand="0" w:noVBand="1"/>
      </w:tblPr>
      <w:tblGrid>
        <w:gridCol w:w="1164"/>
        <w:gridCol w:w="1603"/>
        <w:gridCol w:w="1027"/>
        <w:gridCol w:w="1417"/>
        <w:gridCol w:w="1560"/>
        <w:gridCol w:w="1104"/>
        <w:gridCol w:w="1513"/>
      </w:tblGrid>
      <w:tr w:rsidR="006D3F1D" w:rsidRPr="002126EE" w14:paraId="317045E0" w14:textId="77777777" w:rsidTr="00702EE1">
        <w:trPr>
          <w:trHeight w:val="473"/>
        </w:trPr>
        <w:tc>
          <w:tcPr>
            <w:tcW w:w="1164" w:type="dxa"/>
          </w:tcPr>
          <w:p w14:paraId="2225BAED" w14:textId="77777777" w:rsidR="006D3F1D" w:rsidRPr="002126EE" w:rsidRDefault="006D3F1D" w:rsidP="00702EE1">
            <w:pPr>
              <w:pStyle w:val="ae"/>
            </w:pPr>
          </w:p>
        </w:tc>
        <w:tc>
          <w:tcPr>
            <w:tcW w:w="1603" w:type="dxa"/>
          </w:tcPr>
          <w:p w14:paraId="1C80D843" w14:textId="77777777" w:rsidR="006D3F1D" w:rsidRPr="002126EE" w:rsidRDefault="006D3F1D" w:rsidP="00702EE1">
            <w:pPr>
              <w:pStyle w:val="ac"/>
            </w:pPr>
            <m:oMathPara>
              <m:oMath>
                <m:r>
                  <m:rPr>
                    <m:sty m:val="bi"/>
                  </m:rPr>
                  <w:rPr>
                    <w:rFonts w:ascii="Cambria Math" w:hAnsi="Cambria Math"/>
                  </w:rPr>
                  <m:t>D</m:t>
                </m:r>
                <m:r>
                  <m:rPr>
                    <m:sty m:val="b"/>
                  </m:rPr>
                  <w:rPr>
                    <w:rFonts w:ascii="Cambria Math" w:hAnsi="Cambria Math"/>
                  </w:rPr>
                  <m:t>&gt;</m:t>
                </m:r>
                <m:acc>
                  <m:accPr>
                    <m:ctrlPr>
                      <w:rPr>
                        <w:rFonts w:ascii="Cambria Math" w:hAnsi="Cambria Math"/>
                      </w:rPr>
                    </m:ctrlPr>
                  </m:accPr>
                  <m:e>
                    <m:r>
                      <m:rPr>
                        <m:sty m:val="bi"/>
                      </m:rPr>
                      <w:rPr>
                        <w:rFonts w:ascii="Cambria Math" w:hAnsi="Cambria Math"/>
                      </w:rPr>
                      <m:t>D</m:t>
                    </m:r>
                  </m:e>
                </m:acc>
              </m:oMath>
            </m:oMathPara>
          </w:p>
        </w:tc>
        <w:tc>
          <w:tcPr>
            <w:tcW w:w="1027" w:type="dxa"/>
          </w:tcPr>
          <w:p w14:paraId="15F544BB" w14:textId="77777777" w:rsidR="006D3F1D" w:rsidRPr="002126EE" w:rsidRDefault="00CF4558" w:rsidP="00702EE1">
            <w:pPr>
              <w:pStyle w:val="ac"/>
            </w:pPr>
            <m:oMathPara>
              <m:oMath>
                <m:sSub>
                  <m:sSubPr>
                    <m:ctrlPr>
                      <w:rPr>
                        <w:rFonts w:ascii="Cambria Math" w:hAnsi="Cambria Math"/>
                      </w:rPr>
                    </m:ctrlPr>
                  </m:sSubPr>
                  <m:e>
                    <m:r>
                      <m:rPr>
                        <m:sty m:val="bi"/>
                      </m:rPr>
                      <w:rPr>
                        <w:rFonts w:ascii="Cambria Math" w:hAnsi="Cambria Math"/>
                      </w:rPr>
                      <m:t>AAR</m:t>
                    </m:r>
                  </m:e>
                  <m:sub>
                    <m:r>
                      <m:rPr>
                        <m:sty m:val="b"/>
                      </m:rPr>
                      <w:rPr>
                        <w:rFonts w:ascii="Cambria Math" w:hAnsi="Cambria Math"/>
                      </w:rPr>
                      <m:t>(0)</m:t>
                    </m:r>
                  </m:sub>
                </m:sSub>
              </m:oMath>
            </m:oMathPara>
          </w:p>
        </w:tc>
        <w:tc>
          <w:tcPr>
            <w:tcW w:w="1417" w:type="dxa"/>
          </w:tcPr>
          <w:p w14:paraId="7D5A6ADC" w14:textId="77777777" w:rsidR="006D3F1D" w:rsidRPr="002126EE" w:rsidRDefault="00CF4558" w:rsidP="00702EE1">
            <w:pPr>
              <w:pStyle w:val="ac"/>
            </w:pPr>
            <m:oMathPara>
              <m:oMath>
                <m:sSub>
                  <m:sSubPr>
                    <m:ctrlPr>
                      <w:rPr>
                        <w:rFonts w:ascii="Cambria Math" w:hAnsi="Cambria Math"/>
                      </w:rPr>
                    </m:ctrlPr>
                  </m:sSubPr>
                  <m:e>
                    <m:r>
                      <m:rPr>
                        <m:sty m:val="bi"/>
                      </m:rPr>
                      <w:rPr>
                        <w:rFonts w:ascii="Cambria Math" w:hAnsi="Cambria Math"/>
                      </w:rPr>
                      <m:t>CAAR</m:t>
                    </m:r>
                  </m:e>
                  <m:sub>
                    <m:r>
                      <m:rPr>
                        <m:sty m:val="b"/>
                      </m:rPr>
                      <w:rPr>
                        <w:rFonts w:ascii="Cambria Math" w:hAnsi="Cambria Math"/>
                      </w:rPr>
                      <m:t>(-10,10)</m:t>
                    </m:r>
                  </m:sub>
                </m:sSub>
              </m:oMath>
            </m:oMathPara>
          </w:p>
        </w:tc>
        <w:tc>
          <w:tcPr>
            <w:tcW w:w="1560" w:type="dxa"/>
          </w:tcPr>
          <w:p w14:paraId="10C26B37" w14:textId="77777777" w:rsidR="006D3F1D" w:rsidRPr="002126EE" w:rsidRDefault="006D3F1D" w:rsidP="00702EE1">
            <w:pPr>
              <w:pStyle w:val="ac"/>
            </w:pPr>
            <m:oMathPara>
              <m:oMath>
                <m:r>
                  <m:rPr>
                    <m:sty m:val="bi"/>
                  </m:rPr>
                  <w:rPr>
                    <w:rFonts w:ascii="Cambria Math" w:hAnsi="Cambria Math"/>
                  </w:rPr>
                  <m:t>D</m:t>
                </m:r>
                <m:r>
                  <m:rPr>
                    <m:sty m:val="b"/>
                  </m:rPr>
                  <w:rPr>
                    <w:rFonts w:ascii="Cambria Math" w:hAnsi="Cambria Math"/>
                  </w:rPr>
                  <m:t>&lt;</m:t>
                </m:r>
                <m:acc>
                  <m:accPr>
                    <m:ctrlPr>
                      <w:rPr>
                        <w:rFonts w:ascii="Cambria Math" w:hAnsi="Cambria Math"/>
                      </w:rPr>
                    </m:ctrlPr>
                  </m:accPr>
                  <m:e>
                    <m:r>
                      <m:rPr>
                        <m:sty m:val="bi"/>
                      </m:rPr>
                      <w:rPr>
                        <w:rFonts w:ascii="Cambria Math" w:hAnsi="Cambria Math"/>
                      </w:rPr>
                      <m:t>D</m:t>
                    </m:r>
                  </m:e>
                </m:acc>
              </m:oMath>
            </m:oMathPara>
          </w:p>
        </w:tc>
        <w:tc>
          <w:tcPr>
            <w:tcW w:w="1104" w:type="dxa"/>
          </w:tcPr>
          <w:p w14:paraId="0D97E909" w14:textId="77777777" w:rsidR="006D3F1D" w:rsidRPr="002126EE" w:rsidRDefault="00CF4558" w:rsidP="00702EE1">
            <w:pPr>
              <w:pStyle w:val="ac"/>
            </w:pPr>
            <m:oMathPara>
              <m:oMath>
                <m:sSub>
                  <m:sSubPr>
                    <m:ctrlPr>
                      <w:rPr>
                        <w:rFonts w:ascii="Cambria Math" w:hAnsi="Cambria Math"/>
                      </w:rPr>
                    </m:ctrlPr>
                  </m:sSubPr>
                  <m:e>
                    <m:r>
                      <m:rPr>
                        <m:sty m:val="bi"/>
                      </m:rPr>
                      <w:rPr>
                        <w:rFonts w:ascii="Cambria Math" w:hAnsi="Cambria Math"/>
                      </w:rPr>
                      <m:t>AAR</m:t>
                    </m:r>
                  </m:e>
                  <m:sub>
                    <m:r>
                      <m:rPr>
                        <m:sty m:val="b"/>
                      </m:rPr>
                      <w:rPr>
                        <w:rFonts w:ascii="Cambria Math" w:hAnsi="Cambria Math"/>
                      </w:rPr>
                      <m:t>(0)</m:t>
                    </m:r>
                  </m:sub>
                </m:sSub>
              </m:oMath>
            </m:oMathPara>
          </w:p>
        </w:tc>
        <w:tc>
          <w:tcPr>
            <w:tcW w:w="1513" w:type="dxa"/>
          </w:tcPr>
          <w:p w14:paraId="17D3BFC2" w14:textId="77777777" w:rsidR="006D3F1D" w:rsidRPr="002126EE" w:rsidRDefault="00CF4558" w:rsidP="00702EE1">
            <w:pPr>
              <w:pStyle w:val="ac"/>
            </w:pPr>
            <m:oMathPara>
              <m:oMath>
                <m:sSub>
                  <m:sSubPr>
                    <m:ctrlPr>
                      <w:rPr>
                        <w:rFonts w:ascii="Cambria Math" w:hAnsi="Cambria Math"/>
                      </w:rPr>
                    </m:ctrlPr>
                  </m:sSubPr>
                  <m:e>
                    <m:r>
                      <m:rPr>
                        <m:sty m:val="bi"/>
                      </m:rPr>
                      <w:rPr>
                        <w:rFonts w:ascii="Cambria Math" w:hAnsi="Cambria Math"/>
                      </w:rPr>
                      <m:t>CAAR</m:t>
                    </m:r>
                  </m:e>
                  <m:sub>
                    <m:r>
                      <m:rPr>
                        <m:sty m:val="b"/>
                      </m:rPr>
                      <w:rPr>
                        <w:rFonts w:ascii="Cambria Math" w:hAnsi="Cambria Math"/>
                      </w:rPr>
                      <m:t>(-10,10)</m:t>
                    </m:r>
                  </m:sub>
                </m:sSub>
              </m:oMath>
            </m:oMathPara>
          </w:p>
        </w:tc>
      </w:tr>
      <w:tr w:rsidR="006D3F1D" w14:paraId="6462A160" w14:textId="77777777" w:rsidTr="00702EE1">
        <w:trPr>
          <w:trHeight w:val="1276"/>
        </w:trPr>
        <w:tc>
          <w:tcPr>
            <w:tcW w:w="1164" w:type="dxa"/>
          </w:tcPr>
          <w:p w14:paraId="3B357865" w14:textId="77777777" w:rsidR="006D3F1D" w:rsidRDefault="006D3F1D" w:rsidP="00702EE1">
            <w:pPr>
              <w:pStyle w:val="ae"/>
            </w:pPr>
            <w:r>
              <w:t xml:space="preserve">Россия </w:t>
            </w:r>
          </w:p>
        </w:tc>
        <w:tc>
          <w:tcPr>
            <w:tcW w:w="1603" w:type="dxa"/>
          </w:tcPr>
          <w:p w14:paraId="0D588240" w14:textId="77777777" w:rsidR="006D3F1D" w:rsidRPr="002126EE" w:rsidRDefault="006D3F1D" w:rsidP="00702EE1">
            <w:pPr>
              <w:pStyle w:val="ae"/>
              <w:rPr>
                <w:szCs w:val="20"/>
              </w:rPr>
            </w:pPr>
            <w:r w:rsidRPr="002126EE">
              <w:rPr>
                <w:szCs w:val="20"/>
              </w:rPr>
              <w:t>Полож</w:t>
            </w:r>
            <w:r>
              <w:rPr>
                <w:szCs w:val="20"/>
              </w:rPr>
              <w:t xml:space="preserve">ительная </w:t>
            </w:r>
            <w:r w:rsidRPr="002126EE">
              <w:rPr>
                <w:szCs w:val="20"/>
              </w:rPr>
              <w:t>реакция</w:t>
            </w:r>
          </w:p>
        </w:tc>
        <w:tc>
          <w:tcPr>
            <w:tcW w:w="1027" w:type="dxa"/>
          </w:tcPr>
          <w:p w14:paraId="178996A3" w14:textId="77777777" w:rsidR="006D3F1D" w:rsidRPr="00F1417D" w:rsidRDefault="006D3F1D" w:rsidP="00702EE1">
            <w:pPr>
              <w:pStyle w:val="ae"/>
            </w:pPr>
            <w:r>
              <w:rPr>
                <w:lang w:val="en-US"/>
              </w:rPr>
              <w:t>0,48%</w:t>
            </w:r>
            <w:r>
              <w:t xml:space="preserve"> (</w:t>
            </w:r>
            <w:r>
              <w:rPr>
                <w:lang w:val="en-US"/>
              </w:rPr>
              <w:t>2,21**</w:t>
            </w:r>
            <w:r>
              <w:t>)</w:t>
            </w:r>
          </w:p>
        </w:tc>
        <w:tc>
          <w:tcPr>
            <w:tcW w:w="1417" w:type="dxa"/>
          </w:tcPr>
          <w:p w14:paraId="1464A656" w14:textId="77777777" w:rsidR="006D3F1D" w:rsidRDefault="006D3F1D" w:rsidP="00702EE1">
            <w:pPr>
              <w:pStyle w:val="ae"/>
            </w:pPr>
            <w:r>
              <w:t>2,46% (2,07**)</w:t>
            </w:r>
          </w:p>
        </w:tc>
        <w:tc>
          <w:tcPr>
            <w:tcW w:w="1560" w:type="dxa"/>
          </w:tcPr>
          <w:p w14:paraId="744DF0C7" w14:textId="77777777" w:rsidR="006D3F1D" w:rsidRPr="00E01FB5" w:rsidRDefault="006D3F1D" w:rsidP="00702EE1">
            <w:pPr>
              <w:pStyle w:val="ae"/>
            </w:pPr>
            <w:r>
              <w:t>Отрицательная реакция</w:t>
            </w:r>
          </w:p>
        </w:tc>
        <w:tc>
          <w:tcPr>
            <w:tcW w:w="1104" w:type="dxa"/>
          </w:tcPr>
          <w:p w14:paraId="6D1B03B1" w14:textId="77777777" w:rsidR="006D3F1D" w:rsidRDefault="006D3F1D" w:rsidP="00702EE1">
            <w:pPr>
              <w:pStyle w:val="ae"/>
            </w:pPr>
            <w:r>
              <w:rPr>
                <w:lang w:val="en-US"/>
              </w:rPr>
              <w:t>-0,77%</w:t>
            </w:r>
            <w:r>
              <w:t xml:space="preserve">  </w:t>
            </w:r>
          </w:p>
          <w:p w14:paraId="406991D1" w14:textId="77777777" w:rsidR="006D3F1D" w:rsidRPr="007B5337" w:rsidRDefault="006D3F1D" w:rsidP="00702EE1">
            <w:pPr>
              <w:pStyle w:val="ae"/>
            </w:pPr>
            <w:r>
              <w:t>(-3,22***)</w:t>
            </w:r>
          </w:p>
        </w:tc>
        <w:tc>
          <w:tcPr>
            <w:tcW w:w="1513" w:type="dxa"/>
          </w:tcPr>
          <w:p w14:paraId="2D0BC3C9" w14:textId="77777777" w:rsidR="006D3F1D" w:rsidRDefault="006D3F1D" w:rsidP="00702EE1">
            <w:pPr>
              <w:pStyle w:val="ae"/>
            </w:pPr>
            <w:r>
              <w:t>-2,29%</w:t>
            </w:r>
          </w:p>
          <w:p w14:paraId="3762CD16" w14:textId="77777777" w:rsidR="006D3F1D" w:rsidRDefault="006D3F1D" w:rsidP="00702EE1">
            <w:pPr>
              <w:pStyle w:val="ae"/>
            </w:pPr>
            <w:r>
              <w:t xml:space="preserve"> (-2,00**)</w:t>
            </w:r>
          </w:p>
        </w:tc>
      </w:tr>
      <w:tr w:rsidR="006D3F1D" w14:paraId="4D1F93EC" w14:textId="77777777" w:rsidTr="00702EE1">
        <w:trPr>
          <w:trHeight w:val="1276"/>
        </w:trPr>
        <w:tc>
          <w:tcPr>
            <w:tcW w:w="1164" w:type="dxa"/>
          </w:tcPr>
          <w:p w14:paraId="36D5DEA8" w14:textId="77777777" w:rsidR="006D3F1D" w:rsidRDefault="006D3F1D" w:rsidP="00702EE1">
            <w:pPr>
              <w:pStyle w:val="ae"/>
            </w:pPr>
            <w:r>
              <w:t>Китай</w:t>
            </w:r>
          </w:p>
        </w:tc>
        <w:tc>
          <w:tcPr>
            <w:tcW w:w="1603" w:type="dxa"/>
          </w:tcPr>
          <w:p w14:paraId="45CB9365" w14:textId="77777777" w:rsidR="006D3F1D" w:rsidRPr="002126EE" w:rsidRDefault="006D3F1D" w:rsidP="00702EE1">
            <w:pPr>
              <w:pStyle w:val="ae"/>
              <w:rPr>
                <w:szCs w:val="20"/>
              </w:rPr>
            </w:pPr>
            <w:r w:rsidRPr="002126EE">
              <w:rPr>
                <w:szCs w:val="20"/>
              </w:rPr>
              <w:t>Полож</w:t>
            </w:r>
            <w:r>
              <w:rPr>
                <w:szCs w:val="20"/>
              </w:rPr>
              <w:t>ительная</w:t>
            </w:r>
            <w:r w:rsidRPr="002126EE">
              <w:rPr>
                <w:szCs w:val="20"/>
              </w:rPr>
              <w:t xml:space="preserve"> реакция</w:t>
            </w:r>
          </w:p>
        </w:tc>
        <w:tc>
          <w:tcPr>
            <w:tcW w:w="1027" w:type="dxa"/>
          </w:tcPr>
          <w:p w14:paraId="2DE264A8" w14:textId="77777777" w:rsidR="006D3F1D" w:rsidRPr="00F1417D" w:rsidRDefault="006D3F1D" w:rsidP="00702EE1">
            <w:pPr>
              <w:pStyle w:val="ae"/>
            </w:pPr>
            <w:r>
              <w:rPr>
                <w:lang w:val="en-US"/>
              </w:rPr>
              <w:t>0,18%</w:t>
            </w:r>
            <w:r>
              <w:t xml:space="preserve"> (</w:t>
            </w:r>
            <w:r>
              <w:rPr>
                <w:lang w:val="en-US"/>
              </w:rPr>
              <w:t>0,56</w:t>
            </w:r>
            <w:r>
              <w:t>)</w:t>
            </w:r>
          </w:p>
        </w:tc>
        <w:tc>
          <w:tcPr>
            <w:tcW w:w="1417" w:type="dxa"/>
          </w:tcPr>
          <w:p w14:paraId="613C4823" w14:textId="77777777" w:rsidR="006D3F1D" w:rsidRDefault="006D3F1D" w:rsidP="00702EE1">
            <w:pPr>
              <w:pStyle w:val="ae"/>
            </w:pPr>
            <w:r>
              <w:t xml:space="preserve">1,86% </w:t>
            </w:r>
          </w:p>
          <w:p w14:paraId="60A84F03" w14:textId="77777777" w:rsidR="006D3F1D" w:rsidRDefault="006D3F1D" w:rsidP="00702EE1">
            <w:pPr>
              <w:pStyle w:val="ae"/>
            </w:pPr>
            <w:r>
              <w:t>(2,04**)</w:t>
            </w:r>
          </w:p>
        </w:tc>
        <w:tc>
          <w:tcPr>
            <w:tcW w:w="1560" w:type="dxa"/>
          </w:tcPr>
          <w:p w14:paraId="33EC204D" w14:textId="77777777" w:rsidR="006D3F1D" w:rsidRDefault="006D3F1D" w:rsidP="00702EE1">
            <w:pPr>
              <w:pStyle w:val="ae"/>
            </w:pPr>
            <w:r>
              <w:t>Отриц. реакция</w:t>
            </w:r>
          </w:p>
        </w:tc>
        <w:tc>
          <w:tcPr>
            <w:tcW w:w="1104" w:type="dxa"/>
          </w:tcPr>
          <w:p w14:paraId="049FE745" w14:textId="77777777" w:rsidR="006D3F1D" w:rsidRDefault="006D3F1D" w:rsidP="00702EE1">
            <w:pPr>
              <w:pStyle w:val="ae"/>
            </w:pPr>
            <w:r>
              <w:rPr>
                <w:lang w:val="en-US"/>
              </w:rPr>
              <w:t>-0,44%</w:t>
            </w:r>
            <w:r>
              <w:t xml:space="preserve"> </w:t>
            </w:r>
          </w:p>
          <w:p w14:paraId="0577E583" w14:textId="77777777" w:rsidR="006D3F1D" w:rsidRPr="007B5337" w:rsidRDefault="006D3F1D" w:rsidP="00702EE1">
            <w:pPr>
              <w:pStyle w:val="ae"/>
            </w:pPr>
            <w:r>
              <w:t>(</w:t>
            </w:r>
            <w:r>
              <w:rPr>
                <w:lang w:val="en-US"/>
              </w:rPr>
              <w:t>-1,88*</w:t>
            </w:r>
            <w:r>
              <w:t>)</w:t>
            </w:r>
          </w:p>
        </w:tc>
        <w:tc>
          <w:tcPr>
            <w:tcW w:w="1513" w:type="dxa"/>
          </w:tcPr>
          <w:p w14:paraId="63AC82D8" w14:textId="77777777" w:rsidR="006D3F1D" w:rsidRDefault="006D3F1D" w:rsidP="00702EE1">
            <w:pPr>
              <w:pStyle w:val="ae"/>
            </w:pPr>
            <w:r>
              <w:t>-1,95%</w:t>
            </w:r>
          </w:p>
          <w:p w14:paraId="6C247168" w14:textId="77777777" w:rsidR="006D3F1D" w:rsidRDefault="006D3F1D" w:rsidP="00702EE1">
            <w:pPr>
              <w:pStyle w:val="ae"/>
            </w:pPr>
            <w:r>
              <w:t>(-2,02**)</w:t>
            </w:r>
          </w:p>
        </w:tc>
      </w:tr>
    </w:tbl>
    <w:p w14:paraId="385078FA" w14:textId="0BA43818" w:rsidR="00DF3595" w:rsidRDefault="00DF3595" w:rsidP="00DF3595"/>
    <w:p w14:paraId="25AEDFF8" w14:textId="3675FF6C" w:rsidR="002F6A3C" w:rsidRDefault="002F6A3C" w:rsidP="006D3F1D">
      <w:pPr>
        <w:ind w:firstLine="0"/>
      </w:pPr>
    </w:p>
    <w:p w14:paraId="3166726E" w14:textId="77777777" w:rsidR="00D80362" w:rsidRPr="00D30EA3" w:rsidRDefault="00D80362" w:rsidP="00D80362">
      <w:r>
        <w:t>Далее представлен анализ реакции для каждой из выборок в отдельности, а также интерпретация полученных результатов.</w:t>
      </w:r>
    </w:p>
    <w:p w14:paraId="5D46CCF3" w14:textId="562733B0" w:rsidR="00D80362" w:rsidRDefault="00D80362" w:rsidP="001E1C00"/>
    <w:p w14:paraId="38F6C4BC" w14:textId="04E36F6D" w:rsidR="00D80362" w:rsidRDefault="00280BB0" w:rsidP="00D80362">
      <w:pPr>
        <w:pStyle w:val="3"/>
      </w:pPr>
      <w:bookmarkStart w:id="39" w:name="_Toc104840370"/>
      <w:r>
        <w:t xml:space="preserve">3.5.1 </w:t>
      </w:r>
      <w:r w:rsidR="00D80362">
        <w:t>Результаты для российского рынка</w:t>
      </w:r>
      <w:r w:rsidR="00837BBA">
        <w:t>, интерпретация и отраслевой анализ</w:t>
      </w:r>
      <w:bookmarkEnd w:id="39"/>
    </w:p>
    <w:p w14:paraId="16F5FCBD" w14:textId="75ED93DB" w:rsidR="00D80362" w:rsidRDefault="00D80362" w:rsidP="00D80362"/>
    <w:p w14:paraId="364E376A" w14:textId="3B3F2661" w:rsidR="00D80362" w:rsidRPr="00D80362" w:rsidRDefault="00D80362" w:rsidP="00D80362">
      <w:r>
        <w:t xml:space="preserve">На </w:t>
      </w:r>
      <w:r w:rsidR="0048775C">
        <w:t>Р</w:t>
      </w:r>
      <w:r>
        <w:t xml:space="preserve">исунке </w:t>
      </w:r>
      <w:r w:rsidR="00314FDF">
        <w:t>10</w:t>
      </w:r>
      <w:r>
        <w:t xml:space="preserve"> представлен график средней избыточной доходности </w:t>
      </w:r>
      <w:r>
        <w:rPr>
          <w:lang w:val="en-US"/>
        </w:rPr>
        <w:t>AAR</w:t>
      </w:r>
      <w:r>
        <w:t xml:space="preserve">. </w:t>
      </w:r>
    </w:p>
    <w:p w14:paraId="78840206" w14:textId="52631EF4" w:rsidR="0058684B" w:rsidRDefault="00D80362" w:rsidP="00D80362">
      <w:pPr>
        <w:pStyle w:val="a9"/>
      </w:pPr>
      <w:r>
        <w:rPr>
          <w:noProof/>
        </w:rPr>
        <w:drawing>
          <wp:inline distT="0" distB="0" distL="0" distR="0" wp14:anchorId="7F5CE88F" wp14:editId="7294A555">
            <wp:extent cx="4875389" cy="2743200"/>
            <wp:effectExtent l="0" t="0" r="1905" b="0"/>
            <wp:docPr id="2" name="Диаграмма 2">
              <a:extLst xmlns:a="http://schemas.openxmlformats.org/drawingml/2006/main">
                <a:ext uri="{FF2B5EF4-FFF2-40B4-BE49-F238E27FC236}">
                  <a16:creationId xmlns:a16="http://schemas.microsoft.com/office/drawing/2014/main" id="{D1CB84C4-F255-45B5-BA5B-765B461128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FA74D09" w14:textId="5A7BBF51" w:rsidR="00D80362" w:rsidRDefault="00D80362" w:rsidP="00D80362">
      <w:pPr>
        <w:pStyle w:val="a0"/>
      </w:pPr>
      <w:r>
        <w:t>Средняя избыточная доходность для российского рынка</w:t>
      </w:r>
      <w:r w:rsidR="00B61DC9">
        <w:t xml:space="preserve"> в окне события</w:t>
      </w:r>
    </w:p>
    <w:p w14:paraId="0A734FD0" w14:textId="5EB96A9A" w:rsidR="00D80362" w:rsidRDefault="00B61DC9" w:rsidP="00B61DC9">
      <w:r>
        <w:t xml:space="preserve">В день события для случая «позитивного сюрприза» средняя избыточная доходность оказалась положительной и составила 0,48%, при этом это значение оказалось значимым от нуля </w:t>
      </w:r>
      <w:r w:rsidRPr="002C2518">
        <w:t xml:space="preserve">на </w:t>
      </w:r>
      <w:r>
        <w:t>5</w:t>
      </w:r>
      <w:r w:rsidRPr="002C2518">
        <w:t>%-м уровне значимости</w:t>
      </w:r>
      <w:r>
        <w:t>. С</w:t>
      </w:r>
      <w:r w:rsidR="00D80362" w:rsidRPr="002C2518">
        <w:t>редняя избыточная доходность значимо отличается от нуля в день t = ‒</w:t>
      </w:r>
      <w:r w:rsidR="00D80362">
        <w:t xml:space="preserve">6 </w:t>
      </w:r>
      <w:r w:rsidR="00D80362" w:rsidRPr="002C2518">
        <w:t xml:space="preserve">(на </w:t>
      </w:r>
      <w:r w:rsidR="00D80362">
        <w:t>1</w:t>
      </w:r>
      <w:r w:rsidR="00D80362" w:rsidRPr="002C2518">
        <w:t>%-м уровне значимости)</w:t>
      </w:r>
      <w:r w:rsidR="00D80362">
        <w:t xml:space="preserve">, </w:t>
      </w:r>
      <w:r w:rsidR="00D80362" w:rsidRPr="002C2518">
        <w:t>в день</w:t>
      </w:r>
      <w:r w:rsidR="00D80362">
        <w:t xml:space="preserve"> события</w:t>
      </w:r>
      <w:r w:rsidR="00D80362" w:rsidRPr="002C2518">
        <w:t xml:space="preserve"> t = </w:t>
      </w:r>
      <w:r w:rsidR="00D80362">
        <w:t>0</w:t>
      </w:r>
      <w:r w:rsidR="00D80362" w:rsidRPr="002C2518">
        <w:t xml:space="preserve"> (на </w:t>
      </w:r>
      <w:r w:rsidR="00D80362">
        <w:t>5</w:t>
      </w:r>
      <w:r w:rsidR="00D80362" w:rsidRPr="002C2518">
        <w:t>%-м уровне значимости)</w:t>
      </w:r>
      <w:r w:rsidR="00D80362">
        <w:t xml:space="preserve"> и в день </w:t>
      </w:r>
      <w:r w:rsidR="00D80362">
        <w:rPr>
          <w:lang w:val="en-US"/>
        </w:rPr>
        <w:t>t</w:t>
      </w:r>
      <w:r w:rsidR="00D80362" w:rsidRPr="009217DB">
        <w:t xml:space="preserve"> = 8 </w:t>
      </w:r>
      <w:r w:rsidR="00D80362" w:rsidRPr="002C2518">
        <w:t xml:space="preserve">(на </w:t>
      </w:r>
      <w:r w:rsidR="00D80362" w:rsidRPr="009217DB">
        <w:t>10</w:t>
      </w:r>
      <w:r w:rsidR="00D80362" w:rsidRPr="002C2518">
        <w:t>%-м уровне значимости)</w:t>
      </w:r>
      <w:r w:rsidR="00D80362" w:rsidRPr="009217DB">
        <w:t>.</w:t>
      </w:r>
      <w:r>
        <w:t xml:space="preserve"> Тот факт, что была обнаружена статистически значимая избыточная доходность до дня события свидетельствует в пользу распространения инсайдерской информации на российском рынке.</w:t>
      </w:r>
    </w:p>
    <w:p w14:paraId="147D3129" w14:textId="5978E52B" w:rsidR="00B61DC9" w:rsidRDefault="00B61DC9" w:rsidP="00B61DC9">
      <w:r>
        <w:t xml:space="preserve">В день события для случая «негативного сюрприза» средняя избыточная доходность оказалась отрицательной и составила </w:t>
      </w:r>
      <w:r w:rsidR="0048775C">
        <w:t>-0,77</w:t>
      </w:r>
      <w:r>
        <w:t xml:space="preserve">%, при этом это значение оказалось значимым от нуля </w:t>
      </w:r>
      <w:r w:rsidRPr="002C2518">
        <w:t xml:space="preserve">на </w:t>
      </w:r>
      <w:r w:rsidR="0048775C">
        <w:t>1</w:t>
      </w:r>
      <w:r w:rsidRPr="002C2518">
        <w:t>%-м уровне значимости</w:t>
      </w:r>
      <w:r>
        <w:t>.</w:t>
      </w:r>
      <w:r w:rsidR="0048775C">
        <w:t xml:space="preserve"> При этом также, как и в первом случае, было зафикисировано значение </w:t>
      </w:r>
      <w:r w:rsidR="0048775C">
        <w:rPr>
          <w:lang w:val="en-US"/>
        </w:rPr>
        <w:t>AAR</w:t>
      </w:r>
      <w:r w:rsidR="0048775C" w:rsidRPr="009217DB">
        <w:t xml:space="preserve">, </w:t>
      </w:r>
      <w:r w:rsidR="0048775C">
        <w:t xml:space="preserve">значимо отличающееся от нуля, в день до дня объявления </w:t>
      </w:r>
      <w:r w:rsidR="0048775C">
        <w:rPr>
          <w:lang w:val="en-US"/>
        </w:rPr>
        <w:t>t</w:t>
      </w:r>
      <w:r w:rsidR="0048775C" w:rsidRPr="009217DB">
        <w:t xml:space="preserve"> = -7, </w:t>
      </w:r>
      <w:r w:rsidR="0048775C">
        <w:t xml:space="preserve">что снова свидетельствует в пользу неэффективности российского рынка. Заметим, что величина </w:t>
      </w:r>
      <w:r w:rsidR="0048775C">
        <w:rPr>
          <w:lang w:val="en-US"/>
        </w:rPr>
        <w:t>AAR</w:t>
      </w:r>
      <w:r w:rsidR="0048775C" w:rsidRPr="009217DB">
        <w:t xml:space="preserve"> </w:t>
      </w:r>
      <w:r w:rsidR="0048775C">
        <w:t>для «плохого события» по модулю больше аналогичного значения для «хорошего события», что говорит о более выраженной реакции инвесторов на негативные новости.</w:t>
      </w:r>
    </w:p>
    <w:p w14:paraId="0DFC88C0" w14:textId="00693430" w:rsidR="0048775C" w:rsidRDefault="0048775C" w:rsidP="00B61DC9">
      <w:r>
        <w:t>Обратимся к значению накопленной средней избыточной доходности на Рисунке 1</w:t>
      </w:r>
      <w:r w:rsidR="00314FDF">
        <w:t>1</w:t>
      </w:r>
      <w:r>
        <w:t>.</w:t>
      </w:r>
    </w:p>
    <w:p w14:paraId="5AC8B346" w14:textId="68B28EC4" w:rsidR="0048775C" w:rsidRDefault="0048775C" w:rsidP="00B61DC9">
      <w:r>
        <w:rPr>
          <w:noProof/>
        </w:rPr>
        <w:drawing>
          <wp:inline distT="0" distB="0" distL="0" distR="0" wp14:anchorId="2EA05F77" wp14:editId="4B979415">
            <wp:extent cx="4915254" cy="2798587"/>
            <wp:effectExtent l="0" t="0" r="0" b="1905"/>
            <wp:docPr id="4" name="Диаграмма 4">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EB17EEE" w14:textId="130DE4F6" w:rsidR="00D92812" w:rsidRDefault="00D92812" w:rsidP="00D92812">
      <w:pPr>
        <w:pStyle w:val="a0"/>
      </w:pPr>
      <w:r>
        <w:t>Накопленная избыточная доходность для российского рынка в окне события</w:t>
      </w:r>
    </w:p>
    <w:p w14:paraId="251BE55F" w14:textId="77777777" w:rsidR="00D92812" w:rsidRPr="0048775C" w:rsidRDefault="00D92812" w:rsidP="00B61DC9"/>
    <w:p w14:paraId="34EBFD49" w14:textId="77777777" w:rsidR="00B61DC9" w:rsidRPr="00B61DC9" w:rsidRDefault="00B61DC9" w:rsidP="00B61DC9"/>
    <w:p w14:paraId="2AF2B708" w14:textId="5254AE03" w:rsidR="00750259" w:rsidRDefault="00750259" w:rsidP="00750259">
      <w:r w:rsidRPr="009217DB">
        <w:t xml:space="preserve">На графике </w:t>
      </w:r>
      <w:r>
        <w:rPr>
          <w:lang w:val="en-US"/>
        </w:rPr>
        <w:t>CAAR</w:t>
      </w:r>
      <w:r w:rsidRPr="009217DB">
        <w:t xml:space="preserve"> </w:t>
      </w:r>
      <w:r>
        <w:t>для случая «позитивного сюрприза» можно заметить</w:t>
      </w:r>
      <w:r w:rsidRPr="009217DB">
        <w:t xml:space="preserve"> ярко выраженн</w:t>
      </w:r>
      <w:r>
        <w:t>ую</w:t>
      </w:r>
      <w:r w:rsidRPr="009217DB">
        <w:t xml:space="preserve"> тенденци</w:t>
      </w:r>
      <w:r>
        <w:t>ю</w:t>
      </w:r>
      <w:r w:rsidRPr="009217DB">
        <w:t xml:space="preserve"> к </w:t>
      </w:r>
      <w:r>
        <w:t xml:space="preserve">возрастанию </w:t>
      </w:r>
      <w:r w:rsidRPr="009217DB">
        <w:t xml:space="preserve">в </w:t>
      </w:r>
      <w:r>
        <w:t>10</w:t>
      </w:r>
      <w:r w:rsidRPr="009217DB">
        <w:t>-дневном окне события.</w:t>
      </w:r>
      <w:r>
        <w:t xml:space="preserve"> </w:t>
      </w:r>
      <w:r w:rsidRPr="009217DB">
        <w:t xml:space="preserve">К </w:t>
      </w:r>
      <w:r>
        <w:t>10</w:t>
      </w:r>
      <w:r w:rsidRPr="009217DB">
        <w:t>-му дню окна событий накопленная избыточная доходность</w:t>
      </w:r>
      <w:r>
        <w:t xml:space="preserve"> </w:t>
      </w:r>
      <w:r w:rsidRPr="009217DB">
        <w:t>достигает значения 2,46%</w:t>
      </w:r>
      <w:r>
        <w:t xml:space="preserve"> и </w:t>
      </w:r>
      <w:r w:rsidRPr="002C2518">
        <w:t xml:space="preserve">значимо отличается от нуля на </w:t>
      </w:r>
      <w:r>
        <w:t>5</w:t>
      </w:r>
      <w:r w:rsidRPr="002C2518">
        <w:t>%-м уровне значимости</w:t>
      </w:r>
      <w:r w:rsidRPr="009217DB">
        <w:t>.</w:t>
      </w:r>
    </w:p>
    <w:p w14:paraId="0BC80B36" w14:textId="15A497FD" w:rsidR="005A5D70" w:rsidRDefault="00750259" w:rsidP="005A5D70">
      <w:r>
        <w:t xml:space="preserve">Что касается «негативного сюрприза», </w:t>
      </w:r>
      <w:r w:rsidR="005A5D70">
        <w:t>цены на рынке ведут себя совсем иначе. Можно заметить</w:t>
      </w:r>
      <w:r w:rsidR="005A5D70" w:rsidRPr="009217DB">
        <w:t xml:space="preserve"> ярко выраженн</w:t>
      </w:r>
      <w:r w:rsidR="005A5D70">
        <w:t>ую</w:t>
      </w:r>
      <w:r w:rsidR="005A5D70" w:rsidRPr="009217DB">
        <w:t xml:space="preserve"> тенденци</w:t>
      </w:r>
      <w:r w:rsidR="005A5D70">
        <w:t>ю</w:t>
      </w:r>
      <w:r w:rsidR="005A5D70" w:rsidRPr="009217DB">
        <w:t xml:space="preserve"> </w:t>
      </w:r>
      <w:r w:rsidR="005A5D70">
        <w:rPr>
          <w:lang w:val="en-US"/>
        </w:rPr>
        <w:t>CAAR</w:t>
      </w:r>
      <w:r w:rsidR="005A5D70" w:rsidRPr="009217DB">
        <w:t xml:space="preserve"> к </w:t>
      </w:r>
      <w:r w:rsidR="005A5D70">
        <w:t>убыванию, к</w:t>
      </w:r>
      <w:r w:rsidR="005A5D70" w:rsidRPr="009217DB">
        <w:t xml:space="preserve"> </w:t>
      </w:r>
      <w:r w:rsidR="005A5D70">
        <w:t>10</w:t>
      </w:r>
      <w:r w:rsidR="005A5D70" w:rsidRPr="009217DB">
        <w:t xml:space="preserve">-му дню </w:t>
      </w:r>
      <w:r w:rsidR="005A5D70">
        <w:t>относительно</w:t>
      </w:r>
      <w:r w:rsidR="005A5D70" w:rsidRPr="009217DB">
        <w:t xml:space="preserve"> </w:t>
      </w:r>
      <w:r w:rsidR="005A5D70">
        <w:t xml:space="preserve">дня </w:t>
      </w:r>
      <w:r w:rsidR="005A5D70" w:rsidRPr="009217DB">
        <w:t>событи</w:t>
      </w:r>
      <w:r w:rsidR="005A5D70">
        <w:t>я</w:t>
      </w:r>
      <w:r w:rsidR="005A5D70" w:rsidRPr="009217DB">
        <w:t xml:space="preserve"> накопленная избыточная доходность достигает значения </w:t>
      </w:r>
      <w:r w:rsidR="005A5D70">
        <w:t>-</w:t>
      </w:r>
      <w:r w:rsidR="005A5D70" w:rsidRPr="009217DB">
        <w:t>2,29%</w:t>
      </w:r>
      <w:r w:rsidR="005A5D70">
        <w:t xml:space="preserve">, которое </w:t>
      </w:r>
      <w:r w:rsidR="005A5D70" w:rsidRPr="002C2518">
        <w:t xml:space="preserve">значимо отличается от нуля </w:t>
      </w:r>
      <w:r w:rsidR="005A5D70">
        <w:t xml:space="preserve">на 5%-ом уровне занчимости. </w:t>
      </w:r>
    </w:p>
    <w:p w14:paraId="666771CA" w14:textId="0930078B" w:rsidR="005A5D70" w:rsidRPr="009217DB" w:rsidRDefault="005A5D70" w:rsidP="005A5D70">
      <w:r>
        <w:t>Можно заключить, что российский рынок положительно реагирует на новость о позитивном дивидендном сюрпризе и отрицательно реагирует на новость о негативном дивидендом сюрпризе, что согласуется с сигнальной теорией.</w:t>
      </w:r>
      <w:r w:rsidR="00BF6009">
        <w:t xml:space="preserve"> </w:t>
      </w:r>
    </w:p>
    <w:p w14:paraId="6F7C706F" w14:textId="324AA0B1" w:rsidR="00A85F98" w:rsidRDefault="003D01FD" w:rsidP="00DD3B7A">
      <w:r>
        <w:t>Данные результаты несколько расходятся с результатыми предыдущих исследований для российского рынка</w:t>
      </w:r>
      <w:r w:rsidR="00A85F98">
        <w:t xml:space="preserve"> (Теплова Т., 2008, 2011), (Рогова, Бердникова, 2015), (И. Березинец и др., 2017</w:t>
      </w:r>
      <w:r>
        <w:t xml:space="preserve">. Так, в исследовании И. Березинец, Ю. Ильиной, М.Смирнова и Л.Булатовой (2017) на периоде 2010–2014 гг. авторы обнаружили негативную реакцию как на позитивные, так и на негативные дивидендные сюрпризы. </w:t>
      </w:r>
      <w:r w:rsidR="00A85F98">
        <w:t>Выбранный</w:t>
      </w:r>
      <w:r>
        <w:t xml:space="preserve"> временной отрезок </w:t>
      </w:r>
      <w:r w:rsidR="00BA0D19">
        <w:t>2010–2014</w:t>
      </w:r>
      <w:r>
        <w:t xml:space="preserve"> гг. был посткризисным периодом в России, и тогда, по мнению авторов, российские инвесторы были подозрительно настроены к агрессивной дивидендной политике компаний, и в том числе положительно агрессивной</w:t>
      </w:r>
      <w:r w:rsidR="00BA0D19">
        <w:t xml:space="preserve">. В период после кризиса ожидалось, что экономика начнет активно восстанавливаться и осуществлять инвестиции, возможно, именно эти ожидания и стали причиной негативной реакции на неожиданный рост дивидендов. </w:t>
      </w:r>
    </w:p>
    <w:p w14:paraId="58A0E614" w14:textId="5BD95B34" w:rsidR="00A85F98" w:rsidRDefault="00BA0D19" w:rsidP="00DD3B7A">
      <w:r>
        <w:t>Период, который был проанализирован в данной работе, а именно 2016-2019гг., тоже следовал за кризисом</w:t>
      </w:r>
      <w:r w:rsidR="00A85F98">
        <w:t xml:space="preserve"> </w:t>
      </w:r>
      <w:r w:rsidR="00280BB0">
        <w:t>–</w:t>
      </w:r>
      <w:r w:rsidR="00A85F98">
        <w:t xml:space="preserve"> </w:t>
      </w:r>
      <w:r>
        <w:t>валютным кризисом 2014 г.</w:t>
      </w:r>
      <w:r w:rsidR="00A85F98">
        <w:t>, тем не менее реакция на «позитивный сюрприз» наблюдалась положительная. Есть несколько причин, которые могли на это повлиять:</w:t>
      </w:r>
    </w:p>
    <w:p w14:paraId="1955FB4C" w14:textId="77777777" w:rsidR="00F96B6D" w:rsidRDefault="00F96B6D" w:rsidP="00A85F98">
      <w:pPr>
        <w:pStyle w:val="af7"/>
        <w:numPr>
          <w:ilvl w:val="0"/>
          <w:numId w:val="15"/>
        </w:numPr>
        <w:spacing w:line="360" w:lineRule="auto"/>
        <w:ind w:left="142" w:firstLine="567"/>
        <w:rPr>
          <w:rFonts w:ascii="Times New Roman" w:hAnsi="Times New Roman" w:cs="Times New Roman"/>
          <w:sz w:val="24"/>
          <w:szCs w:val="24"/>
        </w:rPr>
      </w:pPr>
      <w:r w:rsidRPr="00F96B6D">
        <w:rPr>
          <w:rFonts w:ascii="Times New Roman" w:hAnsi="Times New Roman" w:cs="Times New Roman"/>
          <w:sz w:val="24"/>
          <w:szCs w:val="24"/>
        </w:rPr>
        <w:t xml:space="preserve">Меньший объем ущерба на экономику по сравнению с кризисом 2008-2009гг. </w:t>
      </w:r>
    </w:p>
    <w:p w14:paraId="784D89A8" w14:textId="44FAC1CB" w:rsidR="00E030D1" w:rsidRPr="00A85F98" w:rsidRDefault="00A85F98" w:rsidP="00F96B6D">
      <w:r w:rsidRPr="00A85F98">
        <w:t xml:space="preserve">Кризис </w:t>
      </w:r>
      <w:r w:rsidR="0027732C" w:rsidRPr="00A85F98">
        <w:t>2014–2015</w:t>
      </w:r>
      <w:r w:rsidRPr="00A85F98">
        <w:t xml:space="preserve"> гг. </w:t>
      </w:r>
      <w:r w:rsidR="0080773F" w:rsidRPr="00A85F98">
        <w:t>нанес меньший ущерб экономике в плане темпов роста реального ВВП: в 2009г. экономика с учетом инфляции упала на 7,8%, в то время как в 2014 г. она даже выросла на 0,6%, а в 2015</w:t>
      </w:r>
      <w:r w:rsidR="0027732C">
        <w:t xml:space="preserve"> </w:t>
      </w:r>
      <w:r w:rsidR="0080773F" w:rsidRPr="00A85F98">
        <w:t>г. упала на 2% (</w:t>
      </w:r>
      <w:r w:rsidR="0027732C">
        <w:t>см. Рис. 1</w:t>
      </w:r>
      <w:r w:rsidR="00314FDF">
        <w:t>2</w:t>
      </w:r>
      <w:r w:rsidR="0080773F" w:rsidRPr="00A85F98">
        <w:t xml:space="preserve">). </w:t>
      </w:r>
      <w:r w:rsidR="0027732C">
        <w:t>Поскольку экономика «рухнула» не так сильно, как в 2009 г., не было потребности в таком же восстановительном росте,</w:t>
      </w:r>
      <w:r w:rsidR="00AC1E30">
        <w:t xml:space="preserve"> поэтому компании находились в более комфортных </w:t>
      </w:r>
      <w:r w:rsidR="00451AA2">
        <w:t>условиях для</w:t>
      </w:r>
      <w:r w:rsidR="00AC1E30">
        <w:t xml:space="preserve"> выплат дивидендов.</w:t>
      </w:r>
      <w:r w:rsidR="006E6201">
        <w:t xml:space="preserve"> </w:t>
      </w:r>
    </w:p>
    <w:p w14:paraId="499F28A8" w14:textId="71B8D53A" w:rsidR="00E030D1" w:rsidRDefault="00E030D1" w:rsidP="00E030D1">
      <w:pPr>
        <w:pStyle w:val="a9"/>
      </w:pPr>
      <w:r w:rsidRPr="00E030D1">
        <w:rPr>
          <w:noProof/>
        </w:rPr>
        <w:drawing>
          <wp:inline distT="0" distB="0" distL="0" distR="0" wp14:anchorId="6CF3B89A" wp14:editId="5D8CE752">
            <wp:extent cx="3650566" cy="3073812"/>
            <wp:effectExtent l="0" t="0" r="7620" b="0"/>
            <wp:docPr id="7" name="Рисунок 7" descr="Падение экономики России из-за пандемии стало максимальным за 11 лет — РБ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дение экономики России из-за пандемии стало максимальным за 11 лет — РБК"/>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66883" cy="3087551"/>
                    </a:xfrm>
                    <a:prstGeom prst="rect">
                      <a:avLst/>
                    </a:prstGeom>
                    <a:noFill/>
                    <a:ln>
                      <a:noFill/>
                    </a:ln>
                  </pic:spPr>
                </pic:pic>
              </a:graphicData>
            </a:graphic>
          </wp:inline>
        </w:drawing>
      </w:r>
    </w:p>
    <w:p w14:paraId="75B1F64F" w14:textId="31D696C2" w:rsidR="00954147" w:rsidRPr="00F96B6D" w:rsidRDefault="00DD3B7A" w:rsidP="00A85F98">
      <w:pPr>
        <w:pStyle w:val="a0"/>
      </w:pPr>
      <w:r>
        <w:t>Динамика ВВП России, в % в годовом выражении</w:t>
      </w:r>
      <w:r w:rsidR="00A85F98">
        <w:t xml:space="preserve">                                                     </w:t>
      </w:r>
      <w:r w:rsidR="00A85F98" w:rsidRPr="00A85F98">
        <w:rPr>
          <w:iCs/>
        </w:rPr>
        <w:t>Источник: РБК</w:t>
      </w:r>
    </w:p>
    <w:p w14:paraId="10625018" w14:textId="2E60E733" w:rsidR="00F96B6D" w:rsidRDefault="00F96B6D" w:rsidP="00F96B6D">
      <w:r>
        <w:t xml:space="preserve">На рынке также присутствовал благоприятный инвестиционный климат, несмотря на недавний кризис: </w:t>
      </w:r>
      <w:r w:rsidRPr="00451AA2">
        <w:t>прямые инвестиции в экономику выросли почти в пять раз по сравнению с 2015 г. – до 33 млрд долл</w:t>
      </w:r>
      <w:r>
        <w:t xml:space="preserve"> (см. Рис. 1</w:t>
      </w:r>
      <w:r w:rsidR="00314FDF">
        <w:t>3</w:t>
      </w:r>
      <w:r>
        <w:t xml:space="preserve">) </w:t>
      </w:r>
      <w:r w:rsidRPr="00451AA2">
        <w:t>, индекс промышленного производства увеличился на 1,1%, доходность индекса ММВБ за год составила 26,8% годовых – это лучший результат после 2009 г.</w:t>
      </w:r>
      <w:r>
        <w:t xml:space="preserve">, </w:t>
      </w:r>
      <w:r w:rsidRPr="00451AA2">
        <w:t>среднегодовое число активных клиентов составило 93,6 тыс. – на 17,7% больше, чем годом ранее</w:t>
      </w:r>
      <w:r>
        <w:t>.</w:t>
      </w:r>
    </w:p>
    <w:p w14:paraId="46B970D1" w14:textId="02E47146" w:rsidR="00F96B6D" w:rsidRDefault="00F96B6D" w:rsidP="00F96B6D">
      <w:pPr>
        <w:pStyle w:val="a9"/>
      </w:pPr>
      <w:r w:rsidRPr="00460B25">
        <w:rPr>
          <w:noProof/>
        </w:rPr>
        <w:drawing>
          <wp:inline distT="0" distB="0" distL="0" distR="0" wp14:anchorId="0911722C" wp14:editId="4512F241">
            <wp:extent cx="4901879" cy="209698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21748" cy="2105488"/>
                    </a:xfrm>
                    <a:prstGeom prst="rect">
                      <a:avLst/>
                    </a:prstGeom>
                  </pic:spPr>
                </pic:pic>
              </a:graphicData>
            </a:graphic>
          </wp:inline>
        </w:drawing>
      </w:r>
    </w:p>
    <w:p w14:paraId="10DA2CC0" w14:textId="2B3B689D" w:rsidR="00F96B6D" w:rsidRDefault="00F96B6D" w:rsidP="00F96B6D">
      <w:pPr>
        <w:pStyle w:val="a0"/>
      </w:pPr>
      <w:r>
        <w:t>Динамика притока прямых иностранных инвестиций                                                                       Источник: Российский фондовый рынок, 2017 год (НАУФОР)</w:t>
      </w:r>
    </w:p>
    <w:p w14:paraId="2352E68E" w14:textId="77777777" w:rsidR="00F96B6D" w:rsidRPr="00A85F98" w:rsidRDefault="00F96B6D" w:rsidP="00F96B6D">
      <w:pPr>
        <w:rPr>
          <w:i/>
        </w:rPr>
      </w:pPr>
    </w:p>
    <w:p w14:paraId="0256038C" w14:textId="4E8A0942" w:rsidR="00185F48" w:rsidRDefault="00185F48" w:rsidP="00AC1E30">
      <w:pPr>
        <w:pStyle w:val="af7"/>
        <w:numPr>
          <w:ilvl w:val="0"/>
          <w:numId w:val="15"/>
        </w:numPr>
        <w:rPr>
          <w:rFonts w:ascii="Times New Roman" w:hAnsi="Times New Roman" w:cs="Times New Roman"/>
          <w:sz w:val="24"/>
          <w:szCs w:val="24"/>
        </w:rPr>
      </w:pPr>
      <w:r>
        <w:rPr>
          <w:rFonts w:ascii="Times New Roman" w:hAnsi="Times New Roman" w:cs="Times New Roman"/>
          <w:sz w:val="24"/>
          <w:szCs w:val="24"/>
        </w:rPr>
        <w:t xml:space="preserve">Снижение реальных доходов населения </w:t>
      </w:r>
    </w:p>
    <w:p w14:paraId="2091FCD3" w14:textId="465DACD6" w:rsidR="00185F48" w:rsidRDefault="00185F48" w:rsidP="00B86113">
      <w:r>
        <w:t>Несмотря на рост производства, поддержку ценам на нефть в результате новых договоров с ОПЕК и восстановление курса рубля, инфляция демонстрировала высокие темпы роста, и реальные доходы населения падали. В условиях падения доходов частные инвесторы, число которых стремительно росло (</w:t>
      </w:r>
      <w:r w:rsidR="00B86113" w:rsidRPr="00B86113">
        <w:t>т</w:t>
      </w:r>
      <w:r w:rsidRPr="00B86113">
        <w:t>емп роста физических лиц – резидентов на Мосбирже по итогам 2017 г. составил 18,8%)</w:t>
      </w:r>
      <w:r w:rsidR="00B86113" w:rsidRPr="00B86113">
        <w:t xml:space="preserve">, вполне разумно могли быть больше заинтересованы в высоких дивидендах для удовлеторения текущих потребительских нужд, нежели в доходе от курсовой стоимости акций. </w:t>
      </w:r>
      <w:r w:rsidR="00BC068A">
        <w:t>В соответствии с поведенческой теорией финансов – теорией «сожаления», инвесторы испытывают больше сожаления при продаже акций чем при тратах дивидендов, поэтому склонны потреблять именно на доход от дивидендов нежели чем на доход от прироста капитала.</w:t>
      </w:r>
      <w:r w:rsidR="00BC068A">
        <w:rPr>
          <w:rStyle w:val="aff"/>
        </w:rPr>
        <w:footnoteReference w:id="57"/>
      </w:r>
    </w:p>
    <w:p w14:paraId="0878124E" w14:textId="77777777" w:rsidR="00185F48" w:rsidRDefault="00185F48" w:rsidP="00185F48">
      <w:pPr>
        <w:pStyle w:val="af7"/>
        <w:ind w:left="1069"/>
        <w:rPr>
          <w:rFonts w:ascii="Times New Roman" w:hAnsi="Times New Roman" w:cs="Times New Roman"/>
          <w:sz w:val="24"/>
          <w:szCs w:val="24"/>
        </w:rPr>
      </w:pPr>
    </w:p>
    <w:p w14:paraId="6D7AF8B7" w14:textId="77777777" w:rsidR="00185F48" w:rsidRDefault="00185F48" w:rsidP="00185F48">
      <w:pPr>
        <w:pStyle w:val="af7"/>
        <w:ind w:left="1069"/>
        <w:rPr>
          <w:rFonts w:ascii="Times New Roman" w:hAnsi="Times New Roman" w:cs="Times New Roman"/>
          <w:sz w:val="24"/>
          <w:szCs w:val="24"/>
        </w:rPr>
      </w:pPr>
    </w:p>
    <w:p w14:paraId="7825C95E" w14:textId="39F42F7E" w:rsidR="006E6201" w:rsidRPr="00F96B6D" w:rsidRDefault="00F96B6D" w:rsidP="00AC1E30">
      <w:pPr>
        <w:pStyle w:val="af7"/>
        <w:numPr>
          <w:ilvl w:val="0"/>
          <w:numId w:val="15"/>
        </w:numPr>
        <w:rPr>
          <w:rFonts w:ascii="Times New Roman" w:hAnsi="Times New Roman" w:cs="Times New Roman"/>
          <w:sz w:val="24"/>
          <w:szCs w:val="24"/>
        </w:rPr>
      </w:pPr>
      <w:r w:rsidRPr="00F96B6D">
        <w:rPr>
          <w:rFonts w:ascii="Times New Roman" w:hAnsi="Times New Roman" w:cs="Times New Roman"/>
          <w:sz w:val="24"/>
          <w:szCs w:val="24"/>
        </w:rPr>
        <w:t xml:space="preserve">Рост опасений </w:t>
      </w:r>
      <w:r w:rsidR="007E6744">
        <w:rPr>
          <w:rFonts w:ascii="Times New Roman" w:hAnsi="Times New Roman" w:cs="Times New Roman"/>
          <w:sz w:val="24"/>
          <w:szCs w:val="24"/>
        </w:rPr>
        <w:t xml:space="preserve">инвесторов </w:t>
      </w:r>
      <w:r w:rsidRPr="00F96B6D">
        <w:rPr>
          <w:rFonts w:ascii="Times New Roman" w:hAnsi="Times New Roman" w:cs="Times New Roman"/>
          <w:sz w:val="24"/>
          <w:szCs w:val="24"/>
        </w:rPr>
        <w:t xml:space="preserve">касательно динамики </w:t>
      </w:r>
      <w:r w:rsidR="00B86113">
        <w:rPr>
          <w:rFonts w:ascii="Times New Roman" w:hAnsi="Times New Roman" w:cs="Times New Roman"/>
          <w:sz w:val="24"/>
          <w:szCs w:val="24"/>
        </w:rPr>
        <w:t xml:space="preserve">российского </w:t>
      </w:r>
      <w:r w:rsidRPr="00F96B6D">
        <w:rPr>
          <w:rFonts w:ascii="Times New Roman" w:hAnsi="Times New Roman" w:cs="Times New Roman"/>
          <w:sz w:val="24"/>
          <w:szCs w:val="24"/>
        </w:rPr>
        <w:t>фондового рынка</w:t>
      </w:r>
    </w:p>
    <w:p w14:paraId="3A526B66" w14:textId="384AF9D2" w:rsidR="00B86113" w:rsidRDefault="00B86113" w:rsidP="006E6201">
      <w:pPr>
        <w:pStyle w:val="af7"/>
        <w:ind w:left="1069"/>
        <w:rPr>
          <w:rFonts w:ascii="Roboto" w:hAnsi="Roboto"/>
          <w:color w:val="000000"/>
          <w:spacing w:val="2"/>
          <w:shd w:val="clear" w:color="auto" w:fill="FFFFFF"/>
        </w:rPr>
      </w:pPr>
    </w:p>
    <w:p w14:paraId="5257BFDE" w14:textId="7F13E4DE" w:rsidR="00A3127B" w:rsidRDefault="00B86113" w:rsidP="0096494E">
      <w:pPr>
        <w:rPr>
          <w:shd w:val="clear" w:color="auto" w:fill="FFFFFF"/>
        </w:rPr>
      </w:pPr>
      <w:r>
        <w:rPr>
          <w:shd w:val="clear" w:color="auto" w:fill="FFFFFF"/>
        </w:rPr>
        <w:t xml:space="preserve">9 апреля 2018г. стало «черным понедельником» для российского фондового рынка на фоне введения США санкций против российских бизнесменов и чиновников </w:t>
      </w:r>
      <w:r w:rsidR="00280BB0">
        <w:rPr>
          <w:shd w:val="clear" w:color="auto" w:fill="FFFFFF"/>
        </w:rPr>
        <w:t>–</w:t>
      </w:r>
      <w:r>
        <w:rPr>
          <w:shd w:val="clear" w:color="auto" w:fill="FFFFFF"/>
        </w:rPr>
        <w:t xml:space="preserve"> за один день индекс МосБиржи просел на 8,3%. В том же году вступили в силу новые антироссийские санкции на госдолг и поставки из США оборудования двойного назначения. </w:t>
      </w:r>
      <w:r w:rsidR="00A3127B">
        <w:rPr>
          <w:shd w:val="clear" w:color="auto" w:fill="FFFFFF"/>
        </w:rPr>
        <w:t xml:space="preserve">Возвращение санкций в повестку могло послужить драйвером опасений инвесторов в отношении российского рынка, динамика которого очень чувствительна </w:t>
      </w:r>
      <w:r w:rsidR="0096494E">
        <w:rPr>
          <w:shd w:val="clear" w:color="auto" w:fill="FFFFFF"/>
        </w:rPr>
        <w:t>к санкциям</w:t>
      </w:r>
      <w:r w:rsidR="00A3127B">
        <w:rPr>
          <w:shd w:val="clear" w:color="auto" w:fill="FFFFFF"/>
        </w:rPr>
        <w:t xml:space="preserve"> против России. Это могло </w:t>
      </w:r>
      <w:r w:rsidR="0096494E">
        <w:rPr>
          <w:shd w:val="clear" w:color="auto" w:fill="FFFFFF"/>
        </w:rPr>
        <w:t>привести к</w:t>
      </w:r>
      <w:r w:rsidR="00A3127B">
        <w:rPr>
          <w:shd w:val="clear" w:color="auto" w:fill="FFFFFF"/>
        </w:rPr>
        <w:t xml:space="preserve"> рост</w:t>
      </w:r>
      <w:r w:rsidR="0096494E">
        <w:rPr>
          <w:shd w:val="clear" w:color="auto" w:fill="FFFFFF"/>
        </w:rPr>
        <w:t>у</w:t>
      </w:r>
      <w:r w:rsidR="00A3127B">
        <w:rPr>
          <w:shd w:val="clear" w:color="auto" w:fill="FFFFFF"/>
        </w:rPr>
        <w:t xml:space="preserve"> ценности дивидендных выплат как способа возврата инвестиций в текущем моменте</w:t>
      </w:r>
      <w:r w:rsidR="0096494E">
        <w:rPr>
          <w:shd w:val="clear" w:color="auto" w:fill="FFFFFF"/>
        </w:rPr>
        <w:t>, и привести к позитивной реакции на объявления о дивидендах выше консенсуса.</w:t>
      </w:r>
      <w:r w:rsidR="0096494E">
        <w:rPr>
          <w:rStyle w:val="aff"/>
          <w:shd w:val="clear" w:color="auto" w:fill="FFFFFF"/>
        </w:rPr>
        <w:footnoteReference w:id="58"/>
      </w:r>
    </w:p>
    <w:p w14:paraId="5A91177C" w14:textId="290740A8" w:rsidR="00423DD4" w:rsidRPr="00315235" w:rsidRDefault="00423DD4" w:rsidP="00315235">
      <w:pPr>
        <w:pStyle w:val="af7"/>
        <w:numPr>
          <w:ilvl w:val="0"/>
          <w:numId w:val="15"/>
        </w:numPr>
        <w:rPr>
          <w:rFonts w:ascii="Times New Roman" w:hAnsi="Times New Roman" w:cs="Times New Roman"/>
          <w:sz w:val="24"/>
          <w:szCs w:val="24"/>
          <w:shd w:val="clear" w:color="auto" w:fill="FFFFFF"/>
        </w:rPr>
      </w:pPr>
      <w:r w:rsidRPr="00315235">
        <w:rPr>
          <w:rFonts w:ascii="Times New Roman" w:hAnsi="Times New Roman" w:cs="Times New Roman"/>
          <w:sz w:val="24"/>
          <w:szCs w:val="24"/>
          <w:shd w:val="clear" w:color="auto" w:fill="FFFFFF"/>
        </w:rPr>
        <w:t>Введение новых норм дивидендов со стороны Правительства</w:t>
      </w:r>
    </w:p>
    <w:p w14:paraId="65073987" w14:textId="2F64275A" w:rsidR="00750259" w:rsidRDefault="00423DD4" w:rsidP="0028358E">
      <w:pPr>
        <w:rPr>
          <w:shd w:val="clear" w:color="auto" w:fill="FFFFFF"/>
        </w:rPr>
      </w:pPr>
      <w:r>
        <w:rPr>
          <w:shd w:val="clear" w:color="auto" w:fill="FFFFFF"/>
        </w:rPr>
        <w:t>Впервые рекомендуемая норма выплат госкомпаниями была повышена до 50% в 2016г., а в 2017 г. вышло еще одно распоряжение, которое, во-первых, закрепляло норму в 50%, а во-вторых, обязывало госкомпании рассчитывать норму выплат на основе отчетности МСФО, то есть большей базы</w:t>
      </w:r>
      <w:r w:rsidR="0061768C">
        <w:rPr>
          <w:shd w:val="clear" w:color="auto" w:fill="FFFFFF"/>
        </w:rPr>
        <w:t xml:space="preserve">, посолькуу в МСФО также учитываются результаты дочерних предприятий. Эта норма стала одним из важнейших факторов, который привел к росту дивидендой доходности на российском рынке: в 2018г. ее среднее значение превысило 5%, </w:t>
      </w:r>
      <w:r w:rsidR="009E2E21">
        <w:rPr>
          <w:shd w:val="clear" w:color="auto" w:fill="FFFFFF"/>
        </w:rPr>
        <w:t xml:space="preserve">а в </w:t>
      </w:r>
      <w:r w:rsidR="0061768C" w:rsidRPr="009E2E21">
        <w:rPr>
          <w:shd w:val="clear" w:color="auto" w:fill="FFFFFF"/>
        </w:rPr>
        <w:t xml:space="preserve">2019г. </w:t>
      </w:r>
      <w:r w:rsidR="009E2E21">
        <w:rPr>
          <w:shd w:val="clear" w:color="auto" w:fill="FFFFFF"/>
        </w:rPr>
        <w:t>дивидендная доходность российских компаний оказалась самой высокой в мире – 6,7%</w:t>
      </w:r>
      <w:r w:rsidR="00541687">
        <w:rPr>
          <w:shd w:val="clear" w:color="auto" w:fill="FFFFFF"/>
        </w:rPr>
        <w:t xml:space="preserve"> (</w:t>
      </w:r>
      <w:r w:rsidR="00541687" w:rsidRPr="00541687">
        <w:rPr>
          <w:shd w:val="clear" w:color="auto" w:fill="FFFFFF"/>
        </w:rPr>
        <w:t>против дивидендной доходности в 2% по S&amp;P 500 и 3–4% по развивающимся рынкам)</w:t>
      </w:r>
      <w:r w:rsidR="00541687">
        <w:rPr>
          <w:shd w:val="clear" w:color="auto" w:fill="FFFFFF"/>
        </w:rPr>
        <w:t xml:space="preserve">. </w:t>
      </w:r>
      <w:r w:rsidR="005E344C">
        <w:rPr>
          <w:shd w:val="clear" w:color="auto" w:fill="FFFFFF"/>
        </w:rPr>
        <w:t xml:space="preserve">Дивиденды стали приносить больше дохода и привлекать как частных инвесторов (за </w:t>
      </w:r>
      <w:r w:rsidR="0028358E">
        <w:rPr>
          <w:shd w:val="clear" w:color="auto" w:fill="FFFFFF"/>
        </w:rPr>
        <w:t xml:space="preserve">2019 </w:t>
      </w:r>
      <w:r w:rsidR="005E344C">
        <w:rPr>
          <w:shd w:val="clear" w:color="auto" w:fill="FFFFFF"/>
        </w:rPr>
        <w:t>год их число выросло вдвое)</w:t>
      </w:r>
      <w:r w:rsidR="0028358E">
        <w:rPr>
          <w:shd w:val="clear" w:color="auto" w:fill="FFFFFF"/>
        </w:rPr>
        <w:t>, так</w:t>
      </w:r>
      <w:r w:rsidR="005E344C">
        <w:rPr>
          <w:shd w:val="clear" w:color="auto" w:fill="FFFFFF"/>
        </w:rPr>
        <w:t xml:space="preserve"> крупных инвесторов, в том числе</w:t>
      </w:r>
      <w:r w:rsidR="00541687">
        <w:rPr>
          <w:shd w:val="clear" w:color="auto" w:fill="FFFFFF"/>
        </w:rPr>
        <w:t xml:space="preserve"> </w:t>
      </w:r>
      <w:r w:rsidR="00541687" w:rsidRPr="00541687">
        <w:rPr>
          <w:shd w:val="clear" w:color="auto" w:fill="FFFFFF"/>
        </w:rPr>
        <w:t>международных инвестиционных фондов</w:t>
      </w:r>
      <w:r w:rsidR="005E344C">
        <w:rPr>
          <w:shd w:val="clear" w:color="auto" w:fill="FFFFFF"/>
        </w:rPr>
        <w:t xml:space="preserve">. </w:t>
      </w:r>
      <w:r w:rsidR="0028358E">
        <w:rPr>
          <w:shd w:val="clear" w:color="auto" w:fill="FFFFFF"/>
        </w:rPr>
        <w:t>Возможность хорошо заработать на дивидендном доходе могла способствовать позитивной реакции на объявления дивидендов выше консенсуса.</w:t>
      </w:r>
      <w:r w:rsidR="0028358E">
        <w:rPr>
          <w:rStyle w:val="aff"/>
          <w:shd w:val="clear" w:color="auto" w:fill="FFFFFF"/>
        </w:rPr>
        <w:footnoteReference w:id="59"/>
      </w:r>
    </w:p>
    <w:p w14:paraId="30466ECE" w14:textId="77777777" w:rsidR="00131067" w:rsidRPr="0028358E" w:rsidRDefault="00131067" w:rsidP="0028358E">
      <w:pPr>
        <w:rPr>
          <w:rFonts w:ascii="New York Medium" w:eastAsia="Times New Roman" w:hAnsi="New York Medium" w:cs="Times New Roman"/>
          <w:color w:val="000000"/>
          <w:spacing w:val="5"/>
          <w:sz w:val="27"/>
          <w:szCs w:val="27"/>
        </w:rPr>
      </w:pPr>
    </w:p>
    <w:p w14:paraId="5FAEB32E" w14:textId="63F9CA57" w:rsidR="003D01FD" w:rsidRDefault="005E1CF3" w:rsidP="00750259">
      <w:pPr>
        <w:rPr>
          <w:b/>
          <w:bCs/>
        </w:rPr>
      </w:pPr>
      <w:r>
        <w:rPr>
          <w:b/>
          <w:bCs/>
        </w:rPr>
        <w:t>Анализ результатов в разрезе отраслей</w:t>
      </w:r>
    </w:p>
    <w:p w14:paraId="00D44B85" w14:textId="7A6D5F97" w:rsidR="008F7BFA" w:rsidRDefault="005B55F2" w:rsidP="005B55F2">
      <w:pPr>
        <w:pStyle w:val="a"/>
        <w:rPr>
          <w:b/>
          <w:bCs/>
        </w:rPr>
      </w:pPr>
      <w:r>
        <w:t xml:space="preserve">Значение накопленной средней сверхдоходности </w:t>
      </w:r>
      <w:r>
        <w:rPr>
          <w:lang w:val="en-US"/>
        </w:rPr>
        <w:t xml:space="preserve">CAAR </w:t>
      </w:r>
      <w:r>
        <w:t>в разрезе отраслей для выборки российских компаний</w:t>
      </w:r>
    </w:p>
    <w:tbl>
      <w:tblPr>
        <w:tblStyle w:val="ad"/>
        <w:tblW w:w="0" w:type="auto"/>
        <w:tblLook w:val="04A0" w:firstRow="1" w:lastRow="0" w:firstColumn="1" w:lastColumn="0" w:noHBand="0" w:noVBand="1"/>
      </w:tblPr>
      <w:tblGrid>
        <w:gridCol w:w="2708"/>
        <w:gridCol w:w="2411"/>
        <w:gridCol w:w="2419"/>
        <w:gridCol w:w="1892"/>
      </w:tblGrid>
      <w:tr w:rsidR="008F7BFA" w:rsidRPr="006369A9" w14:paraId="247F535B" w14:textId="77777777" w:rsidTr="006D1D24">
        <w:trPr>
          <w:trHeight w:val="416"/>
          <w:tblHeader/>
        </w:trPr>
        <w:tc>
          <w:tcPr>
            <w:tcW w:w="2708" w:type="dxa"/>
          </w:tcPr>
          <w:p w14:paraId="50AF12CA" w14:textId="77777777" w:rsidR="008F7BFA" w:rsidRDefault="008F7BFA" w:rsidP="006D1D24">
            <w:pPr>
              <w:ind w:firstLine="0"/>
              <w:rPr>
                <w:b/>
                <w:bCs/>
              </w:rPr>
            </w:pPr>
          </w:p>
        </w:tc>
        <w:tc>
          <w:tcPr>
            <w:tcW w:w="2411" w:type="dxa"/>
          </w:tcPr>
          <w:p w14:paraId="6770AFBD" w14:textId="77777777" w:rsidR="008F7BFA" w:rsidRDefault="008F7BFA" w:rsidP="006D1D24">
            <w:pPr>
              <w:pStyle w:val="ac"/>
              <w:rPr>
                <w:bCs/>
              </w:rPr>
            </w:pPr>
            <w:r w:rsidRPr="00A03FF8">
              <w:rPr>
                <w:lang w:val="en-US"/>
              </w:rPr>
              <w:t xml:space="preserve">CAAR </w:t>
            </w:r>
            <w:r w:rsidRPr="00A03FF8">
              <w:t>для негативного сюрприза</w:t>
            </w:r>
          </w:p>
        </w:tc>
        <w:tc>
          <w:tcPr>
            <w:tcW w:w="2419" w:type="dxa"/>
          </w:tcPr>
          <w:p w14:paraId="6912D620" w14:textId="77777777" w:rsidR="008F7BFA" w:rsidRDefault="008F7BFA" w:rsidP="006D1D24">
            <w:pPr>
              <w:pStyle w:val="ac"/>
              <w:rPr>
                <w:bCs/>
              </w:rPr>
            </w:pPr>
            <w:r w:rsidRPr="00A03FF8">
              <w:rPr>
                <w:lang w:val="en-US"/>
              </w:rPr>
              <w:t xml:space="preserve">CAAR </w:t>
            </w:r>
            <w:r w:rsidRPr="00A03FF8">
              <w:t>для позитивного сюрприза</w:t>
            </w:r>
          </w:p>
        </w:tc>
        <w:tc>
          <w:tcPr>
            <w:tcW w:w="1892" w:type="dxa"/>
          </w:tcPr>
          <w:p w14:paraId="12AD7C1E" w14:textId="77777777" w:rsidR="008F7BFA" w:rsidRPr="006369A9" w:rsidRDefault="008F7BFA" w:rsidP="006D1D24">
            <w:pPr>
              <w:pStyle w:val="ac"/>
            </w:pPr>
            <w:r>
              <w:t>Число наблюдений в выборке</w:t>
            </w:r>
          </w:p>
        </w:tc>
      </w:tr>
      <w:tr w:rsidR="008F7BFA" w:rsidRPr="00C43E54" w14:paraId="0E1061C3" w14:textId="77777777" w:rsidTr="006D1D24">
        <w:trPr>
          <w:trHeight w:val="416"/>
          <w:tblHeader/>
        </w:trPr>
        <w:tc>
          <w:tcPr>
            <w:tcW w:w="2708" w:type="dxa"/>
          </w:tcPr>
          <w:p w14:paraId="43AD9656" w14:textId="77777777" w:rsidR="008F7BFA" w:rsidRPr="00C33602" w:rsidRDefault="008F7BFA" w:rsidP="008F7BFA">
            <w:pPr>
              <w:pStyle w:val="ae"/>
              <w:rPr>
                <w:b/>
                <w:bCs/>
              </w:rPr>
            </w:pPr>
            <w:r w:rsidRPr="00C33602">
              <w:rPr>
                <w:b/>
                <w:bCs/>
              </w:rPr>
              <w:t>Communication Services</w:t>
            </w:r>
            <w:r>
              <w:rPr>
                <w:b/>
                <w:bCs/>
              </w:rPr>
              <w:t xml:space="preserve"> (Коммуникационные сервисы)</w:t>
            </w:r>
          </w:p>
        </w:tc>
        <w:tc>
          <w:tcPr>
            <w:tcW w:w="2411" w:type="dxa"/>
          </w:tcPr>
          <w:p w14:paraId="756D37A2" w14:textId="4EDC3F21" w:rsidR="008F7BFA" w:rsidRPr="00C43E54" w:rsidRDefault="008F7BFA" w:rsidP="008F7BFA">
            <w:pPr>
              <w:pStyle w:val="ae"/>
            </w:pPr>
            <w:r w:rsidRPr="007F3ABE">
              <w:t>-</w:t>
            </w:r>
            <w:r>
              <w:t xml:space="preserve">0, </w:t>
            </w:r>
            <w:r w:rsidRPr="007F3ABE">
              <w:t>000</w:t>
            </w:r>
            <w:r>
              <w:t>4</w:t>
            </w:r>
          </w:p>
        </w:tc>
        <w:tc>
          <w:tcPr>
            <w:tcW w:w="2419" w:type="dxa"/>
          </w:tcPr>
          <w:p w14:paraId="79FC2C3F" w14:textId="002B761A" w:rsidR="008F7BFA" w:rsidRPr="00C43E54" w:rsidRDefault="008F7BFA" w:rsidP="008F7BFA">
            <w:pPr>
              <w:pStyle w:val="ae"/>
            </w:pPr>
            <w:r>
              <w:t>0,024</w:t>
            </w:r>
          </w:p>
        </w:tc>
        <w:tc>
          <w:tcPr>
            <w:tcW w:w="1892" w:type="dxa"/>
          </w:tcPr>
          <w:p w14:paraId="5A3A6A64" w14:textId="504E3F45" w:rsidR="008F7BFA" w:rsidRPr="00C43E54" w:rsidRDefault="002800E6" w:rsidP="008F7BFA">
            <w:pPr>
              <w:pStyle w:val="ae"/>
            </w:pPr>
            <w:r>
              <w:t>8</w:t>
            </w:r>
          </w:p>
        </w:tc>
      </w:tr>
      <w:tr w:rsidR="008F7BFA" w:rsidRPr="00C43E54" w14:paraId="6E989CD6" w14:textId="77777777" w:rsidTr="006D1D24">
        <w:tc>
          <w:tcPr>
            <w:tcW w:w="2708" w:type="dxa"/>
          </w:tcPr>
          <w:p w14:paraId="25832ABE" w14:textId="77777777" w:rsidR="008F7BFA" w:rsidRPr="00C33602" w:rsidRDefault="008F7BFA" w:rsidP="008F7BFA">
            <w:pPr>
              <w:pStyle w:val="ae"/>
              <w:rPr>
                <w:b/>
                <w:bCs/>
              </w:rPr>
            </w:pPr>
            <w:r w:rsidRPr="00C33602">
              <w:rPr>
                <w:b/>
                <w:bCs/>
              </w:rPr>
              <w:t>Energy</w:t>
            </w:r>
            <w:r>
              <w:rPr>
                <w:b/>
                <w:bCs/>
              </w:rPr>
              <w:t xml:space="preserve"> (Энергетика)</w:t>
            </w:r>
          </w:p>
        </w:tc>
        <w:tc>
          <w:tcPr>
            <w:tcW w:w="2411" w:type="dxa"/>
          </w:tcPr>
          <w:p w14:paraId="340B77A4" w14:textId="351ACDB9" w:rsidR="008F7BFA" w:rsidRPr="00C43E54" w:rsidRDefault="008F7BFA" w:rsidP="008F7BFA">
            <w:pPr>
              <w:pStyle w:val="ae"/>
            </w:pPr>
            <w:r w:rsidRPr="007F3ABE">
              <w:t>-</w:t>
            </w:r>
            <w:r>
              <w:t>0,</w:t>
            </w:r>
            <w:r w:rsidRPr="007F3ABE">
              <w:t>029</w:t>
            </w:r>
          </w:p>
        </w:tc>
        <w:tc>
          <w:tcPr>
            <w:tcW w:w="2419" w:type="dxa"/>
          </w:tcPr>
          <w:p w14:paraId="36F9A665" w14:textId="5BBC3442" w:rsidR="008F7BFA" w:rsidRPr="00C43E54" w:rsidRDefault="008F7BFA" w:rsidP="008F7BFA">
            <w:pPr>
              <w:pStyle w:val="ae"/>
            </w:pPr>
            <w:r>
              <w:t>0,</w:t>
            </w:r>
            <w:r w:rsidRPr="008212C9">
              <w:t>040</w:t>
            </w:r>
            <w:r>
              <w:t>*</w:t>
            </w:r>
          </w:p>
        </w:tc>
        <w:tc>
          <w:tcPr>
            <w:tcW w:w="1892" w:type="dxa"/>
          </w:tcPr>
          <w:p w14:paraId="22714609" w14:textId="3508F07E" w:rsidR="008F7BFA" w:rsidRPr="00C43E54" w:rsidRDefault="002800E6" w:rsidP="008F7BFA">
            <w:pPr>
              <w:pStyle w:val="ae"/>
            </w:pPr>
            <w:r>
              <w:t>27</w:t>
            </w:r>
          </w:p>
        </w:tc>
      </w:tr>
      <w:tr w:rsidR="008F7BFA" w:rsidRPr="00C43E54" w14:paraId="46CF805A" w14:textId="77777777" w:rsidTr="006D1D24">
        <w:tc>
          <w:tcPr>
            <w:tcW w:w="2708" w:type="dxa"/>
          </w:tcPr>
          <w:p w14:paraId="6FC5A836" w14:textId="77777777" w:rsidR="008F7BFA" w:rsidRPr="00C33602" w:rsidRDefault="008F7BFA" w:rsidP="008F7BFA">
            <w:pPr>
              <w:pStyle w:val="ae"/>
              <w:rPr>
                <w:b/>
                <w:bCs/>
              </w:rPr>
            </w:pPr>
            <w:r w:rsidRPr="00C33602">
              <w:rPr>
                <w:b/>
                <w:bCs/>
              </w:rPr>
              <w:t>Сonsumer</w:t>
            </w:r>
            <w:r w:rsidRPr="00C33602">
              <w:rPr>
                <w:b/>
                <w:bCs/>
                <w:lang w:val="en-US"/>
              </w:rPr>
              <w:t xml:space="preserve"> </w:t>
            </w:r>
            <w:r w:rsidRPr="00C33602">
              <w:rPr>
                <w:b/>
                <w:bCs/>
              </w:rPr>
              <w:t>Staples</w:t>
            </w:r>
            <w:r>
              <w:rPr>
                <w:b/>
                <w:bCs/>
              </w:rPr>
              <w:t xml:space="preserve"> (</w:t>
            </w:r>
            <w:r w:rsidRPr="00CE3A33">
              <w:rPr>
                <w:b/>
                <w:bCs/>
              </w:rPr>
              <w:t xml:space="preserve">Потребительские товары </w:t>
            </w:r>
            <w:r>
              <w:rPr>
                <w:b/>
                <w:bCs/>
              </w:rPr>
              <w:t>ежедневного</w:t>
            </w:r>
            <w:r w:rsidRPr="00CE3A33">
              <w:rPr>
                <w:b/>
                <w:bCs/>
              </w:rPr>
              <w:t xml:space="preserve"> спроса</w:t>
            </w:r>
            <w:r>
              <w:rPr>
                <w:b/>
                <w:bCs/>
              </w:rPr>
              <w:t>)</w:t>
            </w:r>
          </w:p>
        </w:tc>
        <w:tc>
          <w:tcPr>
            <w:tcW w:w="2411" w:type="dxa"/>
          </w:tcPr>
          <w:p w14:paraId="0CD3242B" w14:textId="12FE8D25" w:rsidR="008F7BFA" w:rsidRPr="00C43E54" w:rsidRDefault="008F7BFA" w:rsidP="008F7BFA">
            <w:pPr>
              <w:pStyle w:val="ae"/>
            </w:pPr>
            <w:r>
              <w:t>Сектор не представлен в выборке</w:t>
            </w:r>
          </w:p>
        </w:tc>
        <w:tc>
          <w:tcPr>
            <w:tcW w:w="2419" w:type="dxa"/>
          </w:tcPr>
          <w:p w14:paraId="1B1F458A" w14:textId="1DC0632D" w:rsidR="008F7BFA" w:rsidRPr="00C43E54" w:rsidRDefault="008F7BFA" w:rsidP="008F7BFA">
            <w:pPr>
              <w:pStyle w:val="ae"/>
            </w:pPr>
            <w:r>
              <w:rPr>
                <w:lang w:val="en-US"/>
              </w:rPr>
              <w:t>0</w:t>
            </w:r>
            <w:r>
              <w:t>,</w:t>
            </w:r>
            <w:r w:rsidRPr="008212C9">
              <w:t>059</w:t>
            </w:r>
          </w:p>
        </w:tc>
        <w:tc>
          <w:tcPr>
            <w:tcW w:w="1892" w:type="dxa"/>
          </w:tcPr>
          <w:p w14:paraId="19BB704A" w14:textId="77777777" w:rsidR="008F7BFA" w:rsidRPr="00C43E54" w:rsidRDefault="008F7BFA" w:rsidP="008F7BFA">
            <w:pPr>
              <w:pStyle w:val="ae"/>
            </w:pPr>
            <w:r>
              <w:t>4</w:t>
            </w:r>
          </w:p>
        </w:tc>
      </w:tr>
      <w:tr w:rsidR="008F7BFA" w:rsidRPr="00C43E54" w14:paraId="6FC8B4B1" w14:textId="77777777" w:rsidTr="006D1D24">
        <w:tc>
          <w:tcPr>
            <w:tcW w:w="2708" w:type="dxa"/>
          </w:tcPr>
          <w:p w14:paraId="217BE2C0" w14:textId="77777777" w:rsidR="008F7BFA" w:rsidRPr="00C33602" w:rsidRDefault="008F7BFA" w:rsidP="008F7BFA">
            <w:pPr>
              <w:pStyle w:val="ae"/>
              <w:rPr>
                <w:b/>
                <w:bCs/>
              </w:rPr>
            </w:pPr>
            <w:r w:rsidRPr="00C33602">
              <w:rPr>
                <w:b/>
                <w:bCs/>
              </w:rPr>
              <w:t>Consumer Discretionary</w:t>
            </w:r>
            <w:r>
              <w:rPr>
                <w:b/>
                <w:bCs/>
              </w:rPr>
              <w:t xml:space="preserve"> (</w:t>
            </w:r>
            <w:r w:rsidRPr="00CE3A33">
              <w:rPr>
                <w:b/>
                <w:bCs/>
              </w:rPr>
              <w:t>Потребительские товары выборочного спроса</w:t>
            </w:r>
            <w:r>
              <w:rPr>
                <w:b/>
                <w:bCs/>
              </w:rPr>
              <w:t>)</w:t>
            </w:r>
          </w:p>
        </w:tc>
        <w:tc>
          <w:tcPr>
            <w:tcW w:w="2411" w:type="dxa"/>
          </w:tcPr>
          <w:p w14:paraId="28B6A25D" w14:textId="38F3B4D1" w:rsidR="008F7BFA" w:rsidRPr="00C43E54" w:rsidRDefault="005B55F2" w:rsidP="008F7BFA">
            <w:pPr>
              <w:pStyle w:val="ae"/>
            </w:pPr>
            <w:r>
              <w:t>0,</w:t>
            </w:r>
            <w:r w:rsidRPr="007F3ABE">
              <w:t>004</w:t>
            </w:r>
          </w:p>
        </w:tc>
        <w:tc>
          <w:tcPr>
            <w:tcW w:w="2419" w:type="dxa"/>
          </w:tcPr>
          <w:p w14:paraId="017F8F9F" w14:textId="1CCAF1C5" w:rsidR="008F7BFA" w:rsidRPr="00C43E54" w:rsidRDefault="005B55F2" w:rsidP="008F7BFA">
            <w:pPr>
              <w:pStyle w:val="ae"/>
            </w:pPr>
            <w:r>
              <w:t>0,</w:t>
            </w:r>
            <w:r w:rsidRPr="008212C9">
              <w:t>058</w:t>
            </w:r>
          </w:p>
        </w:tc>
        <w:tc>
          <w:tcPr>
            <w:tcW w:w="1892" w:type="dxa"/>
          </w:tcPr>
          <w:p w14:paraId="15B58554" w14:textId="74D90349" w:rsidR="008F7BFA" w:rsidRPr="00C43E54" w:rsidRDefault="002800E6" w:rsidP="008F7BFA">
            <w:pPr>
              <w:pStyle w:val="ae"/>
            </w:pPr>
            <w:r>
              <w:t>6</w:t>
            </w:r>
          </w:p>
        </w:tc>
      </w:tr>
      <w:tr w:rsidR="008F7BFA" w:rsidRPr="00C43E54" w14:paraId="4F2BA107" w14:textId="77777777" w:rsidTr="006D1D24">
        <w:tc>
          <w:tcPr>
            <w:tcW w:w="2708" w:type="dxa"/>
          </w:tcPr>
          <w:p w14:paraId="1CD51D66" w14:textId="77777777" w:rsidR="008F7BFA" w:rsidRPr="00C33602" w:rsidRDefault="008F7BFA" w:rsidP="008F7BFA">
            <w:pPr>
              <w:pStyle w:val="ae"/>
              <w:rPr>
                <w:b/>
                <w:bCs/>
              </w:rPr>
            </w:pPr>
            <w:r w:rsidRPr="00C33602">
              <w:rPr>
                <w:b/>
                <w:bCs/>
              </w:rPr>
              <w:t>Industrials</w:t>
            </w:r>
            <w:r>
              <w:rPr>
                <w:b/>
                <w:bCs/>
              </w:rPr>
              <w:t xml:space="preserve"> (Промышленность)</w:t>
            </w:r>
          </w:p>
        </w:tc>
        <w:tc>
          <w:tcPr>
            <w:tcW w:w="2411" w:type="dxa"/>
          </w:tcPr>
          <w:p w14:paraId="36D594F7" w14:textId="425DE33C" w:rsidR="008F7BFA" w:rsidRPr="00C43E54" w:rsidRDefault="005B55F2" w:rsidP="008F7BFA">
            <w:pPr>
              <w:pStyle w:val="ae"/>
            </w:pPr>
            <w:r>
              <w:t>0,</w:t>
            </w:r>
            <w:r w:rsidRPr="007F3ABE">
              <w:t>079</w:t>
            </w:r>
          </w:p>
        </w:tc>
        <w:tc>
          <w:tcPr>
            <w:tcW w:w="2419" w:type="dxa"/>
          </w:tcPr>
          <w:p w14:paraId="3AC0A970" w14:textId="11E88BC6" w:rsidR="008F7BFA" w:rsidRPr="00C43E54" w:rsidRDefault="005B55F2" w:rsidP="008F7BFA">
            <w:pPr>
              <w:pStyle w:val="ae"/>
            </w:pPr>
            <w:r>
              <w:t>0,</w:t>
            </w:r>
            <w:r w:rsidRPr="008212C9">
              <w:t>038</w:t>
            </w:r>
          </w:p>
        </w:tc>
        <w:tc>
          <w:tcPr>
            <w:tcW w:w="1892" w:type="dxa"/>
          </w:tcPr>
          <w:p w14:paraId="0C310223" w14:textId="342BE956" w:rsidR="008F7BFA" w:rsidRPr="00C43E54" w:rsidRDefault="002800E6" w:rsidP="008F7BFA">
            <w:pPr>
              <w:pStyle w:val="ae"/>
            </w:pPr>
            <w:r>
              <w:t>4</w:t>
            </w:r>
          </w:p>
        </w:tc>
      </w:tr>
      <w:tr w:rsidR="008F7BFA" w:rsidRPr="00C43E54" w14:paraId="3849602D" w14:textId="77777777" w:rsidTr="006D1D24">
        <w:tc>
          <w:tcPr>
            <w:tcW w:w="2708" w:type="dxa"/>
          </w:tcPr>
          <w:p w14:paraId="2FA63BE9" w14:textId="77777777" w:rsidR="008F7BFA" w:rsidRPr="00C33602" w:rsidRDefault="008F7BFA" w:rsidP="008F7BFA">
            <w:pPr>
              <w:pStyle w:val="ae"/>
              <w:rPr>
                <w:b/>
                <w:bCs/>
              </w:rPr>
            </w:pPr>
            <w:r w:rsidRPr="00C33602">
              <w:rPr>
                <w:b/>
                <w:bCs/>
              </w:rPr>
              <w:t>Materials</w:t>
            </w:r>
            <w:r>
              <w:rPr>
                <w:b/>
                <w:bCs/>
              </w:rPr>
              <w:t xml:space="preserve"> (Материалы)</w:t>
            </w:r>
          </w:p>
        </w:tc>
        <w:tc>
          <w:tcPr>
            <w:tcW w:w="2411" w:type="dxa"/>
          </w:tcPr>
          <w:p w14:paraId="17551717" w14:textId="250B8D2A" w:rsidR="008F7BFA" w:rsidRPr="00C43E54" w:rsidRDefault="005B55F2" w:rsidP="008F7BFA">
            <w:pPr>
              <w:pStyle w:val="ae"/>
            </w:pPr>
            <w:r w:rsidRPr="007F3ABE">
              <w:t>-</w:t>
            </w:r>
            <w:r>
              <w:t>0,</w:t>
            </w:r>
            <w:r w:rsidRPr="007F3ABE">
              <w:t>04</w:t>
            </w:r>
            <w:r>
              <w:t>3***</w:t>
            </w:r>
          </w:p>
        </w:tc>
        <w:tc>
          <w:tcPr>
            <w:tcW w:w="2419" w:type="dxa"/>
          </w:tcPr>
          <w:p w14:paraId="36637EBC" w14:textId="1A8F9387" w:rsidR="008F7BFA" w:rsidRPr="00C43E54" w:rsidRDefault="005B55F2" w:rsidP="008F7BFA">
            <w:pPr>
              <w:pStyle w:val="ae"/>
            </w:pPr>
            <w:r w:rsidRPr="008212C9">
              <w:t>-</w:t>
            </w:r>
            <w:r>
              <w:t>0,</w:t>
            </w:r>
            <w:r w:rsidRPr="008212C9">
              <w:t>007</w:t>
            </w:r>
          </w:p>
        </w:tc>
        <w:tc>
          <w:tcPr>
            <w:tcW w:w="1892" w:type="dxa"/>
          </w:tcPr>
          <w:p w14:paraId="2201C0AD" w14:textId="7B7B4DE1" w:rsidR="008F7BFA" w:rsidRPr="00C43E54" w:rsidRDefault="008F7BFA" w:rsidP="008F7BFA">
            <w:pPr>
              <w:pStyle w:val="ae"/>
            </w:pPr>
            <w:r>
              <w:t>1</w:t>
            </w:r>
            <w:r w:rsidR="002800E6">
              <w:t>8</w:t>
            </w:r>
          </w:p>
        </w:tc>
      </w:tr>
      <w:tr w:rsidR="008F7BFA" w:rsidRPr="00C43E54" w14:paraId="44EAF9EC" w14:textId="77777777" w:rsidTr="006D1D24">
        <w:tc>
          <w:tcPr>
            <w:tcW w:w="2708" w:type="dxa"/>
          </w:tcPr>
          <w:p w14:paraId="71FB6215" w14:textId="77777777" w:rsidR="008F7BFA" w:rsidRPr="00C33602" w:rsidRDefault="008F7BFA" w:rsidP="008F7BFA">
            <w:pPr>
              <w:pStyle w:val="ae"/>
              <w:rPr>
                <w:b/>
                <w:bCs/>
              </w:rPr>
            </w:pPr>
            <w:r w:rsidRPr="00C33602">
              <w:rPr>
                <w:b/>
                <w:bCs/>
              </w:rPr>
              <w:t>Utilities</w:t>
            </w:r>
            <w:r>
              <w:rPr>
                <w:b/>
                <w:bCs/>
              </w:rPr>
              <w:t xml:space="preserve"> (Коммунальные услуги)</w:t>
            </w:r>
          </w:p>
        </w:tc>
        <w:tc>
          <w:tcPr>
            <w:tcW w:w="2411" w:type="dxa"/>
          </w:tcPr>
          <w:p w14:paraId="53EEA142" w14:textId="0F618B38" w:rsidR="008F7BFA" w:rsidRPr="00C43E54" w:rsidRDefault="005B55F2" w:rsidP="008F7BFA">
            <w:pPr>
              <w:pStyle w:val="ae"/>
            </w:pPr>
            <w:r w:rsidRPr="007F3ABE">
              <w:t>-</w:t>
            </w:r>
            <w:r>
              <w:t>0,</w:t>
            </w:r>
            <w:r w:rsidRPr="007F3ABE">
              <w:t>023</w:t>
            </w:r>
          </w:p>
        </w:tc>
        <w:tc>
          <w:tcPr>
            <w:tcW w:w="2419" w:type="dxa"/>
          </w:tcPr>
          <w:p w14:paraId="04AD54E5" w14:textId="0A322D8F" w:rsidR="008F7BFA" w:rsidRPr="00C43E54" w:rsidRDefault="005B55F2" w:rsidP="008F7BFA">
            <w:pPr>
              <w:pStyle w:val="ae"/>
            </w:pPr>
            <w:r>
              <w:t>0,</w:t>
            </w:r>
            <w:r w:rsidRPr="008212C9">
              <w:t>055</w:t>
            </w:r>
          </w:p>
        </w:tc>
        <w:tc>
          <w:tcPr>
            <w:tcW w:w="1892" w:type="dxa"/>
          </w:tcPr>
          <w:p w14:paraId="089E8899" w14:textId="7173E84B" w:rsidR="008F7BFA" w:rsidRPr="00C43E54" w:rsidRDefault="002800E6" w:rsidP="008F7BFA">
            <w:pPr>
              <w:pStyle w:val="ae"/>
            </w:pPr>
            <w:r>
              <w:t>36</w:t>
            </w:r>
          </w:p>
        </w:tc>
      </w:tr>
    </w:tbl>
    <w:p w14:paraId="7A58B155" w14:textId="005D8736" w:rsidR="00280BB0" w:rsidRPr="00131067" w:rsidRDefault="00280BB0" w:rsidP="005B55F2">
      <w:pPr>
        <w:pStyle w:val="a"/>
        <w:numPr>
          <w:ilvl w:val="0"/>
          <w:numId w:val="0"/>
        </w:numPr>
        <w:jc w:val="both"/>
      </w:pPr>
    </w:p>
    <w:p w14:paraId="5C2A15C4" w14:textId="5973E9BD" w:rsidR="00280BB0" w:rsidRDefault="00280BB0" w:rsidP="0028358E"/>
    <w:p w14:paraId="6788AC1C" w14:textId="3549DB41" w:rsidR="00D110C0" w:rsidRDefault="00D110C0" w:rsidP="00332AE4">
      <w:r>
        <w:t xml:space="preserve">При отраслевом анализе только для двух отраслей были получены статистичсеки значимые значения </w:t>
      </w:r>
      <w:r>
        <w:rPr>
          <w:lang w:val="en-US"/>
        </w:rPr>
        <w:t>CAAR</w:t>
      </w:r>
      <w:r w:rsidRPr="009217DB">
        <w:t xml:space="preserve">. </w:t>
      </w:r>
      <w:r w:rsidR="00332AE4">
        <w:t>На</w:t>
      </w:r>
      <w:r>
        <w:t xml:space="preserve"> 1%-ом уровне значимости оказалась значимой от нуля накопленная </w:t>
      </w:r>
      <w:r w:rsidR="00332AE4">
        <w:t>доходность для</w:t>
      </w:r>
      <w:r>
        <w:t xml:space="preserve"> сектора </w:t>
      </w:r>
      <w:r>
        <w:rPr>
          <w:lang w:val="en-US"/>
        </w:rPr>
        <w:t>Materials</w:t>
      </w:r>
      <w:r>
        <w:t xml:space="preserve">, или иначе говоря, металлургической отрасли. Отрицательное значение </w:t>
      </w:r>
      <w:r>
        <w:rPr>
          <w:lang w:val="en-US"/>
        </w:rPr>
        <w:t>CAAR</w:t>
      </w:r>
      <w:r w:rsidRPr="009217DB">
        <w:t xml:space="preserve"> </w:t>
      </w:r>
      <w:r>
        <w:t xml:space="preserve">-0,043 почти вдвое </w:t>
      </w:r>
      <w:r w:rsidR="00332AE4">
        <w:t>больше,</w:t>
      </w:r>
      <w:r>
        <w:t xml:space="preserve"> чем </w:t>
      </w:r>
      <w:r>
        <w:rPr>
          <w:lang w:val="en-US"/>
        </w:rPr>
        <w:t>CAAR</w:t>
      </w:r>
      <w:r w:rsidRPr="009217DB">
        <w:t xml:space="preserve"> </w:t>
      </w:r>
      <w:r>
        <w:t xml:space="preserve">для всей выборки российских компаний, что говорит о том, что отрицательная реакция на негативный дивидендный сюрприз в случае металлургов была в </w:t>
      </w:r>
      <w:r w:rsidR="00332AE4">
        <w:t>сильнее, чем в среднем по рынку. Это можно объяснить тем, что крупные металлургические холдинги вроде НЛМК или Северстали исторически имеют высокую дивидендную доходность и считаются «дойными коровами», соответственно в случае неоправдания ожиданий инвесторов в отношении дивидендов, действительно могут столкнуться с негативной реакцией на рынке.</w:t>
      </w:r>
    </w:p>
    <w:p w14:paraId="433C2392" w14:textId="382CEA52" w:rsidR="00131067" w:rsidRDefault="00332AE4" w:rsidP="00BD6ABB">
      <w:r>
        <w:t xml:space="preserve">Также на 10%-ом уровне значимости оказалась отличной от нуля </w:t>
      </w:r>
      <w:r>
        <w:rPr>
          <w:lang w:val="en-US"/>
        </w:rPr>
        <w:t>CAAR</w:t>
      </w:r>
      <w:r w:rsidRPr="009217DB">
        <w:t xml:space="preserve"> </w:t>
      </w:r>
      <w:r>
        <w:t xml:space="preserve">для сектора </w:t>
      </w:r>
      <w:r>
        <w:rPr>
          <w:lang w:val="en-US"/>
        </w:rPr>
        <w:t>Enenrgy</w:t>
      </w:r>
      <w:r w:rsidRPr="009217DB">
        <w:t xml:space="preserve">, </w:t>
      </w:r>
      <w:r>
        <w:t xml:space="preserve">которая составила 0,04, тоже значительно превысив аналогичное значение по всей выборке. </w:t>
      </w:r>
      <w:r w:rsidR="00BD6ABB">
        <w:t xml:space="preserve">В этот сектор входят такие гиганты, как Газпром, Татнефть, Лукойл и другие нефтегазовые компании, которые, так же считаются «дойными коровами» в плане дивидендных выплат. Такой результат согласуется с предыдущими исследованиями российского рынка (Теплова Т., 2008, И. Березинец и др., 2017). </w:t>
      </w:r>
    </w:p>
    <w:p w14:paraId="6D56A0CF" w14:textId="77777777" w:rsidR="00131067" w:rsidRDefault="00131067" w:rsidP="0028358E"/>
    <w:p w14:paraId="710708E6" w14:textId="5CAA090E" w:rsidR="0028358E" w:rsidRDefault="004059C2" w:rsidP="0028358E">
      <w:pPr>
        <w:pStyle w:val="3"/>
      </w:pPr>
      <w:bookmarkStart w:id="40" w:name="_Toc104840371"/>
      <w:r>
        <w:t>3.</w:t>
      </w:r>
      <w:r w:rsidR="00837BBA">
        <w:t>5.2</w:t>
      </w:r>
      <w:r>
        <w:t xml:space="preserve"> </w:t>
      </w:r>
      <w:r w:rsidR="0028358E">
        <w:t>Результаты для китайского рынка</w:t>
      </w:r>
      <w:r w:rsidR="00837BBA">
        <w:t>, интерпретация и отраслевой анализ</w:t>
      </w:r>
      <w:bookmarkEnd w:id="40"/>
    </w:p>
    <w:p w14:paraId="2A91C736" w14:textId="2E13E097" w:rsidR="004059C2" w:rsidRPr="00D80362" w:rsidRDefault="004059C2" w:rsidP="004059C2">
      <w:r>
        <w:t xml:space="preserve">На Рисунке </w:t>
      </w:r>
      <w:r w:rsidR="003E330F">
        <w:t>1</w:t>
      </w:r>
      <w:r w:rsidR="00314FDF">
        <w:t xml:space="preserve">4 </w:t>
      </w:r>
      <w:r>
        <w:t xml:space="preserve">представлен график средней избыточной доходности </w:t>
      </w:r>
      <w:r>
        <w:rPr>
          <w:lang w:val="en-US"/>
        </w:rPr>
        <w:t>AAR</w:t>
      </w:r>
      <w:r>
        <w:t xml:space="preserve">. </w:t>
      </w:r>
    </w:p>
    <w:p w14:paraId="35942E12" w14:textId="50698D3E" w:rsidR="004059C2" w:rsidRDefault="00A60453" w:rsidP="004059C2">
      <w:pPr>
        <w:pStyle w:val="a9"/>
      </w:pPr>
      <w:r>
        <w:rPr>
          <w:noProof/>
        </w:rPr>
        <w:drawing>
          <wp:inline distT="0" distB="0" distL="0" distR="0" wp14:anchorId="29533E9B" wp14:editId="7B102153">
            <wp:extent cx="4572000" cy="2743200"/>
            <wp:effectExtent l="0" t="0" r="0" b="0"/>
            <wp:docPr id="15" name="Диаграмма 15">
              <a:extLst xmlns:a="http://schemas.openxmlformats.org/drawingml/2006/main">
                <a:ext uri="{FF2B5EF4-FFF2-40B4-BE49-F238E27FC236}">
                  <a16:creationId xmlns:a16="http://schemas.microsoft.com/office/drawing/2014/main" id="{246A6F17-6D6C-4C72-B961-203A4EB42B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C5C745D" w14:textId="796AA9AB" w:rsidR="00A60453" w:rsidRDefault="00A60453" w:rsidP="00A60453">
      <w:pPr>
        <w:pStyle w:val="a0"/>
      </w:pPr>
      <w:r>
        <w:t>Средняя избыточная доходность для китайской выборки</w:t>
      </w:r>
      <w:r w:rsidRPr="00A60453">
        <w:t xml:space="preserve"> </w:t>
      </w:r>
      <w:r>
        <w:t>в окне события</w:t>
      </w:r>
    </w:p>
    <w:p w14:paraId="0755FABC" w14:textId="0F8FED83" w:rsidR="004059C2" w:rsidRDefault="004059C2" w:rsidP="004059C2">
      <w:r>
        <w:t>В день события для случая «позитивного сюрприза» средняя избыточная доходность оказалась положительной и составила 0,</w:t>
      </w:r>
      <w:r w:rsidR="00A60453">
        <w:t>1</w:t>
      </w:r>
      <w:r>
        <w:t xml:space="preserve">8%, при этом </w:t>
      </w:r>
      <w:r w:rsidR="00A60453">
        <w:t>данное</w:t>
      </w:r>
      <w:r>
        <w:t xml:space="preserve"> значение оказалось </w:t>
      </w:r>
      <w:r w:rsidR="00A60453">
        <w:t>не</w:t>
      </w:r>
      <w:r>
        <w:t>значимым</w:t>
      </w:r>
      <w:r w:rsidR="00A60453">
        <w:t xml:space="preserve">. </w:t>
      </w:r>
      <w:r>
        <w:t>С</w:t>
      </w:r>
      <w:r w:rsidRPr="002C2518">
        <w:t xml:space="preserve">редняя избыточная доходность значимо отличается от нуля в день t = </w:t>
      </w:r>
      <w:r w:rsidR="00A60453">
        <w:t>4</w:t>
      </w:r>
      <w:r>
        <w:t xml:space="preserve"> </w:t>
      </w:r>
      <w:r w:rsidRPr="002C2518">
        <w:t xml:space="preserve">(на </w:t>
      </w:r>
      <w:r>
        <w:t>1</w:t>
      </w:r>
      <w:r w:rsidRPr="002C2518">
        <w:t>%-м уровне значимости)</w:t>
      </w:r>
      <w:r w:rsidR="00A60453">
        <w:t xml:space="preserve"> и составляет 0,68%. </w:t>
      </w:r>
    </w:p>
    <w:p w14:paraId="0880AAF5" w14:textId="553E9C12" w:rsidR="004059C2" w:rsidRDefault="004059C2" w:rsidP="004059C2">
      <w:r>
        <w:t>В день события для случая «негативного сюрприза» средняя избыточная доходность оказалась отрицательной и составила -0,</w:t>
      </w:r>
      <w:r w:rsidR="00A60453">
        <w:t>44</w:t>
      </w:r>
      <w:r>
        <w:t xml:space="preserve">%, при этом это значение оказалось значимым от нуля </w:t>
      </w:r>
      <w:r w:rsidRPr="002C2518">
        <w:t xml:space="preserve">на </w:t>
      </w:r>
      <w:r w:rsidR="009F1EDD">
        <w:t>5</w:t>
      </w:r>
      <w:r w:rsidRPr="002C2518">
        <w:t>%-м уровне значимости</w:t>
      </w:r>
      <w:r>
        <w:t xml:space="preserve">. </w:t>
      </w:r>
      <w:r w:rsidR="009F1EDD">
        <w:t xml:space="preserve">Значимыми также оказались отрицательные значения </w:t>
      </w:r>
      <w:r w:rsidR="009F1EDD">
        <w:rPr>
          <w:lang w:val="en-US"/>
        </w:rPr>
        <w:t>AAR</w:t>
      </w:r>
      <w:r w:rsidR="009F1EDD" w:rsidRPr="009217DB">
        <w:t xml:space="preserve"> </w:t>
      </w:r>
      <w:r w:rsidR="009F1EDD">
        <w:t xml:space="preserve">для </w:t>
      </w:r>
      <w:r w:rsidR="009F1EDD">
        <w:rPr>
          <w:lang w:val="en-US"/>
        </w:rPr>
        <w:t>t</w:t>
      </w:r>
      <w:r w:rsidR="009F1EDD" w:rsidRPr="009217DB">
        <w:t xml:space="preserve">=7 </w:t>
      </w:r>
      <w:r w:rsidR="009F1EDD">
        <w:t xml:space="preserve">и </w:t>
      </w:r>
      <w:r w:rsidR="009F1EDD">
        <w:rPr>
          <w:lang w:val="en-US"/>
        </w:rPr>
        <w:t>t</w:t>
      </w:r>
      <w:r w:rsidR="009F1EDD" w:rsidRPr="009217DB">
        <w:t>=8</w:t>
      </w:r>
      <w:r w:rsidR="009F1EDD">
        <w:t>.</w:t>
      </w:r>
      <w:r w:rsidR="009F1EDD" w:rsidRPr="009217DB">
        <w:t xml:space="preserve"> </w:t>
      </w:r>
      <w:r>
        <w:t>При этом также</w:t>
      </w:r>
      <w:r w:rsidR="009F1EDD">
        <w:t xml:space="preserve"> </w:t>
      </w:r>
      <w:r>
        <w:t>был</w:t>
      </w:r>
      <w:r w:rsidR="009F1EDD">
        <w:t>и</w:t>
      </w:r>
      <w:r>
        <w:t xml:space="preserve"> зафикисирован</w:t>
      </w:r>
      <w:r w:rsidR="009F1EDD">
        <w:t>ы</w:t>
      </w:r>
      <w:r>
        <w:t xml:space="preserve"> значени</w:t>
      </w:r>
      <w:r w:rsidR="009F1EDD">
        <w:t>я</w:t>
      </w:r>
      <w:r>
        <w:t xml:space="preserve"> </w:t>
      </w:r>
      <w:r>
        <w:rPr>
          <w:lang w:val="en-US"/>
        </w:rPr>
        <w:t>AAR</w:t>
      </w:r>
      <w:r w:rsidRPr="009217DB">
        <w:t xml:space="preserve">, </w:t>
      </w:r>
      <w:r>
        <w:t>значимо отличающееся от нуля, в д</w:t>
      </w:r>
      <w:r w:rsidR="009F1EDD">
        <w:t>ни</w:t>
      </w:r>
      <w:r>
        <w:t xml:space="preserve"> до дня объявления </w:t>
      </w:r>
      <w:r>
        <w:rPr>
          <w:lang w:val="en-US"/>
        </w:rPr>
        <w:t>t</w:t>
      </w:r>
      <w:r w:rsidRPr="009217DB">
        <w:t xml:space="preserve"> = -</w:t>
      </w:r>
      <w:r w:rsidR="009F1EDD">
        <w:t xml:space="preserve">1 и </w:t>
      </w:r>
      <w:r w:rsidR="009F1EDD">
        <w:rPr>
          <w:lang w:val="en-US"/>
        </w:rPr>
        <w:t>t</w:t>
      </w:r>
      <w:r w:rsidR="009F1EDD" w:rsidRPr="009217DB">
        <w:t xml:space="preserve"> = -5</w:t>
      </w:r>
      <w:r w:rsidRPr="009217DB">
        <w:t xml:space="preserve">, </w:t>
      </w:r>
      <w:r>
        <w:t xml:space="preserve">что </w:t>
      </w:r>
      <w:r w:rsidR="009F1EDD">
        <w:t>свидетельствует в пользу распространения инсайдерской информации на китайском рынке</w:t>
      </w:r>
      <w:r>
        <w:t xml:space="preserve">. </w:t>
      </w:r>
    </w:p>
    <w:p w14:paraId="4B2B365F" w14:textId="33C3001D" w:rsidR="004059C2" w:rsidRDefault="004059C2" w:rsidP="004059C2">
      <w:r>
        <w:t>Обратимся к значению накопленной средней избыточной доходности на Рисунке 1</w:t>
      </w:r>
      <w:r w:rsidR="00314FDF">
        <w:t>5</w:t>
      </w:r>
      <w:r>
        <w:t>.</w:t>
      </w:r>
    </w:p>
    <w:p w14:paraId="476BD7ED" w14:textId="09A679DA" w:rsidR="009F1EDD" w:rsidRDefault="009F1EDD" w:rsidP="004059C2">
      <w:r>
        <w:rPr>
          <w:noProof/>
        </w:rPr>
        <w:drawing>
          <wp:inline distT="0" distB="0" distL="0" distR="0" wp14:anchorId="3055FDE4" wp14:editId="27AF42E8">
            <wp:extent cx="4832350" cy="2794000"/>
            <wp:effectExtent l="0" t="0" r="6350" b="6350"/>
            <wp:docPr id="17" name="Диаграмма 17">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DA4E204" w14:textId="15159518" w:rsidR="004059C2" w:rsidRPr="00B61DC9" w:rsidRDefault="003E330F" w:rsidP="003E330F">
      <w:pPr>
        <w:pStyle w:val="a0"/>
      </w:pPr>
      <w:r>
        <w:t>Накопленная средняя избыточная доходность для китайской выборки</w:t>
      </w:r>
    </w:p>
    <w:p w14:paraId="297F8CC5" w14:textId="05E2F7C3" w:rsidR="004059C2" w:rsidRDefault="004059C2" w:rsidP="004059C2">
      <w:r w:rsidRPr="009217DB">
        <w:t xml:space="preserve">На графике </w:t>
      </w:r>
      <w:r>
        <w:rPr>
          <w:lang w:val="en-US"/>
        </w:rPr>
        <w:t>CAAR</w:t>
      </w:r>
      <w:r w:rsidRPr="009217DB">
        <w:t xml:space="preserve"> </w:t>
      </w:r>
      <w:r>
        <w:t>для случая «позитивного сюрприза» можно заметить</w:t>
      </w:r>
      <w:r w:rsidRPr="009217DB">
        <w:t xml:space="preserve"> ярко выраженн</w:t>
      </w:r>
      <w:r>
        <w:t>ую</w:t>
      </w:r>
      <w:r w:rsidRPr="009217DB">
        <w:t xml:space="preserve"> тенденци</w:t>
      </w:r>
      <w:r>
        <w:t>ю</w:t>
      </w:r>
      <w:r w:rsidRPr="009217DB">
        <w:t xml:space="preserve"> к </w:t>
      </w:r>
      <w:r>
        <w:t xml:space="preserve">возрастанию </w:t>
      </w:r>
      <w:r w:rsidRPr="009217DB">
        <w:t xml:space="preserve">в </w:t>
      </w:r>
      <w:r>
        <w:t>10</w:t>
      </w:r>
      <w:r w:rsidRPr="009217DB">
        <w:t>-дневном окне события.</w:t>
      </w:r>
      <w:r>
        <w:t xml:space="preserve"> </w:t>
      </w:r>
      <w:r w:rsidRPr="009217DB">
        <w:t xml:space="preserve">К </w:t>
      </w:r>
      <w:r>
        <w:t>10</w:t>
      </w:r>
      <w:r w:rsidRPr="009217DB">
        <w:t>-му дню окна событий накопленная избыточная доходность</w:t>
      </w:r>
      <w:r>
        <w:t xml:space="preserve"> </w:t>
      </w:r>
      <w:r w:rsidRPr="009217DB">
        <w:t xml:space="preserve">достигает значения </w:t>
      </w:r>
      <w:r w:rsidR="003E330F">
        <w:t>1,86</w:t>
      </w:r>
      <w:r w:rsidRPr="009217DB">
        <w:t>%</w:t>
      </w:r>
      <w:r>
        <w:t xml:space="preserve"> и </w:t>
      </w:r>
      <w:r w:rsidRPr="002C2518">
        <w:t xml:space="preserve">значимо отличается от нуля на </w:t>
      </w:r>
      <w:r w:rsidR="003E330F">
        <w:t>1</w:t>
      </w:r>
      <w:r w:rsidRPr="002C2518">
        <w:t>%-м уровне значимости</w:t>
      </w:r>
      <w:r w:rsidRPr="009217DB">
        <w:t>.</w:t>
      </w:r>
    </w:p>
    <w:p w14:paraId="1D4828D3" w14:textId="2AB6E26D" w:rsidR="004059C2" w:rsidRDefault="004059C2" w:rsidP="004059C2">
      <w:r>
        <w:t>Что касается «негативного сюрприза», цены на рынке ведут себя совсем иначе. Можно заметить</w:t>
      </w:r>
      <w:r w:rsidRPr="009217DB">
        <w:t xml:space="preserve"> ярко выраженн</w:t>
      </w:r>
      <w:r>
        <w:t>ую</w:t>
      </w:r>
      <w:r w:rsidRPr="009217DB">
        <w:t xml:space="preserve"> тенденци</w:t>
      </w:r>
      <w:r>
        <w:t>ю</w:t>
      </w:r>
      <w:r w:rsidRPr="009217DB">
        <w:t xml:space="preserve"> </w:t>
      </w:r>
      <w:r>
        <w:rPr>
          <w:lang w:val="en-US"/>
        </w:rPr>
        <w:t>CAAR</w:t>
      </w:r>
      <w:r w:rsidRPr="009217DB">
        <w:t xml:space="preserve"> к </w:t>
      </w:r>
      <w:r>
        <w:t>убыванию, к</w:t>
      </w:r>
      <w:r w:rsidRPr="009217DB">
        <w:t xml:space="preserve"> </w:t>
      </w:r>
      <w:r>
        <w:t>10</w:t>
      </w:r>
      <w:r w:rsidRPr="009217DB">
        <w:t xml:space="preserve">-му дню </w:t>
      </w:r>
      <w:r>
        <w:t>относительно</w:t>
      </w:r>
      <w:r w:rsidRPr="009217DB">
        <w:t xml:space="preserve"> </w:t>
      </w:r>
      <w:r>
        <w:t xml:space="preserve">дня </w:t>
      </w:r>
      <w:r w:rsidRPr="009217DB">
        <w:t>событи</w:t>
      </w:r>
      <w:r>
        <w:t>я</w:t>
      </w:r>
      <w:r w:rsidRPr="009217DB">
        <w:t xml:space="preserve"> накопленная избыточная доходность достигает значения </w:t>
      </w:r>
      <w:r>
        <w:t>-</w:t>
      </w:r>
      <w:r w:rsidR="003E330F">
        <w:t>1,95</w:t>
      </w:r>
      <w:r w:rsidRPr="009217DB">
        <w:t>%</w:t>
      </w:r>
      <w:r>
        <w:t xml:space="preserve">, которое </w:t>
      </w:r>
      <w:r w:rsidRPr="002C2518">
        <w:t xml:space="preserve">значимо отличается от нуля </w:t>
      </w:r>
      <w:r>
        <w:t xml:space="preserve">на </w:t>
      </w:r>
      <w:r w:rsidR="003E330F">
        <w:t>1</w:t>
      </w:r>
      <w:r>
        <w:t xml:space="preserve">%-ом уровне занчимости. </w:t>
      </w:r>
    </w:p>
    <w:p w14:paraId="7452F686" w14:textId="13A7C6F3" w:rsidR="004059C2" w:rsidRPr="009217DB" w:rsidRDefault="004059C2" w:rsidP="004059C2">
      <w:r>
        <w:t xml:space="preserve">Можно заключить, что </w:t>
      </w:r>
      <w:r w:rsidR="003E330F">
        <w:t>китайский</w:t>
      </w:r>
      <w:r>
        <w:t xml:space="preserve"> рынок</w:t>
      </w:r>
      <w:r w:rsidR="003E330F">
        <w:t>, так же, как и российский,</w:t>
      </w:r>
      <w:r>
        <w:t xml:space="preserve"> положительно реагирует на новость о позитивном дивидендном сюрпризе и отрицательно реагирует на новость о негативном дивидендом сюрпризе, что согласуется с сигнальной теорией. </w:t>
      </w:r>
    </w:p>
    <w:p w14:paraId="67510A14" w14:textId="0E374913" w:rsidR="00173360" w:rsidRDefault="00173360" w:rsidP="00750259">
      <w:r>
        <w:t>Данные результаты схожи с ранними исследованиями лишь отчасти: на китайском рынке в разные периоды также была зафиксирована положительная реакция на позитивный дивидендный сюрприз, однако, реакция на негативный сюрприз была либо позитивной (</w:t>
      </w:r>
      <w:r w:rsidRPr="00173360">
        <w:t>Dar-Hsin Chen et al., 2009),</w:t>
      </w:r>
      <w:r>
        <w:t xml:space="preserve"> либо незначимой </w:t>
      </w:r>
      <w:r w:rsidRPr="00173360">
        <w:t>(Zuguang et al., 2010)</w:t>
      </w:r>
      <w:r>
        <w:t>.</w:t>
      </w:r>
      <w:r w:rsidR="00822303">
        <w:t xml:space="preserve"> </w:t>
      </w:r>
      <w:r w:rsidR="009B12FC">
        <w:t>Важно отметить, что периоды наблюдений в данных исследовани</w:t>
      </w:r>
      <w:r w:rsidR="001E7CBD">
        <w:t>ях</w:t>
      </w:r>
      <w:r w:rsidR="009B12FC">
        <w:t xml:space="preserve"> охватывали временные отрезки не позже 2009</w:t>
      </w:r>
      <w:r w:rsidR="001E7CBD">
        <w:t xml:space="preserve"> </w:t>
      </w:r>
      <w:r w:rsidR="009B12FC">
        <w:t xml:space="preserve">г. В данной же работе рассматривается период </w:t>
      </w:r>
      <w:r w:rsidR="00B449AF">
        <w:t>2016–</w:t>
      </w:r>
      <w:r w:rsidR="001E7CBD">
        <w:t>2019 гг.</w:t>
      </w:r>
      <w:r w:rsidR="009B12FC">
        <w:t>, и именно изменения, произошедшие накануне и в течение данного периода, могли способствовать получен</w:t>
      </w:r>
      <w:r w:rsidR="001E7CBD">
        <w:t>ию несколько иных</w:t>
      </w:r>
      <w:r w:rsidR="009B12FC">
        <w:t xml:space="preserve"> </w:t>
      </w:r>
      <w:r w:rsidR="001E7CBD">
        <w:t>результатов, а именно:</w:t>
      </w:r>
    </w:p>
    <w:p w14:paraId="3AA39A0B" w14:textId="286003E8" w:rsidR="009B12FC" w:rsidRPr="009217DB" w:rsidRDefault="009B12FC" w:rsidP="009B12FC">
      <w:pPr>
        <w:pStyle w:val="af7"/>
        <w:numPr>
          <w:ilvl w:val="0"/>
          <w:numId w:val="16"/>
        </w:numPr>
        <w:spacing w:line="360" w:lineRule="auto"/>
        <w:rPr>
          <w:rFonts w:ascii="Times New Roman" w:hAnsi="Times New Roman" w:cs="Times New Roman"/>
          <w:sz w:val="24"/>
          <w:szCs w:val="24"/>
        </w:rPr>
      </w:pPr>
      <w:r w:rsidRPr="00130D1D">
        <w:rPr>
          <w:rFonts w:ascii="Times New Roman" w:hAnsi="Times New Roman" w:cs="Times New Roman"/>
          <w:sz w:val="24"/>
          <w:szCs w:val="24"/>
        </w:rPr>
        <w:t>Изменения в структуре собственности компаний после введения реформы о дробной структуре акций</w:t>
      </w:r>
    </w:p>
    <w:p w14:paraId="0682AA56" w14:textId="5DCD4A8E" w:rsidR="009B12FC" w:rsidRDefault="009B12FC" w:rsidP="009B12FC">
      <w:pPr>
        <w:pStyle w:val="af7"/>
        <w:spacing w:line="360" w:lineRule="auto"/>
        <w:ind w:left="1069"/>
        <w:rPr>
          <w:rFonts w:ascii="Times New Roman" w:hAnsi="Times New Roman" w:cs="Times New Roman"/>
        </w:rPr>
      </w:pPr>
    </w:p>
    <w:p w14:paraId="1A49EDF0" w14:textId="4CA4B896" w:rsidR="0028358E" w:rsidRDefault="009B12FC" w:rsidP="0085365A">
      <w:r>
        <w:t xml:space="preserve">До 2005г. в Китае действовала система дробной структуры акций: </w:t>
      </w:r>
      <w:r w:rsidR="00D047BC">
        <w:t>1</w:t>
      </w:r>
      <w:r w:rsidR="00D047BC" w:rsidRPr="009217DB">
        <w:t>/3</w:t>
      </w:r>
      <w:r>
        <w:t xml:space="preserve"> акций свободно обращалась на рынке</w:t>
      </w:r>
      <w:r w:rsidR="00D047BC">
        <w:t xml:space="preserve"> (</w:t>
      </w:r>
      <w:r w:rsidR="00D047BC">
        <w:rPr>
          <w:lang w:val="en-US"/>
        </w:rPr>
        <w:t>tradable</w:t>
      </w:r>
      <w:r w:rsidR="00D047BC" w:rsidRPr="009217DB">
        <w:t xml:space="preserve"> </w:t>
      </w:r>
      <w:r w:rsidR="00D047BC">
        <w:rPr>
          <w:lang w:val="en-US"/>
        </w:rPr>
        <w:t>shares</w:t>
      </w:r>
      <w:r w:rsidR="00D047BC" w:rsidRPr="009217DB">
        <w:t>)</w:t>
      </w:r>
      <w:r>
        <w:t xml:space="preserve">, в то время как </w:t>
      </w:r>
      <w:r w:rsidR="00D047BC">
        <w:t>2</w:t>
      </w:r>
      <w:r w:rsidR="00D047BC" w:rsidRPr="009217DB">
        <w:t>/</w:t>
      </w:r>
      <w:r w:rsidR="00D047BC">
        <w:t>3 акций находились в собственности одних и тех же лиц и не могли обращаться на рынке</w:t>
      </w:r>
      <w:r w:rsidR="00D047BC" w:rsidRPr="009217DB">
        <w:t xml:space="preserve"> (</w:t>
      </w:r>
      <w:r w:rsidR="00D047BC">
        <w:rPr>
          <w:lang w:val="en-US"/>
        </w:rPr>
        <w:t>non</w:t>
      </w:r>
      <w:r w:rsidR="00D047BC" w:rsidRPr="009217DB">
        <w:t>-</w:t>
      </w:r>
      <w:r w:rsidR="00D047BC">
        <w:rPr>
          <w:lang w:val="en-US"/>
        </w:rPr>
        <w:t>tradable</w:t>
      </w:r>
      <w:r w:rsidR="00D047BC" w:rsidRPr="009217DB">
        <w:t xml:space="preserve"> </w:t>
      </w:r>
      <w:r w:rsidR="00D047BC">
        <w:rPr>
          <w:lang w:val="en-US"/>
        </w:rPr>
        <w:t>shares</w:t>
      </w:r>
      <w:r w:rsidR="00D047BC" w:rsidRPr="009217DB">
        <w:t>)</w:t>
      </w:r>
      <w:r w:rsidR="00D047BC">
        <w:t>. При этом второй тип акций часто находился в руках контролирующего собственника, в половине случаев – государства и его дочерних компаний. Держатель второго типа акций (</w:t>
      </w:r>
      <w:r w:rsidR="00D047BC">
        <w:rPr>
          <w:lang w:val="en-US"/>
        </w:rPr>
        <w:t>non</w:t>
      </w:r>
      <w:r w:rsidR="00D047BC" w:rsidRPr="009217DB">
        <w:t>-</w:t>
      </w:r>
      <w:r w:rsidR="00D047BC">
        <w:rPr>
          <w:lang w:val="en-US"/>
        </w:rPr>
        <w:t>tradable</w:t>
      </w:r>
      <w:r w:rsidR="00D047BC" w:rsidRPr="009217DB">
        <w:t xml:space="preserve"> </w:t>
      </w:r>
      <w:r w:rsidR="00D047BC">
        <w:rPr>
          <w:lang w:val="en-US"/>
        </w:rPr>
        <w:t>shares</w:t>
      </w:r>
      <w:r w:rsidR="00D047BC">
        <w:t>) не мог получать доход от прироста капитала, поэтому был заинтересован исключительно в дивидендном доходе</w:t>
      </w:r>
      <w:r w:rsidR="00D047BC" w:rsidRPr="009217DB">
        <w:t xml:space="preserve">; </w:t>
      </w:r>
      <w:r w:rsidR="00D047BC">
        <w:t>в то же время держатели первого типа акций (</w:t>
      </w:r>
      <w:r w:rsidR="00D047BC">
        <w:rPr>
          <w:lang w:val="en-US"/>
        </w:rPr>
        <w:t>tradable</w:t>
      </w:r>
      <w:r w:rsidR="00D047BC" w:rsidRPr="009217DB">
        <w:t xml:space="preserve"> </w:t>
      </w:r>
      <w:r w:rsidR="00D047BC">
        <w:rPr>
          <w:lang w:val="en-US"/>
        </w:rPr>
        <w:t>shares</w:t>
      </w:r>
      <w:r w:rsidR="00D047BC" w:rsidRPr="009217DB">
        <w:t>)</w:t>
      </w:r>
      <w:r w:rsidR="00D047BC">
        <w:t xml:space="preserve">, наоборот, были больше заинтересованы в доходе от прироста капитала, поскольку он не облагается налогом в Китае, в отличии от дивидендов. Это приводило к серьезным конфликтам интересов между миноритарными и мажоритарными собственниками. В 2005 г. в Китае была </w:t>
      </w:r>
      <w:r w:rsidR="00B449AF">
        <w:t>инициирована</w:t>
      </w:r>
      <w:r w:rsidR="00D047BC">
        <w:t xml:space="preserve"> реформа по отказу от систем</w:t>
      </w:r>
      <w:r w:rsidR="0085365A">
        <w:t>ы</w:t>
      </w:r>
      <w:r w:rsidR="00D047BC">
        <w:t xml:space="preserve"> дробной структуры акций</w:t>
      </w:r>
      <w:r w:rsidR="0085365A">
        <w:t xml:space="preserve">, при этом держатели неторгуемых акций должны были их конвертировать не единоразово, а постепенно: не более </w:t>
      </w:r>
      <w:r w:rsidR="00DC0ED4">
        <w:t>10</w:t>
      </w:r>
      <w:r w:rsidR="0085365A">
        <w:t xml:space="preserve">% в течение </w:t>
      </w:r>
      <w:r w:rsidR="00DC0ED4">
        <w:t>перв</w:t>
      </w:r>
      <w:r w:rsidR="00024A64">
        <w:t xml:space="preserve">ых двух лет. </w:t>
      </w:r>
      <w:r w:rsidR="0085365A">
        <w:t>Таким образом, в период 2016 - 2019гг.</w:t>
      </w:r>
      <w:r w:rsidR="00024A64">
        <w:t xml:space="preserve"> акции </w:t>
      </w:r>
      <w:r w:rsidR="0085365A">
        <w:t xml:space="preserve">типа </w:t>
      </w:r>
      <w:r w:rsidR="0085365A">
        <w:rPr>
          <w:lang w:val="en-US"/>
        </w:rPr>
        <w:t>non</w:t>
      </w:r>
      <w:r w:rsidR="0085365A" w:rsidRPr="009217DB">
        <w:t>-</w:t>
      </w:r>
      <w:r w:rsidR="0085365A">
        <w:rPr>
          <w:lang w:val="en-US"/>
        </w:rPr>
        <w:t>tradable</w:t>
      </w:r>
      <w:r w:rsidR="0085365A">
        <w:t xml:space="preserve"> уже</w:t>
      </w:r>
      <w:r w:rsidR="0085365A" w:rsidRPr="009217DB">
        <w:t xml:space="preserve"> </w:t>
      </w:r>
      <w:r w:rsidR="0085365A">
        <w:t>перешл</w:t>
      </w:r>
      <w:r w:rsidR="00024A64">
        <w:t>и</w:t>
      </w:r>
      <w:r w:rsidR="0085365A">
        <w:t xml:space="preserve"> в статус свободно обращающихся на рынке, и можно наблюдать результаты применения этой реформы. </w:t>
      </w:r>
      <w:r w:rsidR="007946B1">
        <w:t xml:space="preserve">В работе Yufan Zhao и Sin Huei Ng (2021) авторы собрали данные по 800 компаниям и выявили, что средняя доля компаний с контролируемым собственником за </w:t>
      </w:r>
      <w:r w:rsidR="00093841">
        <w:t>2004–</w:t>
      </w:r>
      <w:r w:rsidR="003F3593">
        <w:t>2017 гг.</w:t>
      </w:r>
      <w:r w:rsidR="00694DE7">
        <w:t xml:space="preserve"> </w:t>
      </w:r>
      <w:r w:rsidR="007946B1">
        <w:t>снизилась с 37,9% до 16,31%</w:t>
      </w:r>
      <w:r w:rsidR="00694DE7">
        <w:t xml:space="preserve">, </w:t>
      </w:r>
      <w:r w:rsidR="007946B1">
        <w:t xml:space="preserve">что увеличилась доля независимых директоров в компаниях, </w:t>
      </w:r>
      <w:r w:rsidR="00694DE7">
        <w:t xml:space="preserve">дивидендные выплаты стали более стабильными. Реакция рынка на рост дивидендов до и после реформы была положительной, при этом авторы отметили, что для компаний с высокой концентрацией собственности реакция может быть </w:t>
      </w:r>
      <w:r w:rsidR="00EB21BA">
        <w:t>негативной в</w:t>
      </w:r>
      <w:r w:rsidR="00694DE7">
        <w:t xml:space="preserve"> связи с </w:t>
      </w:r>
      <w:r w:rsidR="00694DE7" w:rsidRPr="009217DB">
        <w:t>“</w:t>
      </w:r>
      <w:r w:rsidR="00694DE7">
        <w:rPr>
          <w:lang w:val="en-US"/>
        </w:rPr>
        <w:t>tunnel</w:t>
      </w:r>
      <w:r w:rsidR="00694DE7" w:rsidRPr="009217DB">
        <w:t xml:space="preserve"> </w:t>
      </w:r>
      <w:r w:rsidR="00694DE7">
        <w:rPr>
          <w:lang w:val="en-US"/>
        </w:rPr>
        <w:t>effect</w:t>
      </w:r>
      <w:r w:rsidR="00694DE7" w:rsidRPr="009217DB">
        <w:t xml:space="preserve">”, </w:t>
      </w:r>
      <w:r w:rsidR="00694DE7">
        <w:t xml:space="preserve">то есть </w:t>
      </w:r>
      <w:r w:rsidR="001725CF">
        <w:t xml:space="preserve">склонностью контролирующих собственников выводить деньги из компании для своих личных целей. Также отмечается, что появилась связь дивидендов со свободным денежным потоком, которой не было до реформы, что говорит о том, что дивиденды стали инструментом по ограничению свободного денежного потока в руках менеджеров. </w:t>
      </w:r>
      <w:r w:rsidR="00CD5FDC">
        <w:rPr>
          <w:rStyle w:val="aff"/>
        </w:rPr>
        <w:footnoteReference w:id="60"/>
      </w:r>
    </w:p>
    <w:p w14:paraId="5384C1F5" w14:textId="4551DD92" w:rsidR="00EB21BA" w:rsidRPr="00CF1B04" w:rsidRDefault="001725CF" w:rsidP="001725CF">
      <w:pPr>
        <w:rPr>
          <w:szCs w:val="24"/>
        </w:rPr>
      </w:pPr>
      <w:r>
        <w:t xml:space="preserve">Таким образом, после введения реформы дивиденды стали </w:t>
      </w:r>
      <w:r w:rsidR="00093841">
        <w:t>более стабильными,</w:t>
      </w:r>
      <w:r w:rsidR="00EB21BA">
        <w:t xml:space="preserve"> и их сигнальная роль возросла, что и могло стать причиной полученных в данной работе результатов.</w:t>
      </w:r>
      <w:r w:rsidR="00DF441C">
        <w:t xml:space="preserve"> Неудвитиельно, что в раннем исследовании (</w:t>
      </w:r>
      <w:r w:rsidR="00DF441C" w:rsidRPr="00173360">
        <w:t>Dar-Hsin Chen et al., 2009)</w:t>
      </w:r>
      <w:r w:rsidR="00DF441C">
        <w:t xml:space="preserve">, до развертывания реформы 2005г. реакция на негативный дивидендный сюрприз была положительной: для инвесторов это могло означать, что больше денег остается в компании, а не </w:t>
      </w:r>
      <w:r w:rsidR="00ED2486">
        <w:t>изымается контролирующим собственником в личных целях.</w:t>
      </w:r>
    </w:p>
    <w:p w14:paraId="16A6B0C2" w14:textId="77777777" w:rsidR="00CF1B04" w:rsidRPr="00CF1B04" w:rsidRDefault="00CF1B04" w:rsidP="00EB21BA">
      <w:pPr>
        <w:pStyle w:val="af7"/>
        <w:numPr>
          <w:ilvl w:val="0"/>
          <w:numId w:val="16"/>
        </w:numPr>
        <w:rPr>
          <w:rFonts w:ascii="Times New Roman" w:hAnsi="Times New Roman" w:cs="Times New Roman"/>
          <w:sz w:val="24"/>
          <w:szCs w:val="24"/>
        </w:rPr>
      </w:pPr>
      <w:r w:rsidRPr="00CF1B04">
        <w:rPr>
          <w:rFonts w:ascii="Times New Roman" w:hAnsi="Times New Roman" w:cs="Times New Roman"/>
          <w:sz w:val="24"/>
          <w:szCs w:val="24"/>
        </w:rPr>
        <w:t>Изменение налогообложения дивидендов</w:t>
      </w:r>
    </w:p>
    <w:p w14:paraId="19992159" w14:textId="0D733CFD" w:rsidR="001725CF" w:rsidRDefault="00CF1B04" w:rsidP="00CF1B04">
      <w:r w:rsidRPr="00CF1B04">
        <w:t xml:space="preserve">В 2015г. </w:t>
      </w:r>
      <w:r w:rsidR="00EB21BA" w:rsidRPr="00CF1B04">
        <w:t xml:space="preserve"> </w:t>
      </w:r>
      <w:r w:rsidR="00C126C7">
        <w:t xml:space="preserve">Комиссией по ценным бумагам Китая была инициирована реформа, согласно которой вводился дифференцированный налог на дивиденды: для держателей акций до 1 месяца действовала ставка налога 20%, от месяца до 1 года – 10%, более 1 года – 0%. Таким образом, если раньше </w:t>
      </w:r>
      <w:r w:rsidR="00093841">
        <w:t>доход от прироста капитала имел преимущество с точки зрения налога по сравнению с дивидендами, так как он не облагался налогом</w:t>
      </w:r>
      <w:r w:rsidR="00C126C7">
        <w:t xml:space="preserve">, то с 2016 года при условии долгосрочного инвестирования </w:t>
      </w:r>
      <w:r w:rsidR="00093841">
        <w:t>это преимущество стало нерелевантным. Следовательно, можно предположить, что какая-то часть инвесторов стала отдавать предпочтение именно дивидендному доходу, и «база клиентов» дивидендных акций увеличилась. Расширение этой базы могло послужить тому, что рынок стал негативно реагировать на объявления о дивидендах ниже ожидаемого уровня.</w:t>
      </w:r>
    </w:p>
    <w:p w14:paraId="18F762F2" w14:textId="659B97C2" w:rsidR="00072ADD" w:rsidRDefault="00072ADD" w:rsidP="00CF1B04"/>
    <w:p w14:paraId="2A3E1A1C" w14:textId="6F19B1A4" w:rsidR="00072ADD" w:rsidRDefault="00072ADD" w:rsidP="00072ADD">
      <w:r>
        <w:t>3) Лопнувший «пузырь» фондового рынка в 2015 г.</w:t>
      </w:r>
    </w:p>
    <w:p w14:paraId="47C0C28C" w14:textId="5063FA07" w:rsidR="00072ADD" w:rsidRDefault="00072ADD" w:rsidP="00072ADD">
      <w:r>
        <w:t xml:space="preserve">Летом 2015 г. рыночный индекс Китая потерял треть своей стоимости за пару месяцев. Причиной было то, что рынок был чрезвычайно перегрет, в разы опережая стоимость реальной экономики, из-за притока необразованных инвесторов на биржу и роста спекуляций. Кроме того, правительство Китая не только не пыталось предотвратить этот обвал, но, наоборот, только «надувало пузырь», пропагандируя инвестиции в фондовой рынок, снижая процентную ставку и </w:t>
      </w:r>
      <w:r w:rsidRPr="00072ADD">
        <w:t>ослабляя требования к условиям маржинального кредитования.</w:t>
      </w:r>
    </w:p>
    <w:p w14:paraId="267BAC8C" w14:textId="7204E4CF" w:rsidR="00072ADD" w:rsidRDefault="00072ADD" w:rsidP="00072ADD">
      <w:r>
        <w:t xml:space="preserve">После подобного обвала, </w:t>
      </w:r>
      <w:r w:rsidRPr="002334F7">
        <w:t>рейтинговое агентство </w:t>
      </w:r>
      <w:hyperlink r:id="rId25" w:tooltip="Moody’s" w:history="1">
        <w:r w:rsidRPr="002334F7">
          <w:t>Moody’s</w:t>
        </w:r>
      </w:hyperlink>
      <w:r w:rsidRPr="002334F7">
        <w:t> приняло решение о понижении прогноза по кредитному рейтингу Китая со «стабильного» до «негативного»</w:t>
      </w:r>
      <w:r w:rsidR="002334F7" w:rsidRPr="002334F7">
        <w:t>;</w:t>
      </w:r>
      <w:r w:rsidRPr="002334F7">
        <w:t xml:space="preserve"> внутренние инвесторы </w:t>
      </w:r>
      <w:r w:rsidR="002334F7" w:rsidRPr="002334F7">
        <w:t>тоже поняли, что китайский рынок «опасен»: его изолированность от зарубежных инвестиций созда</w:t>
      </w:r>
      <w:r w:rsidR="002334F7">
        <w:t xml:space="preserve">ла </w:t>
      </w:r>
      <w:r w:rsidR="002334F7" w:rsidRPr="002334F7">
        <w:t>идеальную среду для спекулятивных сделок внутри страны, а гиперцентрализованное правительство уделяет мало внимания проблемам фондового рынка, фокусируясь на вопросах реальной экономики.</w:t>
      </w:r>
      <w:r w:rsidR="002334F7">
        <w:t xml:space="preserve"> В этих «опасных» условиях боле надежным представляется именно </w:t>
      </w:r>
      <w:r w:rsidR="003A440F">
        <w:t>регулярный доход</w:t>
      </w:r>
      <w:r w:rsidR="002334F7">
        <w:t xml:space="preserve"> от инвестиций в виде дивидендов, а не надежда на долгосрочный рост акций.</w:t>
      </w:r>
      <w:r w:rsidR="00614C65">
        <w:rPr>
          <w:rStyle w:val="aff"/>
        </w:rPr>
        <w:footnoteReference w:id="61"/>
      </w:r>
    </w:p>
    <w:p w14:paraId="563FA306" w14:textId="77777777" w:rsidR="00072ADD" w:rsidRDefault="00072ADD" w:rsidP="00072ADD"/>
    <w:p w14:paraId="74417D71" w14:textId="4DCFF8ED" w:rsidR="002477A8" w:rsidRPr="00072ADD" w:rsidRDefault="00072ADD" w:rsidP="00072ADD">
      <w:r>
        <w:t xml:space="preserve">4) </w:t>
      </w:r>
      <w:r w:rsidR="002477A8" w:rsidRPr="00072ADD">
        <w:rPr>
          <w:rFonts w:cs="Times New Roman"/>
          <w:color w:val="222222"/>
          <w:szCs w:val="24"/>
          <w:shd w:val="clear" w:color="auto" w:fill="FFFFFF"/>
        </w:rPr>
        <w:t xml:space="preserve">Торговая война с США, </w:t>
      </w:r>
      <w:r w:rsidR="007A5D73" w:rsidRPr="00072ADD">
        <w:rPr>
          <w:rFonts w:cs="Times New Roman"/>
          <w:color w:val="222222"/>
          <w:szCs w:val="24"/>
          <w:shd w:val="clear" w:color="auto" w:fill="FFFFFF"/>
        </w:rPr>
        <w:t>ставшая</w:t>
      </w:r>
      <w:r w:rsidR="00C209DC" w:rsidRPr="00072ADD">
        <w:rPr>
          <w:rFonts w:cs="Times New Roman"/>
          <w:color w:val="222222"/>
          <w:szCs w:val="24"/>
          <w:shd w:val="clear" w:color="auto" w:fill="FFFFFF"/>
        </w:rPr>
        <w:t xml:space="preserve"> причиной </w:t>
      </w:r>
      <w:r w:rsidR="002477A8" w:rsidRPr="00072ADD">
        <w:rPr>
          <w:rFonts w:cs="Times New Roman"/>
          <w:color w:val="222222"/>
          <w:szCs w:val="24"/>
          <w:shd w:val="clear" w:color="auto" w:fill="FFFFFF"/>
        </w:rPr>
        <w:t>высок</w:t>
      </w:r>
      <w:r w:rsidR="00C209DC" w:rsidRPr="00072ADD">
        <w:rPr>
          <w:rFonts w:cs="Times New Roman"/>
          <w:color w:val="222222"/>
          <w:szCs w:val="24"/>
          <w:shd w:val="clear" w:color="auto" w:fill="FFFFFF"/>
        </w:rPr>
        <w:t xml:space="preserve">ой </w:t>
      </w:r>
      <w:r w:rsidR="002477A8" w:rsidRPr="00072ADD">
        <w:rPr>
          <w:rFonts w:cs="Times New Roman"/>
          <w:color w:val="222222"/>
          <w:szCs w:val="24"/>
          <w:shd w:val="clear" w:color="auto" w:fill="FFFFFF"/>
        </w:rPr>
        <w:t>неопределенност</w:t>
      </w:r>
      <w:r w:rsidR="00C209DC" w:rsidRPr="00072ADD">
        <w:rPr>
          <w:rFonts w:cs="Times New Roman"/>
          <w:color w:val="222222"/>
          <w:szCs w:val="24"/>
          <w:shd w:val="clear" w:color="auto" w:fill="FFFFFF"/>
        </w:rPr>
        <w:t>и и</w:t>
      </w:r>
      <w:r w:rsidR="002477A8" w:rsidRPr="00072ADD">
        <w:rPr>
          <w:rFonts w:cs="Times New Roman"/>
          <w:color w:val="222222"/>
          <w:szCs w:val="24"/>
          <w:shd w:val="clear" w:color="auto" w:fill="FFFFFF"/>
        </w:rPr>
        <w:t xml:space="preserve"> напряжен</w:t>
      </w:r>
      <w:r w:rsidR="00C209DC" w:rsidRPr="00072ADD">
        <w:rPr>
          <w:rFonts w:cs="Times New Roman"/>
          <w:color w:val="222222"/>
          <w:szCs w:val="24"/>
          <w:shd w:val="clear" w:color="auto" w:fill="FFFFFF"/>
        </w:rPr>
        <w:t>ности</w:t>
      </w:r>
      <w:r w:rsidR="002477A8" w:rsidRPr="00072ADD">
        <w:rPr>
          <w:rFonts w:cs="Times New Roman"/>
          <w:color w:val="222222"/>
          <w:szCs w:val="24"/>
          <w:shd w:val="clear" w:color="auto" w:fill="FFFFFF"/>
        </w:rPr>
        <w:t xml:space="preserve"> на фондовом рынке</w:t>
      </w:r>
    </w:p>
    <w:p w14:paraId="40B23B51" w14:textId="77C63EBC" w:rsidR="0028358E" w:rsidRDefault="007A5D73" w:rsidP="00750259">
      <w:r>
        <w:t xml:space="preserve">В 2018 году США ввели тарифы на экспортную продукцию из Китая: 30% на солнечные панели и 20% на стиральные машины. Позднее список товаров, попадающих под тарифы, расширился и стал охватывать продукцию отраслей машиностроения, </w:t>
      </w:r>
      <w:r w:rsidR="003A440F">
        <w:t>информационных</w:t>
      </w:r>
      <w:r>
        <w:t xml:space="preserve"> технологий, космонавтики. Вскоре Китай наложил ответные тарифы на импорт из США, и торговая война стала только </w:t>
      </w:r>
      <w:r w:rsidR="003A440F">
        <w:t>усугубляться</w:t>
      </w:r>
      <w:r>
        <w:t>. На этом фоне с китайского рынка начали уходить иностранные инвесторы в связи с повышенными рисками. Многие крупные компании</w:t>
      </w:r>
      <w:r w:rsidR="005F2135">
        <w:t xml:space="preserve"> (более 300 публичных компаний)</w:t>
      </w:r>
      <w:r>
        <w:t xml:space="preserve"> отчитались об убытках </w:t>
      </w:r>
      <w:r w:rsidR="005F2135">
        <w:t>за год более чем 15 млн долл., во-первых, в связи с тарифами на экспорт в США, а во-вторых, в связи с общим мрачным настроением внутренних потребителей, которые стали меньше потреблять, что отразилось в рекордном падении продаж автомобилей и электроники. Эти события стали оказывать давление на фондовый рынок Китая: рыночный индекс Шанхая в 2018г. второй год подряд показал худшую динамику в мире, упав на 24,6%</w:t>
      </w:r>
      <w:r w:rsidR="0067677B">
        <w:t xml:space="preserve">, а средний </w:t>
      </w:r>
      <w:r w:rsidR="003A440F">
        <w:t>торговый</w:t>
      </w:r>
      <w:r w:rsidR="0067677B">
        <w:t xml:space="preserve"> оборот за день на обеих биржах Шанхая и Шеньженя достиг своего минимума с 2014 г. – 54 млрд долл.</w:t>
      </w:r>
      <w:r w:rsidR="0067677B">
        <w:tab/>
      </w:r>
    </w:p>
    <w:p w14:paraId="2A5CB0B5" w14:textId="3B0C65A3" w:rsidR="0067677B" w:rsidRDefault="0067677B" w:rsidP="00750259">
      <w:r>
        <w:t xml:space="preserve">Снижение показателей производства и экспортных продаж на фоне торговой войны, общее замедление роста экономики (6,6% в 2018 г. – самое </w:t>
      </w:r>
      <w:r w:rsidR="003A440F">
        <w:t>н</w:t>
      </w:r>
      <w:r>
        <w:t xml:space="preserve">изкое значение роста ВВП за 28 лет), снижение котировок китайских компаний на фондовом рынке – все это подрывало доверие инвесторов к будущему китайских акций, и как следствие, вероятно, </w:t>
      </w:r>
      <w:r w:rsidR="00F57064">
        <w:t xml:space="preserve">росла ценность </w:t>
      </w:r>
      <w:r w:rsidR="003A440F">
        <w:t>дивидендных</w:t>
      </w:r>
      <w:r w:rsidR="00F57064">
        <w:t xml:space="preserve"> выплат. Кроме того, дивиденды служили сигналом о финансовом состоянии компаний, многие из которых потерпели убытки в период торговой войны. Так, выплата дивидендов ниже консенсуса могла интерпретироваться инвесторами как опасения компаний по поводу получения прибылей в будущем и вызывать негативную реакцию.</w:t>
      </w:r>
      <w:r w:rsidR="00ED2486">
        <w:rPr>
          <w:rStyle w:val="aff"/>
        </w:rPr>
        <w:footnoteReference w:id="62"/>
      </w:r>
    </w:p>
    <w:p w14:paraId="0FAE1913" w14:textId="2504B7C9" w:rsidR="0028358E" w:rsidRDefault="0028358E" w:rsidP="00750259"/>
    <w:p w14:paraId="410B513E" w14:textId="77777777" w:rsidR="0028358E" w:rsidRDefault="0028358E" w:rsidP="00750259"/>
    <w:p w14:paraId="187F045B" w14:textId="7EE72CAA" w:rsidR="00B470B0" w:rsidRDefault="005E1CF3" w:rsidP="00C33602">
      <w:pPr>
        <w:rPr>
          <w:b/>
          <w:bCs/>
        </w:rPr>
      </w:pPr>
      <w:r>
        <w:rPr>
          <w:b/>
          <w:bCs/>
        </w:rPr>
        <w:t>Результаты анализа в разрезе отраслей</w:t>
      </w:r>
    </w:p>
    <w:p w14:paraId="4F28459C" w14:textId="77777777" w:rsidR="00C33602" w:rsidRDefault="00C33602" w:rsidP="00C33602">
      <w:pPr>
        <w:rPr>
          <w:b/>
          <w:bCs/>
        </w:rPr>
      </w:pPr>
    </w:p>
    <w:p w14:paraId="37E44AB0" w14:textId="1D2300E8" w:rsidR="00C33602" w:rsidRPr="00131067" w:rsidRDefault="00C33602" w:rsidP="00C33602">
      <w:pPr>
        <w:pStyle w:val="a"/>
      </w:pPr>
      <w:r>
        <w:t xml:space="preserve">Значение </w:t>
      </w:r>
      <w:r>
        <w:rPr>
          <w:lang w:val="en-US"/>
        </w:rPr>
        <w:t xml:space="preserve">CAAR </w:t>
      </w:r>
      <w:r>
        <w:t>в разрезе отраслей</w:t>
      </w:r>
      <w:r w:rsidR="00CE3A33">
        <w:t xml:space="preserve"> для выборки китайских компаний</w:t>
      </w:r>
    </w:p>
    <w:tbl>
      <w:tblPr>
        <w:tblStyle w:val="ad"/>
        <w:tblW w:w="0" w:type="auto"/>
        <w:tblLook w:val="04A0" w:firstRow="1" w:lastRow="0" w:firstColumn="1" w:lastColumn="0" w:noHBand="0" w:noVBand="1"/>
      </w:tblPr>
      <w:tblGrid>
        <w:gridCol w:w="2708"/>
        <w:gridCol w:w="2411"/>
        <w:gridCol w:w="2419"/>
        <w:gridCol w:w="1892"/>
      </w:tblGrid>
      <w:tr w:rsidR="006369A9" w14:paraId="57886296" w14:textId="16F29306" w:rsidTr="006369A9">
        <w:trPr>
          <w:trHeight w:val="416"/>
          <w:tblHeader/>
        </w:trPr>
        <w:tc>
          <w:tcPr>
            <w:tcW w:w="2708" w:type="dxa"/>
          </w:tcPr>
          <w:p w14:paraId="3445AA78" w14:textId="77777777" w:rsidR="006369A9" w:rsidRDefault="006369A9" w:rsidP="006D1D24">
            <w:pPr>
              <w:ind w:firstLine="0"/>
              <w:rPr>
                <w:b/>
                <w:bCs/>
              </w:rPr>
            </w:pPr>
          </w:p>
        </w:tc>
        <w:tc>
          <w:tcPr>
            <w:tcW w:w="2411" w:type="dxa"/>
          </w:tcPr>
          <w:p w14:paraId="6FA99DF3" w14:textId="77777777" w:rsidR="006369A9" w:rsidRDefault="006369A9" w:rsidP="006D1D24">
            <w:pPr>
              <w:pStyle w:val="ac"/>
              <w:rPr>
                <w:bCs/>
              </w:rPr>
            </w:pPr>
            <w:r w:rsidRPr="00A03FF8">
              <w:rPr>
                <w:lang w:val="en-US"/>
              </w:rPr>
              <w:t xml:space="preserve">CAAR </w:t>
            </w:r>
            <w:r w:rsidRPr="00A03FF8">
              <w:t>для негативного сюрприза</w:t>
            </w:r>
          </w:p>
        </w:tc>
        <w:tc>
          <w:tcPr>
            <w:tcW w:w="2419" w:type="dxa"/>
          </w:tcPr>
          <w:p w14:paraId="591D63BE" w14:textId="77777777" w:rsidR="006369A9" w:rsidRDefault="006369A9" w:rsidP="006D1D24">
            <w:pPr>
              <w:pStyle w:val="ac"/>
              <w:rPr>
                <w:bCs/>
              </w:rPr>
            </w:pPr>
            <w:r w:rsidRPr="00A03FF8">
              <w:rPr>
                <w:lang w:val="en-US"/>
              </w:rPr>
              <w:t xml:space="preserve">CAAR </w:t>
            </w:r>
            <w:r w:rsidRPr="00A03FF8">
              <w:t>для позитивного сюрприза</w:t>
            </w:r>
          </w:p>
        </w:tc>
        <w:tc>
          <w:tcPr>
            <w:tcW w:w="1892" w:type="dxa"/>
          </w:tcPr>
          <w:p w14:paraId="72FF1063" w14:textId="6BCBF40A" w:rsidR="006369A9" w:rsidRPr="006369A9" w:rsidRDefault="006369A9" w:rsidP="006D1D24">
            <w:pPr>
              <w:pStyle w:val="ac"/>
            </w:pPr>
            <w:r>
              <w:t xml:space="preserve">Число </w:t>
            </w:r>
            <w:r w:rsidR="001E03F5">
              <w:t>наблюдений</w:t>
            </w:r>
            <w:r>
              <w:t xml:space="preserve"> в выборке</w:t>
            </w:r>
          </w:p>
        </w:tc>
      </w:tr>
      <w:tr w:rsidR="006369A9" w:rsidRPr="00C43E54" w14:paraId="59C626E4" w14:textId="3E24A38C" w:rsidTr="006369A9">
        <w:trPr>
          <w:trHeight w:val="416"/>
          <w:tblHeader/>
        </w:trPr>
        <w:tc>
          <w:tcPr>
            <w:tcW w:w="2708" w:type="dxa"/>
          </w:tcPr>
          <w:p w14:paraId="263B0A48" w14:textId="3CCD2DE6" w:rsidR="006369A9" w:rsidRPr="00C33602" w:rsidRDefault="006369A9" w:rsidP="006D1D24">
            <w:pPr>
              <w:pStyle w:val="ae"/>
              <w:rPr>
                <w:b/>
                <w:bCs/>
              </w:rPr>
            </w:pPr>
            <w:r w:rsidRPr="00C33602">
              <w:rPr>
                <w:b/>
                <w:bCs/>
              </w:rPr>
              <w:t>Communication Services</w:t>
            </w:r>
            <w:r>
              <w:rPr>
                <w:b/>
                <w:bCs/>
              </w:rPr>
              <w:t xml:space="preserve"> (Коммуникационные сервисы)</w:t>
            </w:r>
          </w:p>
        </w:tc>
        <w:tc>
          <w:tcPr>
            <w:tcW w:w="2411" w:type="dxa"/>
          </w:tcPr>
          <w:p w14:paraId="42063450" w14:textId="77777777" w:rsidR="006369A9" w:rsidRPr="00C43E54" w:rsidRDefault="006369A9" w:rsidP="006D1D24">
            <w:pPr>
              <w:pStyle w:val="ae"/>
            </w:pPr>
            <w:r w:rsidRPr="00C43E54">
              <w:t>-0, 050</w:t>
            </w:r>
          </w:p>
        </w:tc>
        <w:tc>
          <w:tcPr>
            <w:tcW w:w="2419" w:type="dxa"/>
          </w:tcPr>
          <w:p w14:paraId="0311B7D5" w14:textId="77777777" w:rsidR="006369A9" w:rsidRPr="00C43E54" w:rsidRDefault="006369A9" w:rsidP="006D1D24">
            <w:pPr>
              <w:pStyle w:val="ae"/>
            </w:pPr>
            <w:r w:rsidRPr="00C43E54">
              <w:t>0,274</w:t>
            </w:r>
          </w:p>
        </w:tc>
        <w:tc>
          <w:tcPr>
            <w:tcW w:w="1892" w:type="dxa"/>
          </w:tcPr>
          <w:p w14:paraId="1EA2F5D2" w14:textId="1A8286F3" w:rsidR="006369A9" w:rsidRPr="00C43E54" w:rsidRDefault="008F7BFA" w:rsidP="006D1D24">
            <w:pPr>
              <w:pStyle w:val="ae"/>
            </w:pPr>
            <w:r>
              <w:t>3</w:t>
            </w:r>
          </w:p>
        </w:tc>
      </w:tr>
      <w:tr w:rsidR="006369A9" w:rsidRPr="00C43E54" w14:paraId="1019E622" w14:textId="6CBD4976" w:rsidTr="006369A9">
        <w:tc>
          <w:tcPr>
            <w:tcW w:w="2708" w:type="dxa"/>
          </w:tcPr>
          <w:p w14:paraId="21CEE1BB" w14:textId="78EE5F76" w:rsidR="006369A9" w:rsidRPr="00C33602" w:rsidRDefault="006369A9" w:rsidP="00CE3A33">
            <w:pPr>
              <w:pStyle w:val="ae"/>
              <w:rPr>
                <w:b/>
                <w:bCs/>
              </w:rPr>
            </w:pPr>
            <w:r w:rsidRPr="00C33602">
              <w:rPr>
                <w:b/>
                <w:bCs/>
              </w:rPr>
              <w:t>Energy</w:t>
            </w:r>
            <w:r>
              <w:rPr>
                <w:b/>
                <w:bCs/>
              </w:rPr>
              <w:t xml:space="preserve"> (Энергетика)</w:t>
            </w:r>
          </w:p>
        </w:tc>
        <w:tc>
          <w:tcPr>
            <w:tcW w:w="2411" w:type="dxa"/>
          </w:tcPr>
          <w:p w14:paraId="18B698CE" w14:textId="6BD1287A" w:rsidR="006369A9" w:rsidRPr="00C43E54" w:rsidRDefault="006369A9" w:rsidP="00CE3A33">
            <w:pPr>
              <w:pStyle w:val="ae"/>
            </w:pPr>
            <w:r w:rsidRPr="00C43E54">
              <w:t>-0,068**</w:t>
            </w:r>
          </w:p>
        </w:tc>
        <w:tc>
          <w:tcPr>
            <w:tcW w:w="2419" w:type="dxa"/>
          </w:tcPr>
          <w:p w14:paraId="3010D075" w14:textId="520ABED7" w:rsidR="006369A9" w:rsidRPr="00C43E54" w:rsidRDefault="006369A9" w:rsidP="00CE3A33">
            <w:pPr>
              <w:pStyle w:val="ae"/>
            </w:pPr>
            <w:r w:rsidRPr="00C43E54">
              <w:t>0,029</w:t>
            </w:r>
          </w:p>
        </w:tc>
        <w:tc>
          <w:tcPr>
            <w:tcW w:w="1892" w:type="dxa"/>
          </w:tcPr>
          <w:p w14:paraId="34B81B58" w14:textId="6D70AB84" w:rsidR="006369A9" w:rsidRPr="00C43E54" w:rsidRDefault="001E03F5" w:rsidP="00CE3A33">
            <w:pPr>
              <w:pStyle w:val="ae"/>
            </w:pPr>
            <w:r>
              <w:t>1</w:t>
            </w:r>
            <w:r w:rsidR="008F7BFA">
              <w:t>1</w:t>
            </w:r>
          </w:p>
        </w:tc>
      </w:tr>
      <w:tr w:rsidR="006369A9" w:rsidRPr="00C43E54" w14:paraId="5EE8F43D" w14:textId="15FDD2F7" w:rsidTr="006369A9">
        <w:tc>
          <w:tcPr>
            <w:tcW w:w="2708" w:type="dxa"/>
          </w:tcPr>
          <w:p w14:paraId="4A103698" w14:textId="39D04570" w:rsidR="006369A9" w:rsidRPr="00C33602" w:rsidRDefault="006369A9" w:rsidP="00CE3A33">
            <w:pPr>
              <w:pStyle w:val="ae"/>
              <w:rPr>
                <w:b/>
                <w:bCs/>
              </w:rPr>
            </w:pPr>
            <w:r w:rsidRPr="00C33602">
              <w:rPr>
                <w:b/>
                <w:bCs/>
              </w:rPr>
              <w:t>Сonsumer</w:t>
            </w:r>
            <w:r w:rsidRPr="00C33602">
              <w:rPr>
                <w:b/>
                <w:bCs/>
                <w:lang w:val="en-US"/>
              </w:rPr>
              <w:t xml:space="preserve"> </w:t>
            </w:r>
            <w:r w:rsidRPr="00C33602">
              <w:rPr>
                <w:b/>
                <w:bCs/>
              </w:rPr>
              <w:t>Staples</w:t>
            </w:r>
            <w:r>
              <w:rPr>
                <w:b/>
                <w:bCs/>
              </w:rPr>
              <w:t xml:space="preserve"> (</w:t>
            </w:r>
            <w:r w:rsidRPr="00CE3A33">
              <w:rPr>
                <w:b/>
                <w:bCs/>
              </w:rPr>
              <w:t xml:space="preserve">Потребительские товары </w:t>
            </w:r>
            <w:r>
              <w:rPr>
                <w:b/>
                <w:bCs/>
              </w:rPr>
              <w:t>ежедневного</w:t>
            </w:r>
            <w:r w:rsidRPr="00CE3A33">
              <w:rPr>
                <w:b/>
                <w:bCs/>
              </w:rPr>
              <w:t xml:space="preserve"> спроса</w:t>
            </w:r>
            <w:r>
              <w:rPr>
                <w:b/>
                <w:bCs/>
              </w:rPr>
              <w:t>)</w:t>
            </w:r>
          </w:p>
        </w:tc>
        <w:tc>
          <w:tcPr>
            <w:tcW w:w="2411" w:type="dxa"/>
          </w:tcPr>
          <w:p w14:paraId="6B0B438D" w14:textId="77777777" w:rsidR="006369A9" w:rsidRPr="00C43E54" w:rsidRDefault="006369A9" w:rsidP="00CE3A33">
            <w:pPr>
              <w:pStyle w:val="ae"/>
            </w:pPr>
            <w:r w:rsidRPr="00C43E54">
              <w:t>0,127</w:t>
            </w:r>
          </w:p>
        </w:tc>
        <w:tc>
          <w:tcPr>
            <w:tcW w:w="2419" w:type="dxa"/>
          </w:tcPr>
          <w:p w14:paraId="2A2B6C5D" w14:textId="77777777" w:rsidR="006369A9" w:rsidRPr="00C43E54" w:rsidRDefault="006369A9" w:rsidP="00CE3A33">
            <w:pPr>
              <w:pStyle w:val="ae"/>
            </w:pPr>
            <w:r w:rsidRPr="00C43E54">
              <w:t>-0,011</w:t>
            </w:r>
          </w:p>
        </w:tc>
        <w:tc>
          <w:tcPr>
            <w:tcW w:w="1892" w:type="dxa"/>
          </w:tcPr>
          <w:p w14:paraId="459318F5" w14:textId="0F94B7A7" w:rsidR="006369A9" w:rsidRPr="00C43E54" w:rsidRDefault="001E03F5" w:rsidP="00CE3A33">
            <w:pPr>
              <w:pStyle w:val="ae"/>
            </w:pPr>
            <w:r>
              <w:t>4</w:t>
            </w:r>
          </w:p>
        </w:tc>
      </w:tr>
      <w:tr w:rsidR="006369A9" w:rsidRPr="00C43E54" w14:paraId="53B0519D" w14:textId="373156EE" w:rsidTr="006369A9">
        <w:tc>
          <w:tcPr>
            <w:tcW w:w="2708" w:type="dxa"/>
          </w:tcPr>
          <w:p w14:paraId="3FD446AE" w14:textId="35AAD1AD" w:rsidR="006369A9" w:rsidRPr="00C33602" w:rsidRDefault="006369A9" w:rsidP="00CE3A33">
            <w:pPr>
              <w:pStyle w:val="ae"/>
              <w:rPr>
                <w:b/>
                <w:bCs/>
              </w:rPr>
            </w:pPr>
            <w:r w:rsidRPr="00C33602">
              <w:rPr>
                <w:b/>
                <w:bCs/>
              </w:rPr>
              <w:t>Consumer Discretionary</w:t>
            </w:r>
            <w:r>
              <w:rPr>
                <w:b/>
                <w:bCs/>
              </w:rPr>
              <w:t xml:space="preserve"> (</w:t>
            </w:r>
            <w:r w:rsidRPr="00CE3A33">
              <w:rPr>
                <w:b/>
                <w:bCs/>
              </w:rPr>
              <w:t>Потребительские товары выборочного спроса</w:t>
            </w:r>
            <w:r>
              <w:rPr>
                <w:b/>
                <w:bCs/>
              </w:rPr>
              <w:t>)</w:t>
            </w:r>
          </w:p>
        </w:tc>
        <w:tc>
          <w:tcPr>
            <w:tcW w:w="2411" w:type="dxa"/>
          </w:tcPr>
          <w:p w14:paraId="4DA85ECC" w14:textId="753ABA47" w:rsidR="006369A9" w:rsidRPr="00C43E54" w:rsidRDefault="006369A9" w:rsidP="00CE3A33">
            <w:pPr>
              <w:pStyle w:val="ae"/>
            </w:pPr>
            <w:r w:rsidRPr="00C43E54">
              <w:t>0,011</w:t>
            </w:r>
          </w:p>
        </w:tc>
        <w:tc>
          <w:tcPr>
            <w:tcW w:w="2419" w:type="dxa"/>
          </w:tcPr>
          <w:p w14:paraId="4F498CED" w14:textId="69092D3A" w:rsidR="006369A9" w:rsidRPr="00C43E54" w:rsidRDefault="006369A9" w:rsidP="00CE3A33">
            <w:pPr>
              <w:pStyle w:val="ae"/>
            </w:pPr>
            <w:r w:rsidRPr="00C43E54">
              <w:t>-0,010</w:t>
            </w:r>
          </w:p>
        </w:tc>
        <w:tc>
          <w:tcPr>
            <w:tcW w:w="1892" w:type="dxa"/>
          </w:tcPr>
          <w:p w14:paraId="7AE0BFD3" w14:textId="3613221B" w:rsidR="006369A9" w:rsidRPr="00C43E54" w:rsidRDefault="008F7BFA" w:rsidP="00CE3A33">
            <w:pPr>
              <w:pStyle w:val="ae"/>
            </w:pPr>
            <w:r>
              <w:t>18</w:t>
            </w:r>
          </w:p>
        </w:tc>
      </w:tr>
      <w:tr w:rsidR="006369A9" w:rsidRPr="00C43E54" w14:paraId="7BC60CF3" w14:textId="1B2BF9EA" w:rsidTr="006369A9">
        <w:tc>
          <w:tcPr>
            <w:tcW w:w="2708" w:type="dxa"/>
          </w:tcPr>
          <w:p w14:paraId="314B07D6" w14:textId="6F7D348C" w:rsidR="006369A9" w:rsidRPr="00C33602" w:rsidRDefault="006369A9" w:rsidP="00CE3A33">
            <w:pPr>
              <w:pStyle w:val="ae"/>
              <w:rPr>
                <w:b/>
                <w:bCs/>
              </w:rPr>
            </w:pPr>
            <w:r w:rsidRPr="00C33602">
              <w:rPr>
                <w:b/>
                <w:bCs/>
              </w:rPr>
              <w:t>Health</w:t>
            </w:r>
            <w:r w:rsidRPr="00C33602">
              <w:rPr>
                <w:b/>
                <w:bCs/>
                <w:lang w:val="en-US"/>
              </w:rPr>
              <w:t xml:space="preserve"> </w:t>
            </w:r>
            <w:r w:rsidRPr="00C33602">
              <w:rPr>
                <w:b/>
                <w:bCs/>
              </w:rPr>
              <w:t>Care</w:t>
            </w:r>
            <w:r>
              <w:rPr>
                <w:b/>
                <w:bCs/>
              </w:rPr>
              <w:t xml:space="preserve"> (Здравоохранение)</w:t>
            </w:r>
          </w:p>
        </w:tc>
        <w:tc>
          <w:tcPr>
            <w:tcW w:w="2411" w:type="dxa"/>
          </w:tcPr>
          <w:p w14:paraId="2678710A" w14:textId="77777777" w:rsidR="006369A9" w:rsidRPr="00C43E54" w:rsidRDefault="006369A9" w:rsidP="00CE3A33">
            <w:pPr>
              <w:pStyle w:val="ae"/>
            </w:pPr>
            <w:r w:rsidRPr="00C43E54">
              <w:t>-0,026</w:t>
            </w:r>
          </w:p>
        </w:tc>
        <w:tc>
          <w:tcPr>
            <w:tcW w:w="2419" w:type="dxa"/>
          </w:tcPr>
          <w:p w14:paraId="75954D5E" w14:textId="77777777" w:rsidR="006369A9" w:rsidRPr="00C43E54" w:rsidRDefault="006369A9" w:rsidP="00CE3A33">
            <w:pPr>
              <w:pStyle w:val="ae"/>
            </w:pPr>
            <w:r w:rsidRPr="00C43E54">
              <w:t>-0,010</w:t>
            </w:r>
          </w:p>
        </w:tc>
        <w:tc>
          <w:tcPr>
            <w:tcW w:w="1892" w:type="dxa"/>
          </w:tcPr>
          <w:p w14:paraId="011F4E05" w14:textId="275CE1D8" w:rsidR="006369A9" w:rsidRPr="00C43E54" w:rsidRDefault="006369A9" w:rsidP="00CE3A33">
            <w:pPr>
              <w:pStyle w:val="ae"/>
            </w:pPr>
            <w:r>
              <w:t>4</w:t>
            </w:r>
          </w:p>
        </w:tc>
      </w:tr>
      <w:tr w:rsidR="006369A9" w:rsidRPr="00C43E54" w14:paraId="02EEBB56" w14:textId="2900B849" w:rsidTr="006369A9">
        <w:tc>
          <w:tcPr>
            <w:tcW w:w="2708" w:type="dxa"/>
          </w:tcPr>
          <w:p w14:paraId="77EBC594" w14:textId="28ACE76F" w:rsidR="006369A9" w:rsidRPr="00C33602" w:rsidRDefault="006369A9" w:rsidP="00CE3A33">
            <w:pPr>
              <w:pStyle w:val="ae"/>
              <w:rPr>
                <w:b/>
                <w:bCs/>
              </w:rPr>
            </w:pPr>
            <w:r w:rsidRPr="00C33602">
              <w:rPr>
                <w:b/>
                <w:bCs/>
              </w:rPr>
              <w:t>Industrials</w:t>
            </w:r>
            <w:r>
              <w:rPr>
                <w:b/>
                <w:bCs/>
              </w:rPr>
              <w:t xml:space="preserve"> (Промышленность)</w:t>
            </w:r>
          </w:p>
        </w:tc>
        <w:tc>
          <w:tcPr>
            <w:tcW w:w="2411" w:type="dxa"/>
          </w:tcPr>
          <w:p w14:paraId="2B07AFFC" w14:textId="77777777" w:rsidR="006369A9" w:rsidRPr="00C43E54" w:rsidRDefault="006369A9" w:rsidP="00CE3A33">
            <w:pPr>
              <w:pStyle w:val="ae"/>
            </w:pPr>
            <w:r w:rsidRPr="00C43E54">
              <w:t>-0,031</w:t>
            </w:r>
          </w:p>
        </w:tc>
        <w:tc>
          <w:tcPr>
            <w:tcW w:w="2419" w:type="dxa"/>
          </w:tcPr>
          <w:p w14:paraId="60F71BB4" w14:textId="77777777" w:rsidR="006369A9" w:rsidRPr="00C43E54" w:rsidRDefault="006369A9" w:rsidP="00CE3A33">
            <w:pPr>
              <w:pStyle w:val="ae"/>
            </w:pPr>
            <w:r w:rsidRPr="00C43E54">
              <w:t>-0,030</w:t>
            </w:r>
          </w:p>
        </w:tc>
        <w:tc>
          <w:tcPr>
            <w:tcW w:w="1892" w:type="dxa"/>
          </w:tcPr>
          <w:p w14:paraId="1BAA9147" w14:textId="6874A101" w:rsidR="006369A9" w:rsidRPr="00C43E54" w:rsidRDefault="008F7BFA" w:rsidP="00CE3A33">
            <w:pPr>
              <w:pStyle w:val="ae"/>
            </w:pPr>
            <w:r>
              <w:t>16</w:t>
            </w:r>
          </w:p>
        </w:tc>
      </w:tr>
      <w:tr w:rsidR="006369A9" w:rsidRPr="00C43E54" w14:paraId="2538CAC7" w14:textId="79941E14" w:rsidTr="006369A9">
        <w:tc>
          <w:tcPr>
            <w:tcW w:w="2708" w:type="dxa"/>
          </w:tcPr>
          <w:p w14:paraId="1B9577C9" w14:textId="37CF0131" w:rsidR="006369A9" w:rsidRPr="00C33602" w:rsidRDefault="006369A9" w:rsidP="00CE3A33">
            <w:pPr>
              <w:pStyle w:val="ae"/>
              <w:rPr>
                <w:b/>
                <w:bCs/>
                <w:lang w:val="en-US"/>
              </w:rPr>
            </w:pPr>
            <w:r w:rsidRPr="00C33602">
              <w:rPr>
                <w:b/>
                <w:bCs/>
              </w:rPr>
              <w:t>Information</w:t>
            </w:r>
            <w:r w:rsidRPr="00C33602">
              <w:rPr>
                <w:b/>
                <w:bCs/>
                <w:lang w:val="en-US"/>
              </w:rPr>
              <w:t xml:space="preserve"> </w:t>
            </w:r>
            <w:r w:rsidRPr="00C33602">
              <w:rPr>
                <w:b/>
                <w:bCs/>
              </w:rPr>
              <w:t>Technology</w:t>
            </w:r>
            <w:r>
              <w:rPr>
                <w:b/>
                <w:bCs/>
              </w:rPr>
              <w:t xml:space="preserve"> (Информационные технологии)</w:t>
            </w:r>
          </w:p>
        </w:tc>
        <w:tc>
          <w:tcPr>
            <w:tcW w:w="2411" w:type="dxa"/>
          </w:tcPr>
          <w:p w14:paraId="50210D92" w14:textId="77777777" w:rsidR="006369A9" w:rsidRPr="00C43E54" w:rsidRDefault="006369A9" w:rsidP="00CE3A33">
            <w:pPr>
              <w:pStyle w:val="ae"/>
            </w:pPr>
            <w:r w:rsidRPr="00C43E54">
              <w:t>-0,006</w:t>
            </w:r>
          </w:p>
        </w:tc>
        <w:tc>
          <w:tcPr>
            <w:tcW w:w="2419" w:type="dxa"/>
          </w:tcPr>
          <w:p w14:paraId="1F1289AF" w14:textId="77777777" w:rsidR="006369A9" w:rsidRPr="00C43E54" w:rsidRDefault="006369A9" w:rsidP="00CE3A33">
            <w:pPr>
              <w:pStyle w:val="ae"/>
            </w:pPr>
            <w:r w:rsidRPr="00C43E54">
              <w:t>0,066**</w:t>
            </w:r>
          </w:p>
        </w:tc>
        <w:tc>
          <w:tcPr>
            <w:tcW w:w="1892" w:type="dxa"/>
          </w:tcPr>
          <w:p w14:paraId="4252E030" w14:textId="2B5DA9A8" w:rsidR="006369A9" w:rsidRPr="00C43E54" w:rsidRDefault="008F7BFA" w:rsidP="00CE3A33">
            <w:pPr>
              <w:pStyle w:val="ae"/>
            </w:pPr>
            <w:r>
              <w:t>39</w:t>
            </w:r>
          </w:p>
        </w:tc>
      </w:tr>
      <w:tr w:rsidR="006369A9" w:rsidRPr="00C43E54" w14:paraId="5EB68614" w14:textId="006F5780" w:rsidTr="006369A9">
        <w:tc>
          <w:tcPr>
            <w:tcW w:w="2708" w:type="dxa"/>
          </w:tcPr>
          <w:p w14:paraId="0EC803B8" w14:textId="2184FAAE" w:rsidR="006369A9" w:rsidRPr="00C33602" w:rsidRDefault="006369A9" w:rsidP="00CE3A33">
            <w:pPr>
              <w:pStyle w:val="ae"/>
              <w:rPr>
                <w:b/>
                <w:bCs/>
              </w:rPr>
            </w:pPr>
            <w:r w:rsidRPr="00C33602">
              <w:rPr>
                <w:b/>
                <w:bCs/>
              </w:rPr>
              <w:t>Materials</w:t>
            </w:r>
            <w:r>
              <w:rPr>
                <w:b/>
                <w:bCs/>
              </w:rPr>
              <w:t xml:space="preserve"> (Материалы)</w:t>
            </w:r>
          </w:p>
        </w:tc>
        <w:tc>
          <w:tcPr>
            <w:tcW w:w="2411" w:type="dxa"/>
          </w:tcPr>
          <w:p w14:paraId="2A437200" w14:textId="77777777" w:rsidR="006369A9" w:rsidRPr="00C43E54" w:rsidRDefault="006369A9" w:rsidP="00CE3A33">
            <w:pPr>
              <w:pStyle w:val="ae"/>
            </w:pPr>
            <w:r w:rsidRPr="00C43E54">
              <w:t>-0,003</w:t>
            </w:r>
          </w:p>
        </w:tc>
        <w:tc>
          <w:tcPr>
            <w:tcW w:w="2419" w:type="dxa"/>
          </w:tcPr>
          <w:p w14:paraId="787940C4" w14:textId="77777777" w:rsidR="006369A9" w:rsidRPr="00C43E54" w:rsidRDefault="006369A9" w:rsidP="00CE3A33">
            <w:pPr>
              <w:pStyle w:val="ae"/>
            </w:pPr>
            <w:r w:rsidRPr="00C43E54">
              <w:t>-0,044</w:t>
            </w:r>
          </w:p>
        </w:tc>
        <w:tc>
          <w:tcPr>
            <w:tcW w:w="1892" w:type="dxa"/>
          </w:tcPr>
          <w:p w14:paraId="4A7C769B" w14:textId="6BAABB99" w:rsidR="006369A9" w:rsidRPr="00C43E54" w:rsidRDefault="008F7BFA" w:rsidP="00CE3A33">
            <w:pPr>
              <w:pStyle w:val="ae"/>
            </w:pPr>
            <w:r>
              <w:t>19</w:t>
            </w:r>
          </w:p>
        </w:tc>
      </w:tr>
      <w:tr w:rsidR="006369A9" w:rsidRPr="00C43E54" w14:paraId="117F4017" w14:textId="23DEFF7D" w:rsidTr="006369A9">
        <w:tc>
          <w:tcPr>
            <w:tcW w:w="2708" w:type="dxa"/>
          </w:tcPr>
          <w:p w14:paraId="1B42963E" w14:textId="3B27EA8B" w:rsidR="006369A9" w:rsidRPr="00C33602" w:rsidRDefault="006369A9" w:rsidP="00CE3A33">
            <w:pPr>
              <w:pStyle w:val="ae"/>
              <w:rPr>
                <w:b/>
                <w:bCs/>
              </w:rPr>
            </w:pPr>
            <w:r w:rsidRPr="00C33602">
              <w:rPr>
                <w:b/>
                <w:bCs/>
              </w:rPr>
              <w:t>Utilities</w:t>
            </w:r>
            <w:r>
              <w:rPr>
                <w:b/>
                <w:bCs/>
              </w:rPr>
              <w:t xml:space="preserve"> (Коммунальные услуги)</w:t>
            </w:r>
          </w:p>
        </w:tc>
        <w:tc>
          <w:tcPr>
            <w:tcW w:w="2411" w:type="dxa"/>
          </w:tcPr>
          <w:p w14:paraId="648A8E5B" w14:textId="77777777" w:rsidR="006369A9" w:rsidRPr="00C43E54" w:rsidRDefault="006369A9" w:rsidP="00CE3A33">
            <w:pPr>
              <w:pStyle w:val="ae"/>
            </w:pPr>
            <w:r w:rsidRPr="00C43E54">
              <w:t>0,037</w:t>
            </w:r>
          </w:p>
        </w:tc>
        <w:tc>
          <w:tcPr>
            <w:tcW w:w="2419" w:type="dxa"/>
          </w:tcPr>
          <w:p w14:paraId="32841DFD" w14:textId="77777777" w:rsidR="006369A9" w:rsidRPr="00C43E54" w:rsidRDefault="006369A9" w:rsidP="00CE3A33">
            <w:pPr>
              <w:pStyle w:val="ae"/>
            </w:pPr>
            <w:r w:rsidRPr="00C43E54">
              <w:t>-0,062</w:t>
            </w:r>
          </w:p>
        </w:tc>
        <w:tc>
          <w:tcPr>
            <w:tcW w:w="1892" w:type="dxa"/>
          </w:tcPr>
          <w:p w14:paraId="3CFC21EC" w14:textId="5577F176" w:rsidR="006369A9" w:rsidRPr="00C43E54" w:rsidRDefault="001E03F5" w:rsidP="00CE3A33">
            <w:pPr>
              <w:pStyle w:val="ae"/>
            </w:pPr>
            <w:r>
              <w:t>4</w:t>
            </w:r>
          </w:p>
        </w:tc>
      </w:tr>
      <w:tr w:rsidR="006369A9" w:rsidRPr="00C43E54" w14:paraId="38F50A17" w14:textId="2FAE2776" w:rsidTr="006369A9">
        <w:tc>
          <w:tcPr>
            <w:tcW w:w="2708" w:type="dxa"/>
          </w:tcPr>
          <w:p w14:paraId="59CA6947" w14:textId="6E209BBE" w:rsidR="006369A9" w:rsidRPr="00236512" w:rsidRDefault="006369A9" w:rsidP="00CE3A33">
            <w:pPr>
              <w:pStyle w:val="ae"/>
              <w:rPr>
                <w:b/>
                <w:bCs/>
                <w:lang w:val="en-US"/>
              </w:rPr>
            </w:pPr>
            <w:r w:rsidRPr="00632F22">
              <w:rPr>
                <w:b/>
                <w:bCs/>
              </w:rPr>
              <w:t>Real Estate</w:t>
            </w:r>
            <w:r>
              <w:rPr>
                <w:b/>
                <w:bCs/>
              </w:rPr>
              <w:t xml:space="preserve"> (Недвижимость)</w:t>
            </w:r>
          </w:p>
        </w:tc>
        <w:tc>
          <w:tcPr>
            <w:tcW w:w="2411" w:type="dxa"/>
          </w:tcPr>
          <w:p w14:paraId="4535A81A" w14:textId="77777777" w:rsidR="006369A9" w:rsidRPr="00C43E54" w:rsidRDefault="006369A9" w:rsidP="00CE3A33">
            <w:pPr>
              <w:pStyle w:val="ae"/>
            </w:pPr>
            <w:r w:rsidRPr="00C43E54">
              <w:t>-0,055*</w:t>
            </w:r>
          </w:p>
        </w:tc>
        <w:tc>
          <w:tcPr>
            <w:tcW w:w="2419" w:type="dxa"/>
          </w:tcPr>
          <w:p w14:paraId="367EC915" w14:textId="77777777" w:rsidR="006369A9" w:rsidRPr="00C43E54" w:rsidRDefault="006369A9" w:rsidP="00CE3A33">
            <w:pPr>
              <w:pStyle w:val="ae"/>
            </w:pPr>
            <w:r w:rsidRPr="00C43E54">
              <w:t>0,067*</w:t>
            </w:r>
          </w:p>
        </w:tc>
        <w:tc>
          <w:tcPr>
            <w:tcW w:w="1892" w:type="dxa"/>
          </w:tcPr>
          <w:p w14:paraId="472CB3B5" w14:textId="627CCB10" w:rsidR="006369A9" w:rsidRPr="00C43E54" w:rsidRDefault="001E03F5" w:rsidP="00CE3A33">
            <w:pPr>
              <w:pStyle w:val="ae"/>
            </w:pPr>
            <w:r>
              <w:t>1</w:t>
            </w:r>
            <w:r w:rsidR="008F7BFA">
              <w:t>4</w:t>
            </w:r>
          </w:p>
        </w:tc>
      </w:tr>
    </w:tbl>
    <w:p w14:paraId="28594D24" w14:textId="5EDBB9EF" w:rsidR="00A03FF8" w:rsidRDefault="00A03FF8" w:rsidP="00CE3A33">
      <w:pPr>
        <w:ind w:firstLine="0"/>
        <w:rPr>
          <w:b/>
          <w:bCs/>
        </w:rPr>
      </w:pPr>
    </w:p>
    <w:p w14:paraId="2B3A8584" w14:textId="77777777" w:rsidR="00CE3A33" w:rsidRDefault="00CE3A33" w:rsidP="00632F22"/>
    <w:p w14:paraId="2C181E0D" w14:textId="77777777" w:rsidR="00CE3A33" w:rsidRDefault="00CE3A33" w:rsidP="00632F22"/>
    <w:p w14:paraId="2E7900EF" w14:textId="7F20E5AD" w:rsidR="00632F22" w:rsidRDefault="00632F22" w:rsidP="00632F22">
      <w:r>
        <w:t xml:space="preserve">Для случая негативного сюрприза были получены статистически значимые </w:t>
      </w:r>
      <w:r>
        <w:rPr>
          <w:lang w:val="en-US"/>
        </w:rPr>
        <w:t>CAAR</w:t>
      </w:r>
      <w:r w:rsidRPr="009217DB">
        <w:t xml:space="preserve"> </w:t>
      </w:r>
      <w:r>
        <w:t xml:space="preserve">для секторов </w:t>
      </w:r>
      <w:r>
        <w:rPr>
          <w:lang w:val="en-US"/>
        </w:rPr>
        <w:t>Energy</w:t>
      </w:r>
      <w:r w:rsidRPr="009217DB">
        <w:t xml:space="preserve"> </w:t>
      </w:r>
      <w:r>
        <w:t xml:space="preserve">и </w:t>
      </w:r>
      <w:r>
        <w:rPr>
          <w:lang w:val="en-US"/>
        </w:rPr>
        <w:t>Real</w:t>
      </w:r>
      <w:r w:rsidRPr="009217DB">
        <w:t xml:space="preserve"> </w:t>
      </w:r>
      <w:r>
        <w:rPr>
          <w:lang w:val="en-US"/>
        </w:rPr>
        <w:t>Estate</w:t>
      </w:r>
      <w:r w:rsidRPr="009217DB">
        <w:t xml:space="preserve">. </w:t>
      </w:r>
      <w:r>
        <w:t xml:space="preserve">Оба значения оказались отрицательными (- 6,8% и -5,5%) и оба по модулю больше, чем </w:t>
      </w:r>
      <w:r>
        <w:rPr>
          <w:lang w:val="en-US"/>
        </w:rPr>
        <w:t>CAAR</w:t>
      </w:r>
      <w:r w:rsidRPr="009217DB">
        <w:t xml:space="preserve"> </w:t>
      </w:r>
      <w:r>
        <w:t xml:space="preserve">для всей выборки. </w:t>
      </w:r>
      <w:r w:rsidR="005E58D5">
        <w:t xml:space="preserve">Эти два сектора отличаются высокой </w:t>
      </w:r>
      <w:r w:rsidR="002965E1">
        <w:t>дивидендной</w:t>
      </w:r>
      <w:r w:rsidR="005E58D5">
        <w:t xml:space="preserve"> доходностью. Так, например, в индексе MSCI китайских дивидендных акций (China All Shares High Dividend Yield) среди топ-10 компаний в составе 4 относятся к финансовому сектору (который был исключен из выборки), 2 – к сектору </w:t>
      </w:r>
      <w:r w:rsidR="005E58D5">
        <w:rPr>
          <w:lang w:val="en-US"/>
        </w:rPr>
        <w:t>Real</w:t>
      </w:r>
      <w:r w:rsidR="005E58D5" w:rsidRPr="009217DB">
        <w:t xml:space="preserve"> </w:t>
      </w:r>
      <w:r w:rsidR="005E58D5">
        <w:rPr>
          <w:lang w:val="en-US"/>
        </w:rPr>
        <w:t>Estate</w:t>
      </w:r>
      <w:r w:rsidR="005E58D5" w:rsidRPr="009217DB">
        <w:t xml:space="preserve"> </w:t>
      </w:r>
      <w:r w:rsidR="005E58D5">
        <w:t xml:space="preserve">и 1 – к сектору </w:t>
      </w:r>
      <w:r w:rsidR="005E58D5">
        <w:rPr>
          <w:lang w:val="en-US"/>
        </w:rPr>
        <w:t>Energy</w:t>
      </w:r>
      <w:r w:rsidR="005E58D5" w:rsidRPr="009217DB">
        <w:t xml:space="preserve">. </w:t>
      </w:r>
      <w:r w:rsidR="005E58D5">
        <w:t xml:space="preserve">Аналогично в другом индексе китайских дивидендных акций Hang Seng Mainland China Companies High Dividend Yield Index наибольшую долю занимают две компании из </w:t>
      </w:r>
      <w:r w:rsidR="005E58D5">
        <w:rPr>
          <w:lang w:val="en-US"/>
        </w:rPr>
        <w:t>Real</w:t>
      </w:r>
      <w:r w:rsidR="005E58D5" w:rsidRPr="009217DB">
        <w:t xml:space="preserve"> </w:t>
      </w:r>
      <w:r w:rsidR="005E58D5">
        <w:rPr>
          <w:lang w:val="en-US"/>
        </w:rPr>
        <w:t>Estate</w:t>
      </w:r>
      <w:r w:rsidR="005E58D5">
        <w:t xml:space="preserve"> и компания из </w:t>
      </w:r>
      <w:r w:rsidR="005E58D5">
        <w:rPr>
          <w:lang w:val="en-US"/>
        </w:rPr>
        <w:t>Energy</w:t>
      </w:r>
      <w:r w:rsidR="005E58D5" w:rsidRPr="009217DB">
        <w:t xml:space="preserve">. </w:t>
      </w:r>
      <w:r w:rsidR="009C5CE9">
        <w:t xml:space="preserve">Вероятно, из-за высоких дивидендов в этих акциях </w:t>
      </w:r>
      <w:r w:rsidR="002965E1">
        <w:t>сформировалась</w:t>
      </w:r>
      <w:r w:rsidR="009C5CE9">
        <w:t xml:space="preserve"> «клиентская база» инвесторов, ориентированных на </w:t>
      </w:r>
      <w:r w:rsidR="002965E1">
        <w:t>дивидендный</w:t>
      </w:r>
      <w:r w:rsidR="009C5CE9">
        <w:t xml:space="preserve"> доход, поэтому в этих секторах наблюдается более сильная реакция на плохие дивидендные сюрпризы, чем в среднем по выборке.</w:t>
      </w:r>
    </w:p>
    <w:p w14:paraId="592C7303" w14:textId="695FD783" w:rsidR="009C5CE9" w:rsidRDefault="009C5CE9" w:rsidP="00632F22">
      <w:r>
        <w:t xml:space="preserve">Для случая позитивного сюрприза были получены значимые </w:t>
      </w:r>
      <w:r>
        <w:rPr>
          <w:lang w:val="en-US"/>
        </w:rPr>
        <w:t>CAAR</w:t>
      </w:r>
      <w:r w:rsidRPr="009217DB">
        <w:t xml:space="preserve"> </w:t>
      </w:r>
      <w:r>
        <w:t xml:space="preserve">для секторов </w:t>
      </w:r>
      <w:r>
        <w:rPr>
          <w:lang w:val="en-US"/>
        </w:rPr>
        <w:t>Information</w:t>
      </w:r>
      <w:r w:rsidRPr="009217DB">
        <w:t xml:space="preserve"> </w:t>
      </w:r>
      <w:r>
        <w:rPr>
          <w:lang w:val="en-US"/>
        </w:rPr>
        <w:t>Technology</w:t>
      </w:r>
      <w:r w:rsidRPr="009217DB">
        <w:t xml:space="preserve"> </w:t>
      </w:r>
      <w:r>
        <w:t xml:space="preserve">и </w:t>
      </w:r>
      <w:r>
        <w:rPr>
          <w:lang w:val="en-US"/>
        </w:rPr>
        <w:t>Real</w:t>
      </w:r>
      <w:r w:rsidRPr="009217DB">
        <w:t xml:space="preserve"> </w:t>
      </w:r>
      <w:r>
        <w:rPr>
          <w:lang w:val="en-US"/>
        </w:rPr>
        <w:t>Estate</w:t>
      </w:r>
      <w:r w:rsidRPr="009217DB">
        <w:t xml:space="preserve">, </w:t>
      </w:r>
      <w:r>
        <w:t xml:space="preserve">причем в обоих случаях наблюдается более выраженная положительная реакция чем в среднем по выборке. В секторе </w:t>
      </w:r>
      <w:r>
        <w:rPr>
          <w:lang w:val="en-US"/>
        </w:rPr>
        <w:t>Real</w:t>
      </w:r>
      <w:r w:rsidRPr="009217DB">
        <w:t xml:space="preserve"> </w:t>
      </w:r>
      <w:r>
        <w:rPr>
          <w:lang w:val="en-US"/>
        </w:rPr>
        <w:t>Estate</w:t>
      </w:r>
      <w:r w:rsidRPr="009217DB">
        <w:t xml:space="preserve">, </w:t>
      </w:r>
      <w:r>
        <w:t xml:space="preserve">как было выявлено, высокая </w:t>
      </w:r>
      <w:r w:rsidR="002965E1">
        <w:t>дивидендная</w:t>
      </w:r>
      <w:r>
        <w:t xml:space="preserve"> доходность, возможно поэтому и реакция рынка на объявления о дивидендах сильнее. В то же время в секторе </w:t>
      </w:r>
      <w:r>
        <w:rPr>
          <w:lang w:val="en-US"/>
        </w:rPr>
        <w:t>IT</w:t>
      </w:r>
      <w:r>
        <w:t xml:space="preserve"> не наблюдается такой высокой дивидендной до</w:t>
      </w:r>
      <w:r w:rsidR="00075CFD">
        <w:t>х</w:t>
      </w:r>
      <w:r>
        <w:t xml:space="preserve">одности – компании этой отрасли почти не представлены в перечисленных выше индексах. </w:t>
      </w:r>
      <w:r w:rsidR="00075CFD">
        <w:t xml:space="preserve">Можно предположить, что в компаниях </w:t>
      </w:r>
      <w:r w:rsidR="00075CFD">
        <w:rPr>
          <w:lang w:val="en-US"/>
        </w:rPr>
        <w:t>IT</w:t>
      </w:r>
      <w:r w:rsidR="00075CFD" w:rsidRPr="009217DB">
        <w:t xml:space="preserve"> </w:t>
      </w:r>
      <w:r w:rsidR="00075CFD">
        <w:t xml:space="preserve">высокая потребность в сигнале: во-первых, предсказать будущее таких компаний не так просто, как компаний из </w:t>
      </w:r>
      <w:r w:rsidR="00CA1D83">
        <w:t>традиционных</w:t>
      </w:r>
      <w:r w:rsidR="00075CFD">
        <w:t xml:space="preserve"> отраслей, поскольку </w:t>
      </w:r>
      <w:r w:rsidR="00CA1D83">
        <w:t>они обычно занимаются разработкой инноваций, которые могут не окупиться или не оказаться востребованными</w:t>
      </w:r>
      <w:r w:rsidR="00CA1D83" w:rsidRPr="009217DB">
        <w:t xml:space="preserve">; </w:t>
      </w:r>
      <w:r w:rsidR="00CA1D83">
        <w:t xml:space="preserve">во-вторых, скорее всего, это более молодые компании (средний размер активов </w:t>
      </w:r>
      <w:r w:rsidR="00CA1D83">
        <w:rPr>
          <w:lang w:val="en-US"/>
        </w:rPr>
        <w:t>IT</w:t>
      </w:r>
      <w:r w:rsidR="00CA1D83" w:rsidRPr="009217DB">
        <w:t>-</w:t>
      </w:r>
      <w:r w:rsidR="00CA1D83">
        <w:t xml:space="preserve">отрасли значительно меньше чем по всей выборке), а значит, еще не успевшие себя зарекомендовать на рынке </w:t>
      </w:r>
      <w:r w:rsidR="009C30D9">
        <w:t>так</w:t>
      </w:r>
      <w:r w:rsidR="00CA1D83">
        <w:t>, как зрелые компании с многолетним опытом</w:t>
      </w:r>
      <w:r w:rsidR="00CA1D83" w:rsidRPr="009217DB">
        <w:t xml:space="preserve">; </w:t>
      </w:r>
      <w:r w:rsidR="00CA1D83">
        <w:t xml:space="preserve">в-третьих, в период торговой войны с США продажи продуктов и услуг из </w:t>
      </w:r>
      <w:r w:rsidR="00CA1D83">
        <w:rPr>
          <w:lang w:val="en-US"/>
        </w:rPr>
        <w:t>IT</w:t>
      </w:r>
      <w:r w:rsidR="00CA1D83" w:rsidRPr="009217DB">
        <w:t>-</w:t>
      </w:r>
      <w:r w:rsidR="00CA1D83">
        <w:t xml:space="preserve">отрасли попали под повышенные тарифы, </w:t>
      </w:r>
      <w:r w:rsidR="00A1791B">
        <w:t>и высокие дивиденды могли служить сигналом рынку, что несмотря на тарифы, компания сохраня</w:t>
      </w:r>
      <w:r w:rsidR="009C30D9">
        <w:t>ла</w:t>
      </w:r>
      <w:r w:rsidR="00A1791B">
        <w:t xml:space="preserve"> уверенность в будущих денежных потоках.</w:t>
      </w:r>
    </w:p>
    <w:p w14:paraId="76919493" w14:textId="68D45472" w:rsidR="00687FFA" w:rsidRDefault="00687FFA" w:rsidP="00687FFA">
      <w:pPr>
        <w:ind w:firstLine="0"/>
      </w:pPr>
    </w:p>
    <w:p w14:paraId="193C82A1" w14:textId="7186CC91" w:rsidR="00B5371C" w:rsidRDefault="00687FFA" w:rsidP="00725570">
      <w:pPr>
        <w:pStyle w:val="2"/>
      </w:pPr>
      <w:bookmarkStart w:id="41" w:name="_Toc104840372"/>
      <w:r w:rsidRPr="009217DB">
        <w:t xml:space="preserve">3.6 </w:t>
      </w:r>
      <w:r>
        <w:t>Результаты регрессионного анализа</w:t>
      </w:r>
      <w:bookmarkEnd w:id="41"/>
    </w:p>
    <w:p w14:paraId="52867FDF" w14:textId="0CE47D5C" w:rsidR="005E1CF3" w:rsidRDefault="005E1CF3" w:rsidP="00B5371C"/>
    <w:p w14:paraId="34A9E2C0" w14:textId="4A67ED0E" w:rsidR="005E1CF3" w:rsidRPr="001364E2" w:rsidRDefault="005E1CF3" w:rsidP="00B5371C">
      <w:r>
        <w:t>Перед проведением регрессионного анализа был проведен корреляционный анализ для переменных каждой модели для двух выборок по России и по Китаю в отдельности. В результате не было выявлено сильной корреляции между факторами (все выборочные коэффициенты оказались меьше 0.7 по модулю), что свидетельствует о низкой вероятно</w:t>
      </w:r>
      <w:r w:rsidR="001364E2">
        <w:t>сти</w:t>
      </w:r>
      <w:r>
        <w:t xml:space="preserve"> проблемы мультиколлинеарности в моделях </w:t>
      </w:r>
      <w:r w:rsidR="001364E2">
        <w:t xml:space="preserve">(корреляционные матрицы представлены в Приложении 8). Исключение составил коэффициент корреляции между переменными </w:t>
      </w:r>
      <w:r w:rsidR="001364E2">
        <w:rPr>
          <w:lang w:val="en-US"/>
        </w:rPr>
        <w:t xml:space="preserve">lassets </w:t>
      </w:r>
      <w:r w:rsidR="001364E2">
        <w:t xml:space="preserve">и </w:t>
      </w:r>
      <w:r w:rsidR="001364E2">
        <w:rPr>
          <w:lang w:val="en-US"/>
        </w:rPr>
        <w:t>lmarketcap</w:t>
      </w:r>
      <w:r w:rsidR="001364E2">
        <w:t xml:space="preserve"> - размером активов и рыночной капитализацией, в связи с чем эти переменные не были одновременно включены ни в одну модель.</w:t>
      </w:r>
    </w:p>
    <w:p w14:paraId="4AD09B70" w14:textId="05A97F54" w:rsidR="00040906" w:rsidRDefault="00040906" w:rsidP="00B5371C">
      <w:r>
        <w:t xml:space="preserve">Поскольку исследование проводилось на панельных данных, необходимо было определить подходящий вид регрессионной модели для каждой из двух выборок – китайской и </w:t>
      </w:r>
      <w:r w:rsidR="002965E1">
        <w:t>российской</w:t>
      </w:r>
      <w:r>
        <w:t xml:space="preserve">. Выбор модели проходил по следующему </w:t>
      </w:r>
      <w:r w:rsidR="002965E1">
        <w:t>алгоритму</w:t>
      </w:r>
      <w:r>
        <w:t xml:space="preserve">: </w:t>
      </w:r>
    </w:p>
    <w:p w14:paraId="7C844EB6" w14:textId="77777777" w:rsidR="00967349" w:rsidRDefault="00967349" w:rsidP="00687FFA">
      <w:pPr>
        <w:ind w:firstLine="0"/>
      </w:pPr>
    </w:p>
    <w:p w14:paraId="2EA75763" w14:textId="3AF2210C" w:rsidR="00040906" w:rsidRDefault="00040906" w:rsidP="00687FFA">
      <w:pPr>
        <w:ind w:firstLine="0"/>
      </w:pPr>
      <w:r>
        <w:t xml:space="preserve"> 1. Построение модели регрессии с </w:t>
      </w:r>
      <w:r w:rsidR="002965E1">
        <w:t>фиксированными</w:t>
      </w:r>
      <w:r>
        <w:t xml:space="preserve"> эффектами, была оценена значимость модели в целом, а также значимость каждой из переменных. </w:t>
      </w:r>
    </w:p>
    <w:p w14:paraId="20938125" w14:textId="15BB515E" w:rsidR="00967349" w:rsidRDefault="00040906" w:rsidP="00687FFA">
      <w:pPr>
        <w:ind w:firstLine="0"/>
      </w:pPr>
      <w:r>
        <w:t>2. Тест Вальда с нулевой гипотезой о том, что модель сквозной регрессии предпочтительнее, чем модель с фикс</w:t>
      </w:r>
      <w:r w:rsidR="00967349">
        <w:t>и</w:t>
      </w:r>
      <w:r>
        <w:t xml:space="preserve">рованными эффектами. </w:t>
      </w:r>
    </w:p>
    <w:p w14:paraId="31EFF109" w14:textId="77777777" w:rsidR="00967349" w:rsidRDefault="00040906" w:rsidP="00687FFA">
      <w:pPr>
        <w:ind w:firstLine="0"/>
      </w:pPr>
      <w:r>
        <w:t>3. Построение модел</w:t>
      </w:r>
      <w:r w:rsidR="00967349">
        <w:t>и</w:t>
      </w:r>
      <w:r>
        <w:t xml:space="preserve"> регрессии со случайными эффектами, была оценена ее значимость и значимость каждой из переменных. </w:t>
      </w:r>
    </w:p>
    <w:p w14:paraId="318D6155" w14:textId="77777777" w:rsidR="00967349" w:rsidRDefault="00040906" w:rsidP="00687FFA">
      <w:pPr>
        <w:ind w:firstLine="0"/>
      </w:pPr>
      <w:r>
        <w:t xml:space="preserve">4. Тест Бреуша-Пагана с нулевой гипотезой о том, что модель сквозной регрессии предпочтительнее, чем модель со случайными эффектами. </w:t>
      </w:r>
    </w:p>
    <w:p w14:paraId="64596DEA" w14:textId="43B4E205" w:rsidR="00967349" w:rsidRDefault="00040906" w:rsidP="00687FFA">
      <w:pPr>
        <w:ind w:firstLine="0"/>
      </w:pPr>
      <w:r>
        <w:t xml:space="preserve">5. Тест Хаусмана с нулевой гипотезой о том, что модель со случайными эффектами предпочтительнее, чем модель с </w:t>
      </w:r>
      <w:r w:rsidR="002965E1">
        <w:t>фиксированными</w:t>
      </w:r>
      <w:r>
        <w:t xml:space="preserve"> эффектами. </w:t>
      </w:r>
    </w:p>
    <w:p w14:paraId="57588C21" w14:textId="798F7287" w:rsidR="00967349" w:rsidRDefault="00040906" w:rsidP="00687FFA">
      <w:pPr>
        <w:ind w:firstLine="0"/>
      </w:pPr>
      <w:r>
        <w:t>6. Выбор наиболее подходящей модели, исходя из результатов тестов</w:t>
      </w:r>
      <w:r w:rsidR="00B5371C">
        <w:t>.</w:t>
      </w:r>
    </w:p>
    <w:p w14:paraId="0BF4798E" w14:textId="3983D38E" w:rsidR="00967349" w:rsidRDefault="00967349" w:rsidP="00687FFA">
      <w:pPr>
        <w:ind w:firstLine="0"/>
      </w:pPr>
      <w:r>
        <w:t xml:space="preserve"> </w:t>
      </w:r>
    </w:p>
    <w:p w14:paraId="263ADE53" w14:textId="788B59F1" w:rsidR="00967349" w:rsidRDefault="00967349" w:rsidP="00967349">
      <w:r>
        <w:t xml:space="preserve">В результате наиболее подходящим типом модели для обеих выборок стала модель со случайными эффектами. </w:t>
      </w:r>
      <w:r w:rsidR="00B5371C">
        <w:t xml:space="preserve">Для элиминирования возможных проблем с гетероскедастичностью остатков были оценены модели со случайными эффектами </w:t>
      </w:r>
      <w:r w:rsidR="00B5371C">
        <w:rPr>
          <w:rFonts w:ascii="Roboto" w:hAnsi="Roboto"/>
          <w:color w:val="646464"/>
          <w:sz w:val="23"/>
          <w:szCs w:val="23"/>
        </w:rPr>
        <w:t xml:space="preserve">с </w:t>
      </w:r>
      <w:r w:rsidR="00B5371C" w:rsidRPr="00B5371C">
        <w:t>использованием робастных ошибок</w:t>
      </w:r>
      <w:r w:rsidR="00B5371C">
        <w:t xml:space="preserve">. </w:t>
      </w:r>
    </w:p>
    <w:p w14:paraId="72F6A25A" w14:textId="3214BB7D" w:rsidR="00967349" w:rsidRPr="009217DB" w:rsidRDefault="00967349" w:rsidP="00967349">
      <w:r>
        <w:t xml:space="preserve">Далее каждая из моделей была протестирована на мультиколлинеарность </w:t>
      </w:r>
      <w:r w:rsidR="002965E1">
        <w:t>независимых</w:t>
      </w:r>
      <w:r>
        <w:t xml:space="preserve"> переменных в модели с помощью показателей VIF. В результате теста ни в одной из моделей не было получено вы</w:t>
      </w:r>
      <w:r w:rsidR="00743887">
        <w:rPr>
          <w:lang w:val="en-US"/>
        </w:rPr>
        <w:t>c</w:t>
      </w:r>
      <w:r w:rsidR="00743887">
        <w:t>о</w:t>
      </w:r>
      <w:r>
        <w:t xml:space="preserve">ких значений </w:t>
      </w:r>
      <w:r>
        <w:rPr>
          <w:lang w:val="en-US"/>
        </w:rPr>
        <w:t>VIF</w:t>
      </w:r>
      <w:r w:rsidRPr="009217DB">
        <w:t xml:space="preserve"> </w:t>
      </w:r>
      <w:r>
        <w:t>(</w:t>
      </w:r>
      <w:r w:rsidRPr="009217DB">
        <w:t xml:space="preserve">&gt;4). </w:t>
      </w:r>
    </w:p>
    <w:p w14:paraId="6AA82024" w14:textId="17249CFA" w:rsidR="005568EA" w:rsidRPr="005568EA" w:rsidRDefault="005568EA" w:rsidP="005568EA">
      <w:r>
        <w:t xml:space="preserve">В таблице 11 представлены результаты регрессионного анализа для случая «хорошего сюрприза». При этом отметим, что в таблице отсутствуют значения коэффициентов при переменных </w:t>
      </w:r>
      <w:r>
        <w:rPr>
          <w:lang w:val="en-US"/>
        </w:rPr>
        <w:t>EPS</w:t>
      </w:r>
      <w:r w:rsidRPr="009217DB">
        <w:t>_</w:t>
      </w:r>
      <w:r>
        <w:rPr>
          <w:lang w:val="en-US"/>
        </w:rPr>
        <w:t>confirm</w:t>
      </w:r>
      <w:r w:rsidRPr="009217DB">
        <w:t xml:space="preserve">, </w:t>
      </w:r>
      <w:r>
        <w:rPr>
          <w:lang w:val="en-US"/>
        </w:rPr>
        <w:t>DPS</w:t>
      </w:r>
      <w:r w:rsidRPr="009217DB">
        <w:t>_</w:t>
      </w:r>
      <w:r>
        <w:rPr>
          <w:lang w:val="en-US"/>
        </w:rPr>
        <w:t>change</w:t>
      </w:r>
      <w:r w:rsidRPr="009217DB">
        <w:t xml:space="preserve"> </w:t>
      </w:r>
      <w:r>
        <w:t xml:space="preserve">и </w:t>
      </w:r>
      <w:r>
        <w:rPr>
          <w:lang w:val="en-US"/>
        </w:rPr>
        <w:t>lassets</w:t>
      </w:r>
      <w:r w:rsidRPr="009217DB">
        <w:t xml:space="preserve">, </w:t>
      </w:r>
      <w:r>
        <w:t>поскольку данные переменные не оказались значимы ни в одной из моделей</w:t>
      </w:r>
      <w:r w:rsidR="005618D5">
        <w:t>, и их было решено исключить в связи с небольшим объемом выборок.</w:t>
      </w:r>
    </w:p>
    <w:p w14:paraId="28149865" w14:textId="4EE60787" w:rsidR="00B513D2" w:rsidRPr="005568EA" w:rsidRDefault="00B513D2" w:rsidP="00B513D2"/>
    <w:p w14:paraId="39271822" w14:textId="7BF861ED" w:rsidR="00B513D2" w:rsidRDefault="00B513D2" w:rsidP="00B513D2">
      <w:pPr>
        <w:pStyle w:val="a"/>
      </w:pPr>
      <w:r>
        <w:t>Результаты регрессионного анализа для случая «</w:t>
      </w:r>
      <w:r w:rsidR="007A6CED">
        <w:t>хорошего</w:t>
      </w:r>
      <w:r>
        <w:t xml:space="preserve"> сюрприза»</w:t>
      </w:r>
      <w:r w:rsidR="00DE2472">
        <w:t xml:space="preserve"> (в скобках указана величина стандартной ошибки)</w:t>
      </w:r>
    </w:p>
    <w:tbl>
      <w:tblPr>
        <w:tblStyle w:val="ad"/>
        <w:tblW w:w="5000" w:type="pct"/>
        <w:jc w:val="center"/>
        <w:tblLayout w:type="fixed"/>
        <w:tblLook w:val="04A0" w:firstRow="1" w:lastRow="0" w:firstColumn="1" w:lastColumn="0" w:noHBand="0" w:noVBand="1"/>
      </w:tblPr>
      <w:tblGrid>
        <w:gridCol w:w="2868"/>
        <w:gridCol w:w="1088"/>
        <w:gridCol w:w="1096"/>
        <w:gridCol w:w="1096"/>
        <w:gridCol w:w="1096"/>
        <w:gridCol w:w="1096"/>
        <w:gridCol w:w="1090"/>
      </w:tblGrid>
      <w:tr w:rsidR="00927CD4" w:rsidRPr="00A45D35" w14:paraId="77587182" w14:textId="77777777" w:rsidTr="00CA7536">
        <w:trPr>
          <w:trHeight w:val="885"/>
          <w:jc w:val="center"/>
        </w:trPr>
        <w:tc>
          <w:tcPr>
            <w:tcW w:w="1521" w:type="pct"/>
          </w:tcPr>
          <w:p w14:paraId="5CF5759F" w14:textId="77777777" w:rsidR="00927CD4" w:rsidRPr="00F22776" w:rsidRDefault="00927CD4" w:rsidP="00927CD4">
            <w:pPr>
              <w:pStyle w:val="ac"/>
            </w:pPr>
            <w:r w:rsidRPr="00F22776">
              <w:t>Независимая</w:t>
            </w:r>
          </w:p>
          <w:p w14:paraId="4FAE4514" w14:textId="77777777" w:rsidR="00927CD4" w:rsidRPr="00F22776" w:rsidRDefault="00927CD4" w:rsidP="00927CD4">
            <w:pPr>
              <w:pStyle w:val="ac"/>
            </w:pPr>
            <w:r w:rsidRPr="00F22776">
              <w:t>переменная</w:t>
            </w:r>
          </w:p>
        </w:tc>
        <w:tc>
          <w:tcPr>
            <w:tcW w:w="1739" w:type="pct"/>
            <w:gridSpan w:val="3"/>
          </w:tcPr>
          <w:p w14:paraId="6B9CF4D1" w14:textId="77777777" w:rsidR="00927CD4" w:rsidRPr="00F22776" w:rsidRDefault="00927CD4" w:rsidP="00CA7536">
            <w:pPr>
              <w:pStyle w:val="ac"/>
            </w:pPr>
            <w:r w:rsidRPr="00F22776">
              <w:t>Россия</w:t>
            </w:r>
          </w:p>
        </w:tc>
        <w:tc>
          <w:tcPr>
            <w:tcW w:w="1740" w:type="pct"/>
            <w:gridSpan w:val="3"/>
          </w:tcPr>
          <w:p w14:paraId="7F68ECFC" w14:textId="77777777" w:rsidR="00927CD4" w:rsidRPr="00F22776" w:rsidRDefault="00927CD4" w:rsidP="00CA7536">
            <w:pPr>
              <w:pStyle w:val="ac"/>
            </w:pPr>
            <w:r w:rsidRPr="00F22776">
              <w:t>Китай</w:t>
            </w:r>
          </w:p>
        </w:tc>
      </w:tr>
      <w:tr w:rsidR="00927CD4" w:rsidRPr="00A45D35" w14:paraId="036EFBAB" w14:textId="77777777" w:rsidTr="00CA7536">
        <w:trPr>
          <w:trHeight w:val="885"/>
          <w:jc w:val="center"/>
        </w:trPr>
        <w:tc>
          <w:tcPr>
            <w:tcW w:w="1521" w:type="pct"/>
          </w:tcPr>
          <w:p w14:paraId="17079312" w14:textId="77777777" w:rsidR="00927CD4" w:rsidRPr="00D03D5D" w:rsidRDefault="00927CD4" w:rsidP="00CA7536">
            <w:pPr>
              <w:pStyle w:val="ac"/>
            </w:pPr>
            <w:r>
              <w:t>Номер модели</w:t>
            </w:r>
          </w:p>
        </w:tc>
        <w:tc>
          <w:tcPr>
            <w:tcW w:w="577" w:type="pct"/>
          </w:tcPr>
          <w:p w14:paraId="18A1E359" w14:textId="77777777" w:rsidR="00927CD4" w:rsidRPr="00EB6378" w:rsidRDefault="00927CD4" w:rsidP="00CA7536">
            <w:pPr>
              <w:pStyle w:val="ac"/>
            </w:pPr>
            <w:r>
              <w:t>1 модель</w:t>
            </w:r>
          </w:p>
        </w:tc>
        <w:tc>
          <w:tcPr>
            <w:tcW w:w="581" w:type="pct"/>
          </w:tcPr>
          <w:p w14:paraId="159B7D97" w14:textId="77777777" w:rsidR="00927CD4" w:rsidRPr="00EB6378" w:rsidRDefault="00927CD4" w:rsidP="00CA7536">
            <w:pPr>
              <w:pStyle w:val="ac"/>
            </w:pPr>
            <w:r>
              <w:t>2 модель</w:t>
            </w:r>
          </w:p>
        </w:tc>
        <w:tc>
          <w:tcPr>
            <w:tcW w:w="581" w:type="pct"/>
          </w:tcPr>
          <w:p w14:paraId="092DBC70" w14:textId="77777777" w:rsidR="00927CD4" w:rsidRPr="00A45D35" w:rsidRDefault="00927CD4" w:rsidP="00CA7536">
            <w:pPr>
              <w:pStyle w:val="ac"/>
            </w:pPr>
            <w:r>
              <w:t>3 модель</w:t>
            </w:r>
          </w:p>
        </w:tc>
        <w:tc>
          <w:tcPr>
            <w:tcW w:w="581" w:type="pct"/>
          </w:tcPr>
          <w:p w14:paraId="3AA2B91A" w14:textId="77777777" w:rsidR="00927CD4" w:rsidRDefault="00927CD4" w:rsidP="00CA7536">
            <w:pPr>
              <w:pStyle w:val="ac"/>
            </w:pPr>
            <w:r>
              <w:t>1 модель</w:t>
            </w:r>
          </w:p>
        </w:tc>
        <w:tc>
          <w:tcPr>
            <w:tcW w:w="581" w:type="pct"/>
          </w:tcPr>
          <w:p w14:paraId="0FA3FEED" w14:textId="77777777" w:rsidR="00927CD4" w:rsidRDefault="00927CD4" w:rsidP="00CA7536">
            <w:pPr>
              <w:pStyle w:val="ac"/>
            </w:pPr>
            <w:r>
              <w:t>2 модель</w:t>
            </w:r>
          </w:p>
        </w:tc>
        <w:tc>
          <w:tcPr>
            <w:tcW w:w="578" w:type="pct"/>
          </w:tcPr>
          <w:p w14:paraId="217793D4" w14:textId="77777777" w:rsidR="00927CD4" w:rsidRDefault="00927CD4" w:rsidP="00CA7536">
            <w:pPr>
              <w:pStyle w:val="ac"/>
            </w:pPr>
            <w:r>
              <w:t>3 модель</w:t>
            </w:r>
          </w:p>
        </w:tc>
      </w:tr>
      <w:tr w:rsidR="00927CD4" w:rsidRPr="0081767E" w14:paraId="63E376DA" w14:textId="77777777" w:rsidTr="00CA7536">
        <w:trPr>
          <w:trHeight w:val="885"/>
          <w:jc w:val="center"/>
        </w:trPr>
        <w:tc>
          <w:tcPr>
            <w:tcW w:w="1521" w:type="pct"/>
          </w:tcPr>
          <w:p w14:paraId="53B985D1" w14:textId="77777777" w:rsidR="00927CD4" w:rsidRDefault="00927CD4" w:rsidP="00CA7536">
            <w:pPr>
              <w:ind w:firstLine="0"/>
              <w:rPr>
                <w:i/>
                <w:iCs/>
                <w:lang w:val="en-US"/>
              </w:rPr>
            </w:pPr>
            <w:r>
              <w:rPr>
                <w:i/>
                <w:iCs/>
                <w:lang w:val="en-US"/>
              </w:rPr>
              <w:t>Large</w:t>
            </w:r>
          </w:p>
        </w:tc>
        <w:tc>
          <w:tcPr>
            <w:tcW w:w="577" w:type="pct"/>
          </w:tcPr>
          <w:p w14:paraId="0F4F93B2" w14:textId="139C12CB" w:rsidR="00927CD4" w:rsidRPr="001142DF" w:rsidRDefault="00927CD4" w:rsidP="00CA7536">
            <w:pPr>
              <w:pStyle w:val="ae"/>
              <w:rPr>
                <w:sz w:val="22"/>
              </w:rPr>
            </w:pPr>
            <w:r w:rsidRPr="00275FAF">
              <w:rPr>
                <w:sz w:val="22"/>
                <w:lang w:val="en-US"/>
              </w:rPr>
              <w:t>.040</w:t>
            </w:r>
            <w:r>
              <w:rPr>
                <w:sz w:val="22"/>
                <w:lang w:val="en-US"/>
              </w:rPr>
              <w:t>**</w:t>
            </w:r>
            <w:r w:rsidR="001142DF">
              <w:rPr>
                <w:sz w:val="22"/>
              </w:rPr>
              <w:t xml:space="preserve"> (</w:t>
            </w:r>
            <w:r w:rsidR="007B5AED" w:rsidRPr="007B5AED">
              <w:rPr>
                <w:sz w:val="22"/>
              </w:rPr>
              <w:t>.01</w:t>
            </w:r>
            <w:r w:rsidR="007B5AED">
              <w:rPr>
                <w:sz w:val="22"/>
              </w:rPr>
              <w:t>9</w:t>
            </w:r>
            <w:r w:rsidR="001142DF">
              <w:rPr>
                <w:sz w:val="22"/>
              </w:rPr>
              <w:t>)</w:t>
            </w:r>
          </w:p>
        </w:tc>
        <w:tc>
          <w:tcPr>
            <w:tcW w:w="581" w:type="pct"/>
          </w:tcPr>
          <w:p w14:paraId="7AE1D54C" w14:textId="7915396F" w:rsidR="00927CD4" w:rsidRPr="00906C65" w:rsidRDefault="00927CD4" w:rsidP="00CA7536">
            <w:pPr>
              <w:pStyle w:val="ae"/>
              <w:rPr>
                <w:sz w:val="22"/>
              </w:rPr>
            </w:pPr>
            <w:r w:rsidRPr="00887F0C">
              <w:rPr>
                <w:sz w:val="22"/>
                <w:lang w:val="en-US"/>
              </w:rPr>
              <w:t>.03</w:t>
            </w:r>
            <w:r>
              <w:rPr>
                <w:sz w:val="22"/>
                <w:lang w:val="en-US"/>
              </w:rPr>
              <w:t>5**</w:t>
            </w:r>
            <w:r w:rsidR="00906C65">
              <w:rPr>
                <w:sz w:val="22"/>
              </w:rPr>
              <w:t xml:space="preserve"> (</w:t>
            </w:r>
            <w:r w:rsidR="00906C65" w:rsidRPr="00906C65">
              <w:rPr>
                <w:sz w:val="22"/>
              </w:rPr>
              <w:t>.0</w:t>
            </w:r>
            <w:r w:rsidR="007B5AED">
              <w:rPr>
                <w:sz w:val="22"/>
              </w:rPr>
              <w:t>19</w:t>
            </w:r>
            <w:r w:rsidR="00906C65">
              <w:rPr>
                <w:sz w:val="22"/>
              </w:rPr>
              <w:t>)</w:t>
            </w:r>
          </w:p>
        </w:tc>
        <w:tc>
          <w:tcPr>
            <w:tcW w:w="581" w:type="pct"/>
          </w:tcPr>
          <w:p w14:paraId="44C0C94F" w14:textId="2A257967" w:rsidR="00927CD4" w:rsidRPr="00906C65" w:rsidRDefault="00927CD4" w:rsidP="00CA7536">
            <w:pPr>
              <w:pStyle w:val="ae"/>
              <w:rPr>
                <w:sz w:val="22"/>
              </w:rPr>
            </w:pPr>
            <w:r w:rsidRPr="00FC2F45">
              <w:rPr>
                <w:sz w:val="22"/>
                <w:lang w:val="en-US"/>
              </w:rPr>
              <w:t>.03</w:t>
            </w:r>
            <w:r>
              <w:rPr>
                <w:sz w:val="22"/>
                <w:lang w:val="en-US"/>
              </w:rPr>
              <w:t>5**</w:t>
            </w:r>
            <w:r w:rsidR="00906C65">
              <w:rPr>
                <w:sz w:val="22"/>
              </w:rPr>
              <w:t xml:space="preserve"> (</w:t>
            </w:r>
            <w:r w:rsidR="00906C65" w:rsidRPr="00906C65">
              <w:rPr>
                <w:sz w:val="22"/>
              </w:rPr>
              <w:t>.0</w:t>
            </w:r>
            <w:r w:rsidR="007B5AED">
              <w:rPr>
                <w:sz w:val="22"/>
              </w:rPr>
              <w:t>17</w:t>
            </w:r>
            <w:r w:rsidR="00906C65">
              <w:rPr>
                <w:sz w:val="22"/>
              </w:rPr>
              <w:t>)</w:t>
            </w:r>
          </w:p>
        </w:tc>
        <w:tc>
          <w:tcPr>
            <w:tcW w:w="581" w:type="pct"/>
          </w:tcPr>
          <w:p w14:paraId="32F7A98D" w14:textId="4EA34149" w:rsidR="00927CD4" w:rsidRPr="00E10629" w:rsidRDefault="00927CD4" w:rsidP="00CA7536">
            <w:pPr>
              <w:pStyle w:val="ae"/>
              <w:rPr>
                <w:sz w:val="22"/>
              </w:rPr>
            </w:pPr>
            <w:r w:rsidRPr="00FC2F45">
              <w:rPr>
                <w:sz w:val="22"/>
                <w:lang w:val="en-US"/>
              </w:rPr>
              <w:t>-.04</w:t>
            </w:r>
            <w:r>
              <w:rPr>
                <w:sz w:val="22"/>
                <w:lang w:val="en-US"/>
              </w:rPr>
              <w:t>9</w:t>
            </w:r>
            <w:r w:rsidR="00E10629">
              <w:rPr>
                <w:sz w:val="22"/>
              </w:rPr>
              <w:t xml:space="preserve"> (</w:t>
            </w:r>
            <w:r w:rsidR="00E10629" w:rsidRPr="00E10629">
              <w:rPr>
                <w:sz w:val="22"/>
              </w:rPr>
              <w:t>.03</w:t>
            </w:r>
            <w:r w:rsidR="007B5AED">
              <w:rPr>
                <w:sz w:val="22"/>
              </w:rPr>
              <w:t>6</w:t>
            </w:r>
            <w:r w:rsidR="00E10629">
              <w:rPr>
                <w:sz w:val="22"/>
              </w:rPr>
              <w:t>)</w:t>
            </w:r>
          </w:p>
        </w:tc>
        <w:tc>
          <w:tcPr>
            <w:tcW w:w="581" w:type="pct"/>
          </w:tcPr>
          <w:p w14:paraId="6230557F" w14:textId="0A8D8105" w:rsidR="00927CD4" w:rsidRPr="00E10629" w:rsidRDefault="00927CD4" w:rsidP="00CA7536">
            <w:pPr>
              <w:pStyle w:val="ae"/>
              <w:rPr>
                <w:sz w:val="22"/>
              </w:rPr>
            </w:pPr>
            <w:r w:rsidRPr="00021063">
              <w:rPr>
                <w:sz w:val="22"/>
                <w:lang w:val="en-US"/>
              </w:rPr>
              <w:t>-.027</w:t>
            </w:r>
            <w:r w:rsidR="00E10629">
              <w:rPr>
                <w:sz w:val="22"/>
              </w:rPr>
              <w:t xml:space="preserve"> (</w:t>
            </w:r>
            <w:r w:rsidR="00E10629" w:rsidRPr="00E10629">
              <w:rPr>
                <w:sz w:val="22"/>
              </w:rPr>
              <w:t>.0</w:t>
            </w:r>
            <w:r w:rsidR="00662566">
              <w:rPr>
                <w:sz w:val="22"/>
              </w:rPr>
              <w:t>44</w:t>
            </w:r>
            <w:r w:rsidR="00E10629">
              <w:rPr>
                <w:sz w:val="22"/>
              </w:rPr>
              <w:t>)</w:t>
            </w:r>
          </w:p>
        </w:tc>
        <w:tc>
          <w:tcPr>
            <w:tcW w:w="578" w:type="pct"/>
          </w:tcPr>
          <w:p w14:paraId="734CC9B7" w14:textId="3A27F191" w:rsidR="00927CD4" w:rsidRPr="00DE2472" w:rsidRDefault="00927CD4" w:rsidP="00CA7536">
            <w:pPr>
              <w:pStyle w:val="ae"/>
              <w:rPr>
                <w:sz w:val="22"/>
              </w:rPr>
            </w:pPr>
            <w:r w:rsidRPr="00464832">
              <w:rPr>
                <w:sz w:val="22"/>
                <w:lang w:val="en-US"/>
              </w:rPr>
              <w:t>-.05</w:t>
            </w:r>
            <w:r>
              <w:rPr>
                <w:sz w:val="22"/>
                <w:lang w:val="en-US"/>
              </w:rPr>
              <w:t>2</w:t>
            </w:r>
            <w:r w:rsidR="00DE2472">
              <w:rPr>
                <w:sz w:val="22"/>
              </w:rPr>
              <w:t xml:space="preserve"> (</w:t>
            </w:r>
            <w:r w:rsidR="00DE2472" w:rsidRPr="00DE2472">
              <w:rPr>
                <w:sz w:val="22"/>
              </w:rPr>
              <w:t>.03</w:t>
            </w:r>
            <w:r w:rsidR="00662566">
              <w:rPr>
                <w:sz w:val="22"/>
              </w:rPr>
              <w:t>6</w:t>
            </w:r>
            <w:r w:rsidR="00DE2472">
              <w:rPr>
                <w:sz w:val="22"/>
              </w:rPr>
              <w:t>)</w:t>
            </w:r>
          </w:p>
        </w:tc>
      </w:tr>
      <w:tr w:rsidR="00927CD4" w:rsidRPr="0081767E" w14:paraId="5E28456C" w14:textId="77777777" w:rsidTr="00CA7536">
        <w:trPr>
          <w:trHeight w:val="885"/>
          <w:jc w:val="center"/>
        </w:trPr>
        <w:tc>
          <w:tcPr>
            <w:tcW w:w="1521" w:type="pct"/>
          </w:tcPr>
          <w:p w14:paraId="28536F53" w14:textId="77777777" w:rsidR="00927CD4" w:rsidRDefault="00927CD4" w:rsidP="00CA7536">
            <w:pPr>
              <w:ind w:firstLine="0"/>
              <w:rPr>
                <w:i/>
                <w:iCs/>
                <w:lang w:val="en-US"/>
              </w:rPr>
            </w:pPr>
            <w:r>
              <w:rPr>
                <w:i/>
                <w:iCs/>
                <w:lang w:val="en-US"/>
              </w:rPr>
              <w:t>Small</w:t>
            </w:r>
          </w:p>
        </w:tc>
        <w:tc>
          <w:tcPr>
            <w:tcW w:w="577" w:type="pct"/>
          </w:tcPr>
          <w:p w14:paraId="23E28CBC" w14:textId="6DBD7AE9" w:rsidR="00927CD4" w:rsidRPr="001142DF" w:rsidRDefault="00927CD4" w:rsidP="00CA7536">
            <w:pPr>
              <w:pStyle w:val="ae"/>
              <w:rPr>
                <w:sz w:val="22"/>
              </w:rPr>
            </w:pPr>
            <w:r w:rsidRPr="00275FAF">
              <w:rPr>
                <w:sz w:val="22"/>
                <w:lang w:val="en-US"/>
              </w:rPr>
              <w:t>.022</w:t>
            </w:r>
            <w:r w:rsidR="001142DF">
              <w:rPr>
                <w:sz w:val="22"/>
              </w:rPr>
              <w:t xml:space="preserve"> (</w:t>
            </w:r>
            <w:r w:rsidR="001142DF" w:rsidRPr="001142DF">
              <w:rPr>
                <w:sz w:val="22"/>
              </w:rPr>
              <w:t>.02</w:t>
            </w:r>
            <w:r w:rsidR="007B5AED">
              <w:rPr>
                <w:sz w:val="22"/>
              </w:rPr>
              <w:t>4</w:t>
            </w:r>
            <w:r w:rsidR="001142DF">
              <w:rPr>
                <w:sz w:val="22"/>
              </w:rPr>
              <w:t>)</w:t>
            </w:r>
          </w:p>
        </w:tc>
        <w:tc>
          <w:tcPr>
            <w:tcW w:w="581" w:type="pct"/>
          </w:tcPr>
          <w:p w14:paraId="453DCA02" w14:textId="1F7E9E7B" w:rsidR="00927CD4" w:rsidRPr="00906C65" w:rsidRDefault="00927CD4" w:rsidP="00CA7536">
            <w:pPr>
              <w:pStyle w:val="ae"/>
              <w:rPr>
                <w:sz w:val="22"/>
              </w:rPr>
            </w:pPr>
            <w:r w:rsidRPr="00887F0C">
              <w:rPr>
                <w:sz w:val="22"/>
                <w:lang w:val="en-US"/>
              </w:rPr>
              <w:t>.01</w:t>
            </w:r>
            <w:r>
              <w:rPr>
                <w:sz w:val="22"/>
                <w:lang w:val="en-US"/>
              </w:rPr>
              <w:t>7</w:t>
            </w:r>
            <w:r w:rsidR="00906C65">
              <w:rPr>
                <w:sz w:val="22"/>
              </w:rPr>
              <w:t xml:space="preserve"> (</w:t>
            </w:r>
            <w:r w:rsidR="00906C65" w:rsidRPr="00906C65">
              <w:rPr>
                <w:sz w:val="22"/>
              </w:rPr>
              <w:t>.02</w:t>
            </w:r>
            <w:r w:rsidR="007B5AED">
              <w:rPr>
                <w:sz w:val="22"/>
              </w:rPr>
              <w:t>1</w:t>
            </w:r>
            <w:r w:rsidR="00906C65">
              <w:rPr>
                <w:sz w:val="22"/>
              </w:rPr>
              <w:t>)</w:t>
            </w:r>
          </w:p>
        </w:tc>
        <w:tc>
          <w:tcPr>
            <w:tcW w:w="581" w:type="pct"/>
          </w:tcPr>
          <w:p w14:paraId="6E7B9407" w14:textId="2E2CE539" w:rsidR="00927CD4" w:rsidRPr="00906C65" w:rsidRDefault="00927CD4" w:rsidP="00CA7536">
            <w:pPr>
              <w:pStyle w:val="ae"/>
              <w:rPr>
                <w:sz w:val="22"/>
              </w:rPr>
            </w:pPr>
            <w:r w:rsidRPr="00FC2F45">
              <w:rPr>
                <w:sz w:val="22"/>
                <w:lang w:val="en-US"/>
              </w:rPr>
              <w:t>.022</w:t>
            </w:r>
            <w:r>
              <w:rPr>
                <w:sz w:val="22"/>
                <w:lang w:val="en-US"/>
              </w:rPr>
              <w:t>3</w:t>
            </w:r>
            <w:r w:rsidR="00906C65">
              <w:rPr>
                <w:sz w:val="22"/>
              </w:rPr>
              <w:t xml:space="preserve"> (</w:t>
            </w:r>
            <w:r w:rsidR="00906C65" w:rsidRPr="00906C65">
              <w:rPr>
                <w:sz w:val="22"/>
              </w:rPr>
              <w:t>.0</w:t>
            </w:r>
            <w:r w:rsidR="007B5AED">
              <w:rPr>
                <w:sz w:val="22"/>
              </w:rPr>
              <w:t>24</w:t>
            </w:r>
            <w:r w:rsidR="00906C65">
              <w:rPr>
                <w:sz w:val="22"/>
              </w:rPr>
              <w:t>)</w:t>
            </w:r>
          </w:p>
        </w:tc>
        <w:tc>
          <w:tcPr>
            <w:tcW w:w="581" w:type="pct"/>
          </w:tcPr>
          <w:p w14:paraId="15EAC090" w14:textId="2AA2A4AF" w:rsidR="00927CD4" w:rsidRPr="00E10629" w:rsidRDefault="00927CD4" w:rsidP="00CA7536">
            <w:pPr>
              <w:pStyle w:val="ae"/>
              <w:rPr>
                <w:sz w:val="22"/>
              </w:rPr>
            </w:pPr>
            <w:r w:rsidRPr="00FC2F45">
              <w:rPr>
                <w:sz w:val="22"/>
                <w:lang w:val="en-US"/>
              </w:rPr>
              <w:t>-.039</w:t>
            </w:r>
            <w:r>
              <w:rPr>
                <w:sz w:val="22"/>
                <w:lang w:val="en-US"/>
              </w:rPr>
              <w:t>**</w:t>
            </w:r>
            <w:r w:rsidR="00E10629">
              <w:rPr>
                <w:sz w:val="22"/>
              </w:rPr>
              <w:t xml:space="preserve"> (</w:t>
            </w:r>
            <w:r w:rsidR="00E10629" w:rsidRPr="00E10629">
              <w:rPr>
                <w:sz w:val="22"/>
              </w:rPr>
              <w:t>.0</w:t>
            </w:r>
            <w:r w:rsidR="007B5AED">
              <w:rPr>
                <w:sz w:val="22"/>
              </w:rPr>
              <w:t>20</w:t>
            </w:r>
            <w:r w:rsidR="00E10629">
              <w:rPr>
                <w:sz w:val="22"/>
              </w:rPr>
              <w:t>)</w:t>
            </w:r>
          </w:p>
        </w:tc>
        <w:tc>
          <w:tcPr>
            <w:tcW w:w="581" w:type="pct"/>
          </w:tcPr>
          <w:p w14:paraId="69EA1D11" w14:textId="60A3FCA2" w:rsidR="00927CD4" w:rsidRPr="00E10629" w:rsidRDefault="00927CD4" w:rsidP="00CA7536">
            <w:pPr>
              <w:pStyle w:val="ae"/>
              <w:rPr>
                <w:sz w:val="22"/>
              </w:rPr>
            </w:pPr>
            <w:r w:rsidRPr="00021063">
              <w:rPr>
                <w:sz w:val="22"/>
                <w:lang w:val="en-US"/>
              </w:rPr>
              <w:t>-.03</w:t>
            </w:r>
            <w:r>
              <w:rPr>
                <w:sz w:val="22"/>
                <w:lang w:val="en-US"/>
              </w:rPr>
              <w:t>5</w:t>
            </w:r>
            <w:r w:rsidR="00E10629">
              <w:rPr>
                <w:sz w:val="22"/>
              </w:rPr>
              <w:t xml:space="preserve"> (</w:t>
            </w:r>
            <w:r w:rsidR="00E10629" w:rsidRPr="00E10629">
              <w:rPr>
                <w:sz w:val="22"/>
              </w:rPr>
              <w:t>.0</w:t>
            </w:r>
            <w:r w:rsidR="00662566">
              <w:rPr>
                <w:sz w:val="22"/>
              </w:rPr>
              <w:t>24</w:t>
            </w:r>
            <w:r w:rsidR="00E10629">
              <w:rPr>
                <w:sz w:val="22"/>
              </w:rPr>
              <w:t>)</w:t>
            </w:r>
          </w:p>
        </w:tc>
        <w:tc>
          <w:tcPr>
            <w:tcW w:w="578" w:type="pct"/>
          </w:tcPr>
          <w:p w14:paraId="5569FD53" w14:textId="783A825C" w:rsidR="00927CD4" w:rsidRPr="00DE2472" w:rsidRDefault="00927CD4" w:rsidP="00CA7536">
            <w:pPr>
              <w:pStyle w:val="ae"/>
              <w:rPr>
                <w:sz w:val="22"/>
              </w:rPr>
            </w:pPr>
            <w:r w:rsidRPr="00464832">
              <w:rPr>
                <w:sz w:val="22"/>
                <w:lang w:val="en-US"/>
              </w:rPr>
              <w:t>-.0</w:t>
            </w:r>
            <w:r>
              <w:rPr>
                <w:sz w:val="22"/>
                <w:lang w:val="en-US"/>
              </w:rPr>
              <w:t>42**</w:t>
            </w:r>
            <w:r w:rsidR="00DE2472">
              <w:rPr>
                <w:sz w:val="22"/>
              </w:rPr>
              <w:t xml:space="preserve"> (</w:t>
            </w:r>
            <w:r w:rsidR="00DE2472" w:rsidRPr="00DE2472">
              <w:rPr>
                <w:sz w:val="22"/>
              </w:rPr>
              <w:t>.0</w:t>
            </w:r>
            <w:r w:rsidR="00662566">
              <w:rPr>
                <w:sz w:val="22"/>
              </w:rPr>
              <w:t>21</w:t>
            </w:r>
            <w:r w:rsidR="00DE2472">
              <w:rPr>
                <w:sz w:val="22"/>
              </w:rPr>
              <w:t>)</w:t>
            </w:r>
          </w:p>
        </w:tc>
      </w:tr>
      <w:tr w:rsidR="00927CD4" w:rsidRPr="0081767E" w14:paraId="75EBF86E" w14:textId="77777777" w:rsidTr="00CA7536">
        <w:trPr>
          <w:trHeight w:val="885"/>
          <w:jc w:val="center"/>
        </w:trPr>
        <w:tc>
          <w:tcPr>
            <w:tcW w:w="1521" w:type="pct"/>
          </w:tcPr>
          <w:p w14:paraId="49FC2C21" w14:textId="77777777" w:rsidR="00927CD4" w:rsidRPr="0081767E" w:rsidRDefault="00927CD4" w:rsidP="00CA7536">
            <w:pPr>
              <w:ind w:firstLine="0"/>
              <w:rPr>
                <w:i/>
                <w:iCs/>
                <w:lang w:val="en-US"/>
              </w:rPr>
            </w:pPr>
            <w:r>
              <w:rPr>
                <w:i/>
                <w:iCs/>
                <w:lang w:val="en-US"/>
              </w:rPr>
              <w:t>Div_yield</w:t>
            </w:r>
          </w:p>
        </w:tc>
        <w:tc>
          <w:tcPr>
            <w:tcW w:w="577" w:type="pct"/>
          </w:tcPr>
          <w:p w14:paraId="6A35DD68" w14:textId="0610F5FE" w:rsidR="00927CD4" w:rsidRPr="001142DF" w:rsidRDefault="00927CD4" w:rsidP="00CA7536">
            <w:pPr>
              <w:pStyle w:val="ae"/>
              <w:rPr>
                <w:sz w:val="22"/>
              </w:rPr>
            </w:pPr>
            <w:r w:rsidRPr="00887F0C">
              <w:rPr>
                <w:sz w:val="22"/>
                <w:lang w:val="en-US"/>
              </w:rPr>
              <w:t>.714</w:t>
            </w:r>
            <w:r>
              <w:rPr>
                <w:sz w:val="22"/>
                <w:lang w:val="en-US"/>
              </w:rPr>
              <w:t>***</w:t>
            </w:r>
            <w:r w:rsidR="001142DF">
              <w:rPr>
                <w:sz w:val="22"/>
              </w:rPr>
              <w:t xml:space="preserve"> (</w:t>
            </w:r>
            <w:r w:rsidR="001142DF" w:rsidRPr="001142DF">
              <w:rPr>
                <w:sz w:val="22"/>
              </w:rPr>
              <w:t>.</w:t>
            </w:r>
            <w:r w:rsidR="007B5AED">
              <w:rPr>
                <w:sz w:val="22"/>
              </w:rPr>
              <w:t>195</w:t>
            </w:r>
            <w:r w:rsidR="001142DF">
              <w:rPr>
                <w:sz w:val="22"/>
              </w:rPr>
              <w:t>)</w:t>
            </w:r>
          </w:p>
        </w:tc>
        <w:tc>
          <w:tcPr>
            <w:tcW w:w="581" w:type="pct"/>
          </w:tcPr>
          <w:p w14:paraId="2F7BBC71" w14:textId="2DFF61BA" w:rsidR="00927CD4" w:rsidRPr="00906C65" w:rsidRDefault="00927CD4" w:rsidP="00CA7536">
            <w:pPr>
              <w:pStyle w:val="ae"/>
              <w:rPr>
                <w:sz w:val="22"/>
              </w:rPr>
            </w:pPr>
            <w:r w:rsidRPr="00887F0C">
              <w:rPr>
                <w:sz w:val="22"/>
                <w:lang w:val="en-US"/>
              </w:rPr>
              <w:t>.85</w:t>
            </w:r>
            <w:r>
              <w:rPr>
                <w:sz w:val="22"/>
                <w:lang w:val="en-US"/>
              </w:rPr>
              <w:t>5***</w:t>
            </w:r>
            <w:r w:rsidR="00906C65">
              <w:rPr>
                <w:sz w:val="22"/>
              </w:rPr>
              <w:t xml:space="preserve"> (</w:t>
            </w:r>
            <w:r w:rsidR="00906C65" w:rsidRPr="00906C65">
              <w:rPr>
                <w:sz w:val="22"/>
              </w:rPr>
              <w:t>.20</w:t>
            </w:r>
            <w:r w:rsidR="007B5AED">
              <w:rPr>
                <w:sz w:val="22"/>
              </w:rPr>
              <w:t>7</w:t>
            </w:r>
            <w:r w:rsidR="00906C65">
              <w:rPr>
                <w:sz w:val="22"/>
              </w:rPr>
              <w:t>)</w:t>
            </w:r>
          </w:p>
        </w:tc>
        <w:tc>
          <w:tcPr>
            <w:tcW w:w="581" w:type="pct"/>
          </w:tcPr>
          <w:p w14:paraId="38F916D7" w14:textId="797D30A4" w:rsidR="00927CD4" w:rsidRPr="00906C65" w:rsidRDefault="00927CD4" w:rsidP="00CA7536">
            <w:pPr>
              <w:pStyle w:val="ae"/>
              <w:rPr>
                <w:sz w:val="22"/>
              </w:rPr>
            </w:pPr>
            <w:r w:rsidRPr="00FC2F45">
              <w:rPr>
                <w:sz w:val="22"/>
                <w:lang w:val="en-US"/>
              </w:rPr>
              <w:t>.739</w:t>
            </w:r>
            <w:r>
              <w:rPr>
                <w:sz w:val="22"/>
                <w:lang w:val="en-US"/>
              </w:rPr>
              <w:t>***</w:t>
            </w:r>
            <w:r w:rsidR="00906C65">
              <w:rPr>
                <w:sz w:val="22"/>
              </w:rPr>
              <w:t xml:space="preserve"> (</w:t>
            </w:r>
            <w:r w:rsidR="00906C65" w:rsidRPr="00906C65">
              <w:rPr>
                <w:sz w:val="22"/>
              </w:rPr>
              <w:t>.</w:t>
            </w:r>
            <w:r w:rsidR="007B5AED">
              <w:rPr>
                <w:sz w:val="22"/>
              </w:rPr>
              <w:t>185</w:t>
            </w:r>
            <w:r w:rsidR="00906C65">
              <w:rPr>
                <w:sz w:val="22"/>
              </w:rPr>
              <w:t>)</w:t>
            </w:r>
          </w:p>
        </w:tc>
        <w:tc>
          <w:tcPr>
            <w:tcW w:w="581" w:type="pct"/>
          </w:tcPr>
          <w:p w14:paraId="46EDFD23" w14:textId="32131246" w:rsidR="00927CD4" w:rsidRPr="00E10629" w:rsidRDefault="00927CD4" w:rsidP="00CA7536">
            <w:pPr>
              <w:pStyle w:val="ae"/>
              <w:rPr>
                <w:sz w:val="22"/>
              </w:rPr>
            </w:pPr>
            <w:r w:rsidRPr="00FC2F45">
              <w:rPr>
                <w:sz w:val="22"/>
                <w:lang w:val="en-US"/>
              </w:rPr>
              <w:t>1.436</w:t>
            </w:r>
            <w:r w:rsidR="00E10629">
              <w:rPr>
                <w:sz w:val="22"/>
              </w:rPr>
              <w:t xml:space="preserve"> (</w:t>
            </w:r>
            <w:r w:rsidR="00E10629" w:rsidRPr="00E10629">
              <w:rPr>
                <w:sz w:val="22"/>
              </w:rPr>
              <w:t>1.</w:t>
            </w:r>
            <w:r w:rsidR="007B5AED">
              <w:rPr>
                <w:sz w:val="22"/>
              </w:rPr>
              <w:t>152</w:t>
            </w:r>
            <w:r w:rsidR="00E10629">
              <w:rPr>
                <w:sz w:val="22"/>
              </w:rPr>
              <w:t>)</w:t>
            </w:r>
          </w:p>
        </w:tc>
        <w:tc>
          <w:tcPr>
            <w:tcW w:w="581" w:type="pct"/>
          </w:tcPr>
          <w:p w14:paraId="3315090C" w14:textId="093342CE" w:rsidR="00927CD4" w:rsidRPr="00E10629" w:rsidRDefault="00927CD4" w:rsidP="00CA7536">
            <w:pPr>
              <w:pStyle w:val="ae"/>
              <w:rPr>
                <w:sz w:val="22"/>
              </w:rPr>
            </w:pPr>
            <w:r w:rsidRPr="00464832">
              <w:rPr>
                <w:sz w:val="22"/>
                <w:lang w:val="en-US"/>
              </w:rPr>
              <w:t>1.105</w:t>
            </w:r>
            <w:r w:rsidR="00E10629">
              <w:rPr>
                <w:sz w:val="22"/>
              </w:rPr>
              <w:t xml:space="preserve"> (</w:t>
            </w:r>
            <w:r w:rsidR="00E10629" w:rsidRPr="00E10629">
              <w:rPr>
                <w:sz w:val="22"/>
              </w:rPr>
              <w:t>1.</w:t>
            </w:r>
            <w:r w:rsidR="00662566">
              <w:rPr>
                <w:sz w:val="22"/>
              </w:rPr>
              <w:t>014</w:t>
            </w:r>
            <w:r w:rsidR="00E10629">
              <w:rPr>
                <w:sz w:val="22"/>
              </w:rPr>
              <w:t>)</w:t>
            </w:r>
          </w:p>
        </w:tc>
        <w:tc>
          <w:tcPr>
            <w:tcW w:w="578" w:type="pct"/>
          </w:tcPr>
          <w:p w14:paraId="4908E953" w14:textId="06A3547C" w:rsidR="00927CD4" w:rsidRPr="00DE2472" w:rsidRDefault="00927CD4" w:rsidP="00CA7536">
            <w:pPr>
              <w:pStyle w:val="ae"/>
              <w:rPr>
                <w:sz w:val="22"/>
              </w:rPr>
            </w:pPr>
            <w:r w:rsidRPr="00464832">
              <w:rPr>
                <w:sz w:val="22"/>
                <w:lang w:val="en-US"/>
              </w:rPr>
              <w:t>1.311</w:t>
            </w:r>
            <w:r w:rsidR="00DE2472">
              <w:rPr>
                <w:sz w:val="22"/>
              </w:rPr>
              <w:t xml:space="preserve"> (</w:t>
            </w:r>
            <w:r w:rsidR="00DE2472" w:rsidRPr="00DE2472">
              <w:rPr>
                <w:sz w:val="22"/>
              </w:rPr>
              <w:t>1.1</w:t>
            </w:r>
            <w:r w:rsidR="00662566">
              <w:rPr>
                <w:sz w:val="22"/>
              </w:rPr>
              <w:t>48</w:t>
            </w:r>
            <w:r w:rsidR="00DE2472">
              <w:rPr>
                <w:sz w:val="22"/>
              </w:rPr>
              <w:t>)</w:t>
            </w:r>
          </w:p>
        </w:tc>
      </w:tr>
      <w:tr w:rsidR="00927CD4" w:rsidRPr="0081767E" w14:paraId="4E186001" w14:textId="77777777" w:rsidTr="00CA7536">
        <w:trPr>
          <w:trHeight w:val="885"/>
          <w:jc w:val="center"/>
        </w:trPr>
        <w:tc>
          <w:tcPr>
            <w:tcW w:w="1521" w:type="pct"/>
          </w:tcPr>
          <w:p w14:paraId="78A687A6" w14:textId="77777777" w:rsidR="00927CD4" w:rsidRPr="00136648" w:rsidRDefault="00927CD4" w:rsidP="00CA7536">
            <w:pPr>
              <w:ind w:firstLine="0"/>
              <w:rPr>
                <w:i/>
                <w:iCs/>
                <w:lang w:val="en-US"/>
              </w:rPr>
            </w:pPr>
            <w:r>
              <w:rPr>
                <w:i/>
                <w:iCs/>
                <w:lang w:val="en-US"/>
              </w:rPr>
              <w:t>P_BV</w:t>
            </w:r>
          </w:p>
        </w:tc>
        <w:tc>
          <w:tcPr>
            <w:tcW w:w="577" w:type="pct"/>
          </w:tcPr>
          <w:p w14:paraId="27AED687" w14:textId="52BC4E45" w:rsidR="00927CD4" w:rsidRPr="001142DF" w:rsidRDefault="00927CD4" w:rsidP="00CA7536">
            <w:pPr>
              <w:pStyle w:val="ae"/>
              <w:rPr>
                <w:sz w:val="22"/>
              </w:rPr>
            </w:pPr>
            <w:r w:rsidRPr="00B513D2">
              <w:rPr>
                <w:sz w:val="22"/>
              </w:rPr>
              <w:t>-.00</w:t>
            </w:r>
            <w:r>
              <w:rPr>
                <w:sz w:val="22"/>
                <w:lang w:val="en-US"/>
              </w:rPr>
              <w:t>2***</w:t>
            </w:r>
            <w:r w:rsidR="001142DF">
              <w:rPr>
                <w:sz w:val="22"/>
              </w:rPr>
              <w:t xml:space="preserve"> (</w:t>
            </w:r>
            <w:r w:rsidR="001142DF" w:rsidRPr="001142DF">
              <w:rPr>
                <w:sz w:val="22"/>
              </w:rPr>
              <w:t>.000</w:t>
            </w:r>
            <w:r w:rsidR="001142DF">
              <w:rPr>
                <w:sz w:val="22"/>
              </w:rPr>
              <w:t>)</w:t>
            </w:r>
          </w:p>
        </w:tc>
        <w:tc>
          <w:tcPr>
            <w:tcW w:w="581" w:type="pct"/>
          </w:tcPr>
          <w:p w14:paraId="7968D02E" w14:textId="2E804A25" w:rsidR="00927CD4" w:rsidRPr="00906C65" w:rsidRDefault="00927CD4" w:rsidP="00CA7536">
            <w:pPr>
              <w:pStyle w:val="ae"/>
              <w:rPr>
                <w:sz w:val="22"/>
              </w:rPr>
            </w:pPr>
            <w:r w:rsidRPr="00B513D2">
              <w:rPr>
                <w:sz w:val="22"/>
                <w:lang w:val="en-US"/>
              </w:rPr>
              <w:t>-.00</w:t>
            </w:r>
            <w:r>
              <w:rPr>
                <w:sz w:val="22"/>
              </w:rPr>
              <w:t>2</w:t>
            </w:r>
            <w:r>
              <w:rPr>
                <w:sz w:val="22"/>
                <w:lang w:val="en-US"/>
              </w:rPr>
              <w:t>***</w:t>
            </w:r>
            <w:r w:rsidR="00906C65">
              <w:rPr>
                <w:sz w:val="22"/>
              </w:rPr>
              <w:t xml:space="preserve"> (</w:t>
            </w:r>
            <w:r w:rsidR="00906C65" w:rsidRPr="00906C65">
              <w:rPr>
                <w:sz w:val="22"/>
              </w:rPr>
              <w:t>.000</w:t>
            </w:r>
            <w:r w:rsidR="00906C65">
              <w:rPr>
                <w:sz w:val="22"/>
              </w:rPr>
              <w:t>)</w:t>
            </w:r>
          </w:p>
        </w:tc>
        <w:tc>
          <w:tcPr>
            <w:tcW w:w="581" w:type="pct"/>
          </w:tcPr>
          <w:p w14:paraId="45077E6E" w14:textId="11267D40" w:rsidR="00927CD4" w:rsidRPr="00906C65" w:rsidRDefault="00927CD4" w:rsidP="00CA7536">
            <w:pPr>
              <w:pStyle w:val="ae"/>
              <w:rPr>
                <w:sz w:val="22"/>
              </w:rPr>
            </w:pPr>
            <w:r w:rsidRPr="00C75836">
              <w:rPr>
                <w:sz w:val="22"/>
                <w:lang w:val="en-US"/>
              </w:rPr>
              <w:t>-.002</w:t>
            </w:r>
            <w:r>
              <w:rPr>
                <w:sz w:val="22"/>
                <w:lang w:val="en-US"/>
              </w:rPr>
              <w:t>***</w:t>
            </w:r>
            <w:r w:rsidR="00906C65">
              <w:rPr>
                <w:sz w:val="22"/>
              </w:rPr>
              <w:t xml:space="preserve"> (</w:t>
            </w:r>
            <w:r w:rsidR="00906C65" w:rsidRPr="00906C65">
              <w:rPr>
                <w:sz w:val="22"/>
              </w:rPr>
              <w:t>.000</w:t>
            </w:r>
            <w:r w:rsidR="00906C65">
              <w:rPr>
                <w:sz w:val="22"/>
              </w:rPr>
              <w:t>)</w:t>
            </w:r>
          </w:p>
        </w:tc>
        <w:tc>
          <w:tcPr>
            <w:tcW w:w="581" w:type="pct"/>
          </w:tcPr>
          <w:p w14:paraId="4B8A1668" w14:textId="3D9C3BC8" w:rsidR="00927CD4" w:rsidRPr="00E10629" w:rsidRDefault="00927CD4" w:rsidP="00CA7536">
            <w:pPr>
              <w:pStyle w:val="ae"/>
              <w:rPr>
                <w:sz w:val="22"/>
              </w:rPr>
            </w:pPr>
            <w:r w:rsidRPr="00FC2F45">
              <w:rPr>
                <w:sz w:val="22"/>
                <w:lang w:val="en-US"/>
              </w:rPr>
              <w:t>.02</w:t>
            </w:r>
            <w:r>
              <w:rPr>
                <w:sz w:val="22"/>
                <w:lang w:val="en-US"/>
              </w:rPr>
              <w:t>5***</w:t>
            </w:r>
            <w:r w:rsidR="00E10629">
              <w:rPr>
                <w:sz w:val="22"/>
              </w:rPr>
              <w:t xml:space="preserve"> (</w:t>
            </w:r>
            <w:r w:rsidR="00E10629" w:rsidRPr="00E10629">
              <w:rPr>
                <w:sz w:val="22"/>
              </w:rPr>
              <w:t>.00</w:t>
            </w:r>
            <w:r w:rsidR="007B5AED">
              <w:rPr>
                <w:sz w:val="22"/>
              </w:rPr>
              <w:t>4</w:t>
            </w:r>
            <w:r w:rsidR="00E10629">
              <w:rPr>
                <w:sz w:val="22"/>
              </w:rPr>
              <w:t>)</w:t>
            </w:r>
          </w:p>
        </w:tc>
        <w:tc>
          <w:tcPr>
            <w:tcW w:w="581" w:type="pct"/>
          </w:tcPr>
          <w:p w14:paraId="0B8A6276" w14:textId="40834B62" w:rsidR="00927CD4" w:rsidRPr="00E10629" w:rsidRDefault="00927CD4" w:rsidP="00CA7536">
            <w:pPr>
              <w:pStyle w:val="ae"/>
              <w:rPr>
                <w:sz w:val="22"/>
              </w:rPr>
            </w:pPr>
            <w:r w:rsidRPr="00BD3008">
              <w:rPr>
                <w:sz w:val="22"/>
                <w:lang w:val="en-US"/>
              </w:rPr>
              <w:t>.02</w:t>
            </w:r>
            <w:r>
              <w:rPr>
                <w:sz w:val="22"/>
                <w:lang w:val="en-US"/>
              </w:rPr>
              <w:t>2***</w:t>
            </w:r>
            <w:r w:rsidR="00E10629">
              <w:rPr>
                <w:sz w:val="22"/>
              </w:rPr>
              <w:t xml:space="preserve"> (</w:t>
            </w:r>
            <w:r w:rsidR="00E10629" w:rsidRPr="00E10629">
              <w:rPr>
                <w:sz w:val="22"/>
              </w:rPr>
              <w:t>.00</w:t>
            </w:r>
            <w:r w:rsidR="00662566">
              <w:rPr>
                <w:sz w:val="22"/>
              </w:rPr>
              <w:t>5</w:t>
            </w:r>
            <w:r w:rsidR="00E10629">
              <w:rPr>
                <w:sz w:val="22"/>
              </w:rPr>
              <w:t>)</w:t>
            </w:r>
          </w:p>
        </w:tc>
        <w:tc>
          <w:tcPr>
            <w:tcW w:w="578" w:type="pct"/>
          </w:tcPr>
          <w:p w14:paraId="56EFF1B4" w14:textId="6E509211" w:rsidR="00927CD4" w:rsidRPr="00DE2472" w:rsidRDefault="00927CD4" w:rsidP="00CA7536">
            <w:pPr>
              <w:pStyle w:val="ae"/>
              <w:rPr>
                <w:sz w:val="22"/>
              </w:rPr>
            </w:pPr>
            <w:r w:rsidRPr="00BD3008">
              <w:rPr>
                <w:sz w:val="22"/>
                <w:lang w:val="en-US"/>
              </w:rPr>
              <w:t>.02</w:t>
            </w:r>
            <w:r>
              <w:rPr>
                <w:sz w:val="22"/>
                <w:lang w:val="en-US"/>
              </w:rPr>
              <w:t>4***</w:t>
            </w:r>
            <w:r w:rsidR="00DE2472">
              <w:rPr>
                <w:sz w:val="22"/>
              </w:rPr>
              <w:t xml:space="preserve"> (</w:t>
            </w:r>
            <w:r w:rsidR="00DE2472" w:rsidRPr="00DE2472">
              <w:rPr>
                <w:sz w:val="22"/>
              </w:rPr>
              <w:t>.00</w:t>
            </w:r>
            <w:r w:rsidR="00DE2472">
              <w:rPr>
                <w:sz w:val="22"/>
              </w:rPr>
              <w:t>6)</w:t>
            </w:r>
          </w:p>
        </w:tc>
      </w:tr>
      <w:tr w:rsidR="00927CD4" w:rsidRPr="00480768" w14:paraId="6CFD6022" w14:textId="77777777" w:rsidTr="00CA7536">
        <w:trPr>
          <w:trHeight w:val="885"/>
          <w:jc w:val="center"/>
        </w:trPr>
        <w:tc>
          <w:tcPr>
            <w:tcW w:w="1521" w:type="pct"/>
          </w:tcPr>
          <w:p w14:paraId="1827E97F" w14:textId="77777777" w:rsidR="00927CD4" w:rsidRPr="00EB6378" w:rsidRDefault="00927CD4" w:rsidP="00CA7536">
            <w:pPr>
              <w:ind w:firstLine="0"/>
              <w:rPr>
                <w:i/>
                <w:iCs/>
                <w:lang w:val="en-US"/>
              </w:rPr>
            </w:pPr>
            <w:r>
              <w:rPr>
                <w:i/>
                <w:iCs/>
                <w:lang w:val="en-US"/>
              </w:rPr>
              <w:t>Dps_surprise</w:t>
            </w:r>
          </w:p>
        </w:tc>
        <w:tc>
          <w:tcPr>
            <w:tcW w:w="577" w:type="pct"/>
          </w:tcPr>
          <w:p w14:paraId="4E356C87" w14:textId="16A4439C" w:rsidR="00927CD4" w:rsidRPr="00906C65" w:rsidRDefault="00927CD4" w:rsidP="00CA7536">
            <w:pPr>
              <w:pStyle w:val="ae"/>
              <w:rPr>
                <w:sz w:val="22"/>
              </w:rPr>
            </w:pPr>
            <w:r w:rsidRPr="00887F0C">
              <w:rPr>
                <w:sz w:val="22"/>
              </w:rPr>
              <w:t>-.00</w:t>
            </w:r>
            <w:r>
              <w:rPr>
                <w:sz w:val="22"/>
                <w:lang w:val="en-US"/>
              </w:rPr>
              <w:t>3</w:t>
            </w:r>
            <w:r w:rsidR="00906C65">
              <w:rPr>
                <w:sz w:val="22"/>
              </w:rPr>
              <w:t xml:space="preserve"> (</w:t>
            </w:r>
            <w:r w:rsidR="00906C65" w:rsidRPr="00906C65">
              <w:rPr>
                <w:sz w:val="22"/>
              </w:rPr>
              <w:t>.02</w:t>
            </w:r>
            <w:r w:rsidR="007B5AED">
              <w:rPr>
                <w:sz w:val="22"/>
              </w:rPr>
              <w:t>5</w:t>
            </w:r>
            <w:r w:rsidR="00906C65">
              <w:rPr>
                <w:sz w:val="22"/>
              </w:rPr>
              <w:t>)</w:t>
            </w:r>
          </w:p>
        </w:tc>
        <w:tc>
          <w:tcPr>
            <w:tcW w:w="581" w:type="pct"/>
          </w:tcPr>
          <w:p w14:paraId="72914424" w14:textId="0BAEC99F" w:rsidR="00927CD4" w:rsidRPr="00906C65" w:rsidRDefault="00927CD4" w:rsidP="00CA7536">
            <w:pPr>
              <w:pStyle w:val="ae"/>
              <w:rPr>
                <w:sz w:val="22"/>
              </w:rPr>
            </w:pPr>
            <w:r w:rsidRPr="00887F0C">
              <w:rPr>
                <w:sz w:val="22"/>
                <w:lang w:val="en-US"/>
              </w:rPr>
              <w:t>-.015</w:t>
            </w:r>
            <w:r w:rsidR="00906C65">
              <w:rPr>
                <w:sz w:val="22"/>
              </w:rPr>
              <w:t xml:space="preserve"> (</w:t>
            </w:r>
            <w:r w:rsidR="00906C65" w:rsidRPr="00906C65">
              <w:rPr>
                <w:sz w:val="22"/>
              </w:rPr>
              <w:t>.02</w:t>
            </w:r>
            <w:r w:rsidR="007B5AED">
              <w:rPr>
                <w:sz w:val="22"/>
              </w:rPr>
              <w:t>5</w:t>
            </w:r>
            <w:r w:rsidR="00906C65">
              <w:rPr>
                <w:sz w:val="22"/>
              </w:rPr>
              <w:t>)</w:t>
            </w:r>
          </w:p>
        </w:tc>
        <w:tc>
          <w:tcPr>
            <w:tcW w:w="581" w:type="pct"/>
          </w:tcPr>
          <w:p w14:paraId="49F015C2" w14:textId="296C97DA" w:rsidR="00927CD4" w:rsidRPr="00906C65" w:rsidRDefault="00927CD4" w:rsidP="00CA7536">
            <w:pPr>
              <w:pStyle w:val="ae"/>
              <w:rPr>
                <w:sz w:val="22"/>
              </w:rPr>
            </w:pPr>
            <w:r w:rsidRPr="00FC2F45">
              <w:rPr>
                <w:sz w:val="22"/>
                <w:lang w:val="en-US"/>
              </w:rPr>
              <w:t>-.003</w:t>
            </w:r>
            <w:r w:rsidR="00906C65">
              <w:rPr>
                <w:sz w:val="22"/>
              </w:rPr>
              <w:t xml:space="preserve"> (</w:t>
            </w:r>
            <w:r w:rsidR="00906C65" w:rsidRPr="00906C65">
              <w:rPr>
                <w:sz w:val="22"/>
              </w:rPr>
              <w:t>.02</w:t>
            </w:r>
            <w:r w:rsidR="007B5AED">
              <w:rPr>
                <w:sz w:val="22"/>
              </w:rPr>
              <w:t>5</w:t>
            </w:r>
            <w:r w:rsidR="00906C65">
              <w:rPr>
                <w:sz w:val="22"/>
              </w:rPr>
              <w:t>)</w:t>
            </w:r>
          </w:p>
        </w:tc>
        <w:tc>
          <w:tcPr>
            <w:tcW w:w="581" w:type="pct"/>
          </w:tcPr>
          <w:p w14:paraId="1A7F96E9" w14:textId="4847970F" w:rsidR="00927CD4" w:rsidRPr="00E10629" w:rsidRDefault="00927CD4" w:rsidP="00CA7536">
            <w:pPr>
              <w:pStyle w:val="ae"/>
              <w:rPr>
                <w:sz w:val="22"/>
              </w:rPr>
            </w:pPr>
            <w:r w:rsidRPr="00A62E00">
              <w:rPr>
                <w:sz w:val="22"/>
                <w:lang w:val="en-US"/>
              </w:rPr>
              <w:t>.000</w:t>
            </w:r>
            <w:r w:rsidR="00E10629">
              <w:rPr>
                <w:sz w:val="22"/>
              </w:rPr>
              <w:t xml:space="preserve"> (</w:t>
            </w:r>
            <w:r w:rsidR="00E10629" w:rsidRPr="00E10629">
              <w:rPr>
                <w:sz w:val="22"/>
              </w:rPr>
              <w:t>.000</w:t>
            </w:r>
            <w:r w:rsidR="00E10629">
              <w:rPr>
                <w:sz w:val="22"/>
              </w:rPr>
              <w:t>)</w:t>
            </w:r>
          </w:p>
        </w:tc>
        <w:tc>
          <w:tcPr>
            <w:tcW w:w="581" w:type="pct"/>
          </w:tcPr>
          <w:p w14:paraId="2BCD1D8C" w14:textId="0EE57557" w:rsidR="00927CD4" w:rsidRPr="00E10629" w:rsidRDefault="00927CD4" w:rsidP="00CA7536">
            <w:pPr>
              <w:pStyle w:val="ae"/>
              <w:rPr>
                <w:sz w:val="22"/>
              </w:rPr>
            </w:pPr>
            <w:r w:rsidRPr="00464832">
              <w:rPr>
                <w:sz w:val="22"/>
                <w:lang w:val="en-US"/>
              </w:rPr>
              <w:t>6.70e-06</w:t>
            </w:r>
            <w:r w:rsidR="00E10629">
              <w:rPr>
                <w:sz w:val="22"/>
              </w:rPr>
              <w:t xml:space="preserve"> (</w:t>
            </w:r>
            <w:r w:rsidR="00E10629" w:rsidRPr="00E10629">
              <w:rPr>
                <w:sz w:val="22"/>
              </w:rPr>
              <w:t>.000</w:t>
            </w:r>
            <w:r w:rsidR="00E10629">
              <w:rPr>
                <w:sz w:val="22"/>
              </w:rPr>
              <w:t>)</w:t>
            </w:r>
          </w:p>
        </w:tc>
        <w:tc>
          <w:tcPr>
            <w:tcW w:w="578" w:type="pct"/>
          </w:tcPr>
          <w:p w14:paraId="76F34079" w14:textId="33E952EE" w:rsidR="00927CD4" w:rsidRPr="00DE2472" w:rsidRDefault="00927CD4" w:rsidP="00CA7536">
            <w:pPr>
              <w:pStyle w:val="ae"/>
              <w:rPr>
                <w:sz w:val="22"/>
              </w:rPr>
            </w:pPr>
            <w:r w:rsidRPr="00464832">
              <w:rPr>
                <w:sz w:val="22"/>
                <w:lang w:val="en-US"/>
              </w:rPr>
              <w:t>8.44e-06</w:t>
            </w:r>
            <w:r w:rsidR="00DE2472">
              <w:rPr>
                <w:sz w:val="22"/>
              </w:rPr>
              <w:t xml:space="preserve"> (</w:t>
            </w:r>
            <w:r w:rsidR="00DE2472" w:rsidRPr="00DE2472">
              <w:rPr>
                <w:sz w:val="22"/>
              </w:rPr>
              <w:t>.000</w:t>
            </w:r>
            <w:r w:rsidR="00DE2472">
              <w:rPr>
                <w:sz w:val="22"/>
              </w:rPr>
              <w:t>)</w:t>
            </w:r>
          </w:p>
        </w:tc>
      </w:tr>
      <w:tr w:rsidR="00927CD4" w:rsidRPr="0081767E" w14:paraId="44C19BD3" w14:textId="77777777" w:rsidTr="00CA7536">
        <w:trPr>
          <w:trHeight w:val="885"/>
          <w:jc w:val="center"/>
        </w:trPr>
        <w:tc>
          <w:tcPr>
            <w:tcW w:w="1521" w:type="pct"/>
          </w:tcPr>
          <w:p w14:paraId="4F5DF40F" w14:textId="77777777" w:rsidR="00927CD4" w:rsidRDefault="00927CD4" w:rsidP="00CA7536">
            <w:pPr>
              <w:ind w:firstLine="0"/>
              <w:rPr>
                <w:i/>
                <w:iCs/>
                <w:lang w:val="en-US"/>
              </w:rPr>
            </w:pPr>
            <w:r>
              <w:rPr>
                <w:i/>
                <w:iCs/>
                <w:lang w:val="en-US"/>
              </w:rPr>
              <w:t>Eps_surprise</w:t>
            </w:r>
          </w:p>
        </w:tc>
        <w:tc>
          <w:tcPr>
            <w:tcW w:w="577" w:type="pct"/>
          </w:tcPr>
          <w:p w14:paraId="6268B917" w14:textId="5C057D6E" w:rsidR="00927CD4" w:rsidRPr="00906C65" w:rsidRDefault="00927CD4" w:rsidP="00CA7536">
            <w:pPr>
              <w:pStyle w:val="ae"/>
              <w:rPr>
                <w:sz w:val="22"/>
              </w:rPr>
            </w:pPr>
            <w:r w:rsidRPr="00887F0C">
              <w:rPr>
                <w:sz w:val="22"/>
              </w:rPr>
              <w:t>-.02</w:t>
            </w:r>
            <w:r>
              <w:rPr>
                <w:sz w:val="22"/>
                <w:lang w:val="en-US"/>
              </w:rPr>
              <w:t>4</w:t>
            </w:r>
            <w:r w:rsidR="00906C65">
              <w:rPr>
                <w:sz w:val="22"/>
              </w:rPr>
              <w:t xml:space="preserve"> (</w:t>
            </w:r>
            <w:r w:rsidR="00906C65" w:rsidRPr="00906C65">
              <w:rPr>
                <w:sz w:val="22"/>
              </w:rPr>
              <w:t>.02</w:t>
            </w:r>
            <w:r w:rsidR="007B5AED">
              <w:rPr>
                <w:sz w:val="22"/>
              </w:rPr>
              <w:t>6</w:t>
            </w:r>
            <w:r w:rsidR="00906C65">
              <w:rPr>
                <w:sz w:val="22"/>
              </w:rPr>
              <w:t>)</w:t>
            </w:r>
          </w:p>
        </w:tc>
        <w:tc>
          <w:tcPr>
            <w:tcW w:w="581" w:type="pct"/>
          </w:tcPr>
          <w:p w14:paraId="669198CB" w14:textId="11F4671A" w:rsidR="00927CD4" w:rsidRPr="00906C65" w:rsidRDefault="00927CD4" w:rsidP="00CA7536">
            <w:pPr>
              <w:pStyle w:val="ae"/>
              <w:rPr>
                <w:sz w:val="22"/>
              </w:rPr>
            </w:pPr>
            <w:r w:rsidRPr="00887F0C">
              <w:rPr>
                <w:sz w:val="22"/>
              </w:rPr>
              <w:t>-.03</w:t>
            </w:r>
            <w:r>
              <w:rPr>
                <w:sz w:val="22"/>
                <w:lang w:val="en-US"/>
              </w:rPr>
              <w:t>3</w:t>
            </w:r>
            <w:r w:rsidR="00906C65">
              <w:rPr>
                <w:sz w:val="22"/>
              </w:rPr>
              <w:t xml:space="preserve"> (</w:t>
            </w:r>
            <w:r w:rsidR="00906C65" w:rsidRPr="00906C65">
              <w:rPr>
                <w:sz w:val="22"/>
              </w:rPr>
              <w:t>.02</w:t>
            </w:r>
            <w:r w:rsidR="007B5AED">
              <w:rPr>
                <w:sz w:val="22"/>
              </w:rPr>
              <w:t>5</w:t>
            </w:r>
            <w:r w:rsidR="00906C65">
              <w:rPr>
                <w:sz w:val="22"/>
              </w:rPr>
              <w:t>)</w:t>
            </w:r>
          </w:p>
        </w:tc>
        <w:tc>
          <w:tcPr>
            <w:tcW w:w="581" w:type="pct"/>
          </w:tcPr>
          <w:p w14:paraId="7A9FA418" w14:textId="40AAB11E" w:rsidR="00927CD4" w:rsidRPr="00C75836" w:rsidRDefault="00927CD4" w:rsidP="00CA7536">
            <w:pPr>
              <w:pStyle w:val="ae"/>
              <w:rPr>
                <w:sz w:val="22"/>
                <w:lang w:val="en-US"/>
              </w:rPr>
            </w:pPr>
            <w:r w:rsidRPr="00FC2F45">
              <w:rPr>
                <w:sz w:val="22"/>
              </w:rPr>
              <w:t>-.026</w:t>
            </w:r>
            <w:r w:rsidR="00906C65">
              <w:rPr>
                <w:sz w:val="22"/>
              </w:rPr>
              <w:t xml:space="preserve"> (</w:t>
            </w:r>
            <w:r w:rsidR="00906C65" w:rsidRPr="00906C65">
              <w:rPr>
                <w:sz w:val="22"/>
              </w:rPr>
              <w:t>.02</w:t>
            </w:r>
            <w:r w:rsidR="00906C65">
              <w:rPr>
                <w:sz w:val="22"/>
              </w:rPr>
              <w:t>5)</w:t>
            </w:r>
          </w:p>
        </w:tc>
        <w:tc>
          <w:tcPr>
            <w:tcW w:w="581" w:type="pct"/>
          </w:tcPr>
          <w:p w14:paraId="596732B0" w14:textId="3CDFC271" w:rsidR="00927CD4" w:rsidRPr="00E10629" w:rsidRDefault="00927CD4" w:rsidP="00CA7536">
            <w:pPr>
              <w:pStyle w:val="ae"/>
              <w:rPr>
                <w:sz w:val="22"/>
              </w:rPr>
            </w:pPr>
            <w:r w:rsidRPr="00BD3008">
              <w:rPr>
                <w:sz w:val="22"/>
                <w:lang w:val="en-US"/>
              </w:rPr>
              <w:t>.0</w:t>
            </w:r>
            <w:r>
              <w:rPr>
                <w:sz w:val="22"/>
                <w:lang w:val="en-US"/>
              </w:rPr>
              <w:t>17</w:t>
            </w:r>
            <w:r w:rsidR="00E10629">
              <w:rPr>
                <w:sz w:val="22"/>
              </w:rPr>
              <w:t xml:space="preserve"> (</w:t>
            </w:r>
            <w:r w:rsidR="00E10629" w:rsidRPr="00E10629">
              <w:rPr>
                <w:sz w:val="22"/>
              </w:rPr>
              <w:t>.0</w:t>
            </w:r>
            <w:r w:rsidR="007B5AED">
              <w:rPr>
                <w:sz w:val="22"/>
              </w:rPr>
              <w:t>17</w:t>
            </w:r>
            <w:r w:rsidR="00E10629">
              <w:rPr>
                <w:sz w:val="22"/>
              </w:rPr>
              <w:t>)</w:t>
            </w:r>
          </w:p>
        </w:tc>
        <w:tc>
          <w:tcPr>
            <w:tcW w:w="581" w:type="pct"/>
          </w:tcPr>
          <w:p w14:paraId="67108172" w14:textId="2C8CD72B" w:rsidR="00927CD4" w:rsidRPr="0081767E" w:rsidRDefault="00927CD4" w:rsidP="00CA7536">
            <w:pPr>
              <w:pStyle w:val="ae"/>
              <w:rPr>
                <w:sz w:val="22"/>
              </w:rPr>
            </w:pPr>
            <w:r w:rsidRPr="00464832">
              <w:rPr>
                <w:sz w:val="22"/>
              </w:rPr>
              <w:t>.001</w:t>
            </w:r>
            <w:r w:rsidR="00E10629">
              <w:rPr>
                <w:sz w:val="22"/>
              </w:rPr>
              <w:t xml:space="preserve"> (</w:t>
            </w:r>
            <w:r w:rsidR="00E10629" w:rsidRPr="00E10629">
              <w:rPr>
                <w:sz w:val="22"/>
              </w:rPr>
              <w:t>.0</w:t>
            </w:r>
            <w:r w:rsidR="00662566">
              <w:rPr>
                <w:sz w:val="22"/>
              </w:rPr>
              <w:t>20</w:t>
            </w:r>
            <w:r w:rsidR="00E10629">
              <w:rPr>
                <w:sz w:val="22"/>
              </w:rPr>
              <w:t>)</w:t>
            </w:r>
          </w:p>
        </w:tc>
        <w:tc>
          <w:tcPr>
            <w:tcW w:w="578" w:type="pct"/>
          </w:tcPr>
          <w:p w14:paraId="7F42E7C0" w14:textId="4A99E30B" w:rsidR="00927CD4" w:rsidRPr="0081767E" w:rsidRDefault="00927CD4" w:rsidP="00CA7536">
            <w:pPr>
              <w:pStyle w:val="ae"/>
              <w:rPr>
                <w:sz w:val="22"/>
              </w:rPr>
            </w:pPr>
            <w:r w:rsidRPr="008C1C74">
              <w:rPr>
                <w:sz w:val="22"/>
              </w:rPr>
              <w:t>.009</w:t>
            </w:r>
            <w:r w:rsidR="00DE2472">
              <w:rPr>
                <w:sz w:val="22"/>
              </w:rPr>
              <w:t xml:space="preserve"> (</w:t>
            </w:r>
            <w:r w:rsidR="00DE2472" w:rsidRPr="00DE2472">
              <w:rPr>
                <w:sz w:val="22"/>
              </w:rPr>
              <w:t>.0</w:t>
            </w:r>
            <w:r w:rsidR="00662566">
              <w:rPr>
                <w:sz w:val="22"/>
              </w:rPr>
              <w:t>22</w:t>
            </w:r>
            <w:r w:rsidR="00DE2472">
              <w:rPr>
                <w:sz w:val="22"/>
              </w:rPr>
              <w:t>)</w:t>
            </w:r>
          </w:p>
        </w:tc>
      </w:tr>
      <w:tr w:rsidR="00927CD4" w:rsidRPr="00A45D35" w14:paraId="1EB777D1" w14:textId="77777777" w:rsidTr="00CA7536">
        <w:trPr>
          <w:trHeight w:val="885"/>
          <w:jc w:val="center"/>
        </w:trPr>
        <w:tc>
          <w:tcPr>
            <w:tcW w:w="1521" w:type="pct"/>
          </w:tcPr>
          <w:p w14:paraId="5283B6DB" w14:textId="77777777" w:rsidR="00927CD4" w:rsidRDefault="00927CD4" w:rsidP="00CA7536">
            <w:pPr>
              <w:ind w:firstLine="0"/>
              <w:rPr>
                <w:i/>
                <w:iCs/>
                <w:lang w:val="en-US"/>
              </w:rPr>
            </w:pPr>
            <w:r>
              <w:rPr>
                <w:i/>
                <w:iCs/>
                <w:lang w:val="en-US"/>
              </w:rPr>
              <w:t>State_control</w:t>
            </w:r>
          </w:p>
        </w:tc>
        <w:tc>
          <w:tcPr>
            <w:tcW w:w="577" w:type="pct"/>
          </w:tcPr>
          <w:p w14:paraId="220ADB28" w14:textId="64A13B40" w:rsidR="00927CD4" w:rsidRPr="00906C65" w:rsidRDefault="00927CD4" w:rsidP="00CA7536">
            <w:pPr>
              <w:pStyle w:val="ae"/>
              <w:rPr>
                <w:sz w:val="22"/>
              </w:rPr>
            </w:pPr>
            <w:r w:rsidRPr="00887F0C">
              <w:rPr>
                <w:sz w:val="22"/>
              </w:rPr>
              <w:t>-.00</w:t>
            </w:r>
            <w:r>
              <w:rPr>
                <w:sz w:val="22"/>
                <w:lang w:val="en-US"/>
              </w:rPr>
              <w:t>2</w:t>
            </w:r>
            <w:r w:rsidR="00906C65">
              <w:rPr>
                <w:sz w:val="22"/>
              </w:rPr>
              <w:t xml:space="preserve"> (</w:t>
            </w:r>
            <w:r w:rsidR="00906C65" w:rsidRPr="00906C65">
              <w:rPr>
                <w:sz w:val="22"/>
              </w:rPr>
              <w:t>.01</w:t>
            </w:r>
            <w:r w:rsidR="007B5AED">
              <w:rPr>
                <w:sz w:val="22"/>
              </w:rPr>
              <w:t>4</w:t>
            </w:r>
            <w:r w:rsidR="00906C65">
              <w:rPr>
                <w:sz w:val="22"/>
              </w:rPr>
              <w:t>)</w:t>
            </w:r>
          </w:p>
        </w:tc>
        <w:tc>
          <w:tcPr>
            <w:tcW w:w="581" w:type="pct"/>
          </w:tcPr>
          <w:p w14:paraId="15866114" w14:textId="4921A19F" w:rsidR="00927CD4" w:rsidRPr="00493071" w:rsidRDefault="00927CD4" w:rsidP="00CA7536">
            <w:pPr>
              <w:pStyle w:val="ae"/>
              <w:rPr>
                <w:sz w:val="22"/>
              </w:rPr>
            </w:pPr>
            <w:r w:rsidRPr="00887F0C">
              <w:rPr>
                <w:sz w:val="22"/>
              </w:rPr>
              <w:t>-.002</w:t>
            </w:r>
            <w:r w:rsidR="00906C65">
              <w:rPr>
                <w:sz w:val="22"/>
              </w:rPr>
              <w:t xml:space="preserve"> (</w:t>
            </w:r>
            <w:r w:rsidR="00906C65" w:rsidRPr="00906C65">
              <w:rPr>
                <w:sz w:val="22"/>
              </w:rPr>
              <w:t>.01</w:t>
            </w:r>
            <w:r w:rsidR="007B5AED">
              <w:rPr>
                <w:sz w:val="22"/>
              </w:rPr>
              <w:t>4</w:t>
            </w:r>
            <w:r w:rsidR="00906C65">
              <w:rPr>
                <w:sz w:val="22"/>
              </w:rPr>
              <w:t>)</w:t>
            </w:r>
          </w:p>
        </w:tc>
        <w:tc>
          <w:tcPr>
            <w:tcW w:w="581" w:type="pct"/>
          </w:tcPr>
          <w:p w14:paraId="5F47040C" w14:textId="16B42F36" w:rsidR="00927CD4" w:rsidRPr="00906C65" w:rsidRDefault="00927CD4" w:rsidP="00CA7536">
            <w:pPr>
              <w:pStyle w:val="ae"/>
              <w:rPr>
                <w:sz w:val="22"/>
              </w:rPr>
            </w:pPr>
            <w:r w:rsidRPr="00FC2F45">
              <w:rPr>
                <w:sz w:val="22"/>
                <w:lang w:val="en-US"/>
              </w:rPr>
              <w:t>.00</w:t>
            </w:r>
            <w:r>
              <w:rPr>
                <w:sz w:val="22"/>
                <w:lang w:val="en-US"/>
              </w:rPr>
              <w:t>1</w:t>
            </w:r>
            <w:r w:rsidR="00906C65">
              <w:rPr>
                <w:sz w:val="22"/>
              </w:rPr>
              <w:t xml:space="preserve"> (</w:t>
            </w:r>
            <w:r w:rsidR="00906C65" w:rsidRPr="00906C65">
              <w:rPr>
                <w:sz w:val="22"/>
              </w:rPr>
              <w:t>.01</w:t>
            </w:r>
            <w:r w:rsidR="007B5AED">
              <w:rPr>
                <w:sz w:val="22"/>
              </w:rPr>
              <w:t>6</w:t>
            </w:r>
            <w:r w:rsidR="00906C65">
              <w:rPr>
                <w:sz w:val="22"/>
              </w:rPr>
              <w:t>)</w:t>
            </w:r>
          </w:p>
        </w:tc>
        <w:tc>
          <w:tcPr>
            <w:tcW w:w="581" w:type="pct"/>
          </w:tcPr>
          <w:p w14:paraId="42731AA6" w14:textId="612DF64B" w:rsidR="00927CD4" w:rsidRPr="00E10629" w:rsidRDefault="00927CD4" w:rsidP="00CA7536">
            <w:pPr>
              <w:pStyle w:val="ae"/>
              <w:rPr>
                <w:sz w:val="22"/>
              </w:rPr>
            </w:pPr>
            <w:r w:rsidRPr="00BD3008">
              <w:rPr>
                <w:sz w:val="22"/>
                <w:lang w:val="en-US"/>
              </w:rPr>
              <w:t>.0</w:t>
            </w:r>
            <w:r>
              <w:rPr>
                <w:sz w:val="22"/>
                <w:lang w:val="en-US"/>
              </w:rPr>
              <w:t>22</w:t>
            </w:r>
            <w:r w:rsidR="00E10629">
              <w:rPr>
                <w:sz w:val="22"/>
              </w:rPr>
              <w:t xml:space="preserve"> (</w:t>
            </w:r>
            <w:r w:rsidR="00E10629" w:rsidRPr="00E10629">
              <w:rPr>
                <w:sz w:val="22"/>
              </w:rPr>
              <w:t>.0</w:t>
            </w:r>
            <w:r w:rsidR="007B5AED">
              <w:rPr>
                <w:sz w:val="22"/>
              </w:rPr>
              <w:t>18</w:t>
            </w:r>
            <w:r w:rsidR="00E10629">
              <w:rPr>
                <w:sz w:val="22"/>
              </w:rPr>
              <w:t>)</w:t>
            </w:r>
          </w:p>
        </w:tc>
        <w:tc>
          <w:tcPr>
            <w:tcW w:w="581" w:type="pct"/>
          </w:tcPr>
          <w:p w14:paraId="54D2276C" w14:textId="0247FF5B" w:rsidR="00927CD4" w:rsidRPr="00E10629" w:rsidRDefault="00927CD4" w:rsidP="00CA7536">
            <w:pPr>
              <w:pStyle w:val="ae"/>
              <w:rPr>
                <w:sz w:val="22"/>
              </w:rPr>
            </w:pPr>
            <w:r w:rsidRPr="00464832">
              <w:rPr>
                <w:sz w:val="22"/>
                <w:lang w:val="en-US"/>
              </w:rPr>
              <w:t>.026</w:t>
            </w:r>
            <w:r w:rsidR="00E10629">
              <w:rPr>
                <w:sz w:val="22"/>
              </w:rPr>
              <w:t xml:space="preserve"> (</w:t>
            </w:r>
            <w:r w:rsidR="00E10629" w:rsidRPr="00E10629">
              <w:rPr>
                <w:sz w:val="22"/>
              </w:rPr>
              <w:t>.0</w:t>
            </w:r>
            <w:r w:rsidR="00662566">
              <w:rPr>
                <w:sz w:val="22"/>
              </w:rPr>
              <w:t>26</w:t>
            </w:r>
            <w:r w:rsidR="00E10629">
              <w:rPr>
                <w:sz w:val="22"/>
              </w:rPr>
              <w:t>)</w:t>
            </w:r>
          </w:p>
        </w:tc>
        <w:tc>
          <w:tcPr>
            <w:tcW w:w="578" w:type="pct"/>
          </w:tcPr>
          <w:p w14:paraId="1D3F4143" w14:textId="5570C513" w:rsidR="00927CD4" w:rsidRPr="00DE2472" w:rsidRDefault="00927CD4" w:rsidP="00CA7536">
            <w:pPr>
              <w:pStyle w:val="ae"/>
              <w:rPr>
                <w:sz w:val="22"/>
              </w:rPr>
            </w:pPr>
            <w:r w:rsidRPr="008C1C74">
              <w:rPr>
                <w:sz w:val="22"/>
                <w:lang w:val="en-US"/>
              </w:rPr>
              <w:t>.017</w:t>
            </w:r>
            <w:r w:rsidR="00DE2472">
              <w:rPr>
                <w:sz w:val="22"/>
              </w:rPr>
              <w:t xml:space="preserve"> (</w:t>
            </w:r>
            <w:r w:rsidR="00DE2472" w:rsidRPr="00DE2472">
              <w:rPr>
                <w:sz w:val="22"/>
              </w:rPr>
              <w:t>.0</w:t>
            </w:r>
            <w:r w:rsidR="00662566">
              <w:rPr>
                <w:sz w:val="22"/>
              </w:rPr>
              <w:t>24</w:t>
            </w:r>
            <w:r w:rsidR="00DE2472">
              <w:rPr>
                <w:sz w:val="22"/>
              </w:rPr>
              <w:t>)</w:t>
            </w:r>
          </w:p>
        </w:tc>
      </w:tr>
      <w:tr w:rsidR="00927CD4" w:rsidRPr="00A45D35" w14:paraId="2A139DB4" w14:textId="77777777" w:rsidTr="00CA7536">
        <w:trPr>
          <w:trHeight w:val="885"/>
          <w:jc w:val="center"/>
        </w:trPr>
        <w:tc>
          <w:tcPr>
            <w:tcW w:w="1521" w:type="pct"/>
          </w:tcPr>
          <w:p w14:paraId="7F7C438C" w14:textId="77777777" w:rsidR="00927CD4" w:rsidRPr="0081767E" w:rsidRDefault="00927CD4" w:rsidP="00CA7536">
            <w:pPr>
              <w:ind w:firstLine="0"/>
              <w:rPr>
                <w:i/>
                <w:iCs/>
                <w:lang w:val="en-US"/>
              </w:rPr>
            </w:pPr>
            <w:r>
              <w:rPr>
                <w:i/>
                <w:iCs/>
                <w:lang w:val="en-US"/>
              </w:rPr>
              <w:t>High_return</w:t>
            </w:r>
          </w:p>
        </w:tc>
        <w:tc>
          <w:tcPr>
            <w:tcW w:w="577" w:type="pct"/>
          </w:tcPr>
          <w:p w14:paraId="5D383BA8" w14:textId="77777777" w:rsidR="00927CD4" w:rsidRPr="0081767E" w:rsidRDefault="00927CD4" w:rsidP="00CA7536">
            <w:pPr>
              <w:pStyle w:val="ae"/>
              <w:rPr>
                <w:sz w:val="22"/>
              </w:rPr>
            </w:pPr>
          </w:p>
        </w:tc>
        <w:tc>
          <w:tcPr>
            <w:tcW w:w="581" w:type="pct"/>
          </w:tcPr>
          <w:p w14:paraId="51558827" w14:textId="46C49207" w:rsidR="00927CD4" w:rsidRPr="00493071" w:rsidRDefault="00927CD4" w:rsidP="00CA7536">
            <w:pPr>
              <w:pStyle w:val="ae"/>
              <w:rPr>
                <w:sz w:val="22"/>
              </w:rPr>
            </w:pPr>
            <w:r w:rsidRPr="00493071">
              <w:rPr>
                <w:sz w:val="22"/>
                <w:lang w:val="en-US"/>
              </w:rPr>
              <w:t>-.03</w:t>
            </w:r>
            <w:r>
              <w:rPr>
                <w:sz w:val="22"/>
                <w:lang w:val="en-US"/>
              </w:rPr>
              <w:t>9</w:t>
            </w:r>
            <w:r>
              <w:rPr>
                <w:sz w:val="22"/>
              </w:rPr>
              <w:t>**</w:t>
            </w:r>
            <w:r w:rsidR="00906C65">
              <w:rPr>
                <w:sz w:val="22"/>
              </w:rPr>
              <w:t xml:space="preserve"> (</w:t>
            </w:r>
            <w:r w:rsidR="00906C65" w:rsidRPr="00906C65">
              <w:rPr>
                <w:sz w:val="22"/>
              </w:rPr>
              <w:t>.01</w:t>
            </w:r>
            <w:r w:rsidR="007B5AED">
              <w:rPr>
                <w:sz w:val="22"/>
              </w:rPr>
              <w:t>8</w:t>
            </w:r>
            <w:r w:rsidR="00906C65">
              <w:rPr>
                <w:sz w:val="22"/>
              </w:rPr>
              <w:t>)</w:t>
            </w:r>
          </w:p>
        </w:tc>
        <w:tc>
          <w:tcPr>
            <w:tcW w:w="581" w:type="pct"/>
          </w:tcPr>
          <w:p w14:paraId="59551E20" w14:textId="77777777" w:rsidR="00927CD4" w:rsidRPr="00A45D35" w:rsidRDefault="00927CD4" w:rsidP="00CA7536">
            <w:pPr>
              <w:pStyle w:val="ae"/>
              <w:rPr>
                <w:sz w:val="22"/>
                <w:lang w:val="en-US"/>
              </w:rPr>
            </w:pPr>
          </w:p>
        </w:tc>
        <w:tc>
          <w:tcPr>
            <w:tcW w:w="581" w:type="pct"/>
          </w:tcPr>
          <w:p w14:paraId="3171A949" w14:textId="77777777" w:rsidR="00927CD4" w:rsidRDefault="00927CD4" w:rsidP="00CA7536">
            <w:pPr>
              <w:pStyle w:val="ae"/>
              <w:rPr>
                <w:sz w:val="22"/>
                <w:lang w:val="en-US"/>
              </w:rPr>
            </w:pPr>
          </w:p>
        </w:tc>
        <w:tc>
          <w:tcPr>
            <w:tcW w:w="581" w:type="pct"/>
          </w:tcPr>
          <w:p w14:paraId="7078326E" w14:textId="7B12219E" w:rsidR="00927CD4" w:rsidRPr="00E10629" w:rsidRDefault="00927CD4" w:rsidP="00CA7536">
            <w:pPr>
              <w:pStyle w:val="ae"/>
              <w:rPr>
                <w:sz w:val="22"/>
              </w:rPr>
            </w:pPr>
            <w:r w:rsidRPr="00464832">
              <w:rPr>
                <w:sz w:val="22"/>
                <w:lang w:val="en-US"/>
              </w:rPr>
              <w:t>-.03</w:t>
            </w:r>
            <w:r>
              <w:rPr>
                <w:sz w:val="22"/>
                <w:lang w:val="en-US"/>
              </w:rPr>
              <w:t>9</w:t>
            </w:r>
            <w:r w:rsidR="00E10629">
              <w:rPr>
                <w:sz w:val="22"/>
              </w:rPr>
              <w:t xml:space="preserve"> (</w:t>
            </w:r>
            <w:r w:rsidR="00E10629" w:rsidRPr="00E10629">
              <w:rPr>
                <w:sz w:val="22"/>
              </w:rPr>
              <w:t>.0</w:t>
            </w:r>
            <w:r w:rsidR="00662566">
              <w:rPr>
                <w:sz w:val="22"/>
              </w:rPr>
              <w:t>26</w:t>
            </w:r>
            <w:r w:rsidR="00E10629">
              <w:rPr>
                <w:sz w:val="22"/>
              </w:rPr>
              <w:t>)</w:t>
            </w:r>
          </w:p>
        </w:tc>
        <w:tc>
          <w:tcPr>
            <w:tcW w:w="578" w:type="pct"/>
          </w:tcPr>
          <w:p w14:paraId="4E3388CA" w14:textId="77777777" w:rsidR="00927CD4" w:rsidRDefault="00927CD4" w:rsidP="00CA7536">
            <w:pPr>
              <w:pStyle w:val="ae"/>
              <w:rPr>
                <w:sz w:val="22"/>
                <w:lang w:val="en-US"/>
              </w:rPr>
            </w:pPr>
          </w:p>
        </w:tc>
      </w:tr>
      <w:tr w:rsidR="00927CD4" w:rsidRPr="00A45D35" w14:paraId="31A60667" w14:textId="77777777" w:rsidTr="00CA7536">
        <w:trPr>
          <w:trHeight w:val="885"/>
          <w:jc w:val="center"/>
        </w:trPr>
        <w:tc>
          <w:tcPr>
            <w:tcW w:w="1521" w:type="pct"/>
          </w:tcPr>
          <w:p w14:paraId="4D95C095" w14:textId="77777777" w:rsidR="00927CD4" w:rsidRPr="0081767E" w:rsidRDefault="00927CD4" w:rsidP="00CA7536">
            <w:pPr>
              <w:ind w:firstLine="0"/>
              <w:rPr>
                <w:i/>
                <w:iCs/>
                <w:lang w:val="en-US"/>
              </w:rPr>
            </w:pPr>
            <w:r>
              <w:rPr>
                <w:i/>
                <w:iCs/>
                <w:lang w:val="en-US"/>
              </w:rPr>
              <w:t>Low_return</w:t>
            </w:r>
          </w:p>
        </w:tc>
        <w:tc>
          <w:tcPr>
            <w:tcW w:w="577" w:type="pct"/>
          </w:tcPr>
          <w:p w14:paraId="0509E4D5" w14:textId="77777777" w:rsidR="00927CD4" w:rsidRPr="0081767E" w:rsidRDefault="00927CD4" w:rsidP="00CA7536">
            <w:pPr>
              <w:pStyle w:val="ae"/>
              <w:rPr>
                <w:sz w:val="22"/>
              </w:rPr>
            </w:pPr>
          </w:p>
        </w:tc>
        <w:tc>
          <w:tcPr>
            <w:tcW w:w="581" w:type="pct"/>
          </w:tcPr>
          <w:p w14:paraId="679C648B" w14:textId="477D46B6" w:rsidR="00927CD4" w:rsidRPr="00493071" w:rsidRDefault="00927CD4" w:rsidP="00CA7536">
            <w:pPr>
              <w:pStyle w:val="ae"/>
              <w:rPr>
                <w:sz w:val="22"/>
                <w:highlight w:val="yellow"/>
              </w:rPr>
            </w:pPr>
            <w:r w:rsidRPr="00493071">
              <w:rPr>
                <w:sz w:val="22"/>
                <w:lang w:val="en-US"/>
              </w:rPr>
              <w:t>-0.0</w:t>
            </w:r>
            <w:r>
              <w:rPr>
                <w:sz w:val="22"/>
                <w:lang w:val="en-US"/>
              </w:rPr>
              <w:t>58</w:t>
            </w:r>
            <w:r>
              <w:rPr>
                <w:sz w:val="22"/>
              </w:rPr>
              <w:t>***</w:t>
            </w:r>
            <w:r w:rsidR="00906C65">
              <w:rPr>
                <w:sz w:val="22"/>
              </w:rPr>
              <w:t xml:space="preserve"> (</w:t>
            </w:r>
            <w:r w:rsidR="00906C65" w:rsidRPr="00906C65">
              <w:rPr>
                <w:sz w:val="22"/>
              </w:rPr>
              <w:t>.02</w:t>
            </w:r>
            <w:r w:rsidR="007B5AED">
              <w:rPr>
                <w:sz w:val="22"/>
              </w:rPr>
              <w:t>2</w:t>
            </w:r>
            <w:r w:rsidR="00906C65">
              <w:rPr>
                <w:sz w:val="22"/>
              </w:rPr>
              <w:t>)</w:t>
            </w:r>
          </w:p>
        </w:tc>
        <w:tc>
          <w:tcPr>
            <w:tcW w:w="581" w:type="pct"/>
          </w:tcPr>
          <w:p w14:paraId="75CA05EE" w14:textId="77777777" w:rsidR="00927CD4" w:rsidRPr="00A45D35" w:rsidRDefault="00927CD4" w:rsidP="00CA7536">
            <w:pPr>
              <w:pStyle w:val="ae"/>
              <w:rPr>
                <w:sz w:val="22"/>
                <w:lang w:val="en-US"/>
              </w:rPr>
            </w:pPr>
          </w:p>
        </w:tc>
        <w:tc>
          <w:tcPr>
            <w:tcW w:w="581" w:type="pct"/>
          </w:tcPr>
          <w:p w14:paraId="625268B4" w14:textId="77777777" w:rsidR="00927CD4" w:rsidRDefault="00927CD4" w:rsidP="00CA7536">
            <w:pPr>
              <w:pStyle w:val="ae"/>
              <w:rPr>
                <w:sz w:val="22"/>
                <w:lang w:val="en-US"/>
              </w:rPr>
            </w:pPr>
          </w:p>
        </w:tc>
        <w:tc>
          <w:tcPr>
            <w:tcW w:w="581" w:type="pct"/>
          </w:tcPr>
          <w:p w14:paraId="0E87BB4D" w14:textId="64AC1FF0" w:rsidR="00927CD4" w:rsidRPr="00E10629" w:rsidRDefault="00927CD4" w:rsidP="00CA7536">
            <w:pPr>
              <w:pStyle w:val="ae"/>
              <w:rPr>
                <w:sz w:val="22"/>
              </w:rPr>
            </w:pPr>
            <w:r w:rsidRPr="00464832">
              <w:rPr>
                <w:sz w:val="22"/>
                <w:lang w:val="en-US"/>
              </w:rPr>
              <w:t>-.0</w:t>
            </w:r>
            <w:r>
              <w:rPr>
                <w:sz w:val="22"/>
                <w:lang w:val="en-US"/>
              </w:rPr>
              <w:t>40</w:t>
            </w:r>
            <w:r w:rsidR="00E10629">
              <w:rPr>
                <w:sz w:val="22"/>
              </w:rPr>
              <w:t xml:space="preserve"> (</w:t>
            </w:r>
            <w:r w:rsidR="00E10629" w:rsidRPr="00E10629">
              <w:rPr>
                <w:sz w:val="22"/>
              </w:rPr>
              <w:t>.</w:t>
            </w:r>
            <w:r w:rsidR="00662566">
              <w:rPr>
                <w:sz w:val="22"/>
              </w:rPr>
              <w:t>051)</w:t>
            </w:r>
          </w:p>
        </w:tc>
        <w:tc>
          <w:tcPr>
            <w:tcW w:w="578" w:type="pct"/>
          </w:tcPr>
          <w:p w14:paraId="082940C2" w14:textId="77777777" w:rsidR="00927CD4" w:rsidRDefault="00927CD4" w:rsidP="00CA7536">
            <w:pPr>
              <w:pStyle w:val="ae"/>
              <w:rPr>
                <w:sz w:val="22"/>
                <w:lang w:val="en-US"/>
              </w:rPr>
            </w:pPr>
          </w:p>
        </w:tc>
      </w:tr>
      <w:tr w:rsidR="00927CD4" w:rsidRPr="0081767E" w14:paraId="6FC815DD" w14:textId="77777777" w:rsidTr="00CA7536">
        <w:trPr>
          <w:trHeight w:val="885"/>
          <w:jc w:val="center"/>
        </w:trPr>
        <w:tc>
          <w:tcPr>
            <w:tcW w:w="1521" w:type="pct"/>
          </w:tcPr>
          <w:p w14:paraId="49507289" w14:textId="77777777" w:rsidR="00927CD4" w:rsidRPr="0081767E" w:rsidRDefault="00927CD4" w:rsidP="00CA7536">
            <w:pPr>
              <w:ind w:firstLine="0"/>
              <w:rPr>
                <w:i/>
                <w:iCs/>
                <w:lang w:val="en-US"/>
              </w:rPr>
            </w:pPr>
            <w:r w:rsidRPr="00EB6378">
              <w:rPr>
                <w:i/>
                <w:iCs/>
                <w:lang w:val="en-US"/>
              </w:rPr>
              <w:t>High_volatility</w:t>
            </w:r>
          </w:p>
        </w:tc>
        <w:tc>
          <w:tcPr>
            <w:tcW w:w="577" w:type="pct"/>
          </w:tcPr>
          <w:p w14:paraId="2E46D8CC" w14:textId="77777777" w:rsidR="00927CD4" w:rsidRPr="0081767E" w:rsidRDefault="00927CD4" w:rsidP="00CA7536">
            <w:pPr>
              <w:pStyle w:val="ae"/>
              <w:rPr>
                <w:sz w:val="22"/>
              </w:rPr>
            </w:pPr>
          </w:p>
        </w:tc>
        <w:tc>
          <w:tcPr>
            <w:tcW w:w="581" w:type="pct"/>
          </w:tcPr>
          <w:p w14:paraId="6EF7DA94" w14:textId="77777777" w:rsidR="00927CD4" w:rsidRPr="0081767E" w:rsidRDefault="00927CD4" w:rsidP="00CA7536">
            <w:pPr>
              <w:pStyle w:val="ae"/>
              <w:rPr>
                <w:sz w:val="22"/>
                <w:lang w:val="en-US"/>
              </w:rPr>
            </w:pPr>
          </w:p>
        </w:tc>
        <w:tc>
          <w:tcPr>
            <w:tcW w:w="581" w:type="pct"/>
          </w:tcPr>
          <w:p w14:paraId="3589631E" w14:textId="7E5491DD" w:rsidR="00927CD4" w:rsidRPr="00CF6A75" w:rsidRDefault="00927CD4" w:rsidP="00CA7536">
            <w:pPr>
              <w:pStyle w:val="ae"/>
              <w:rPr>
                <w:sz w:val="22"/>
              </w:rPr>
            </w:pPr>
            <w:r w:rsidRPr="00FC2F45">
              <w:rPr>
                <w:sz w:val="22"/>
                <w:lang w:val="en-US"/>
              </w:rPr>
              <w:t>-.010</w:t>
            </w:r>
            <w:r w:rsidR="00CF6A75">
              <w:rPr>
                <w:sz w:val="22"/>
              </w:rPr>
              <w:t xml:space="preserve"> (</w:t>
            </w:r>
            <w:r w:rsidR="00CF6A75" w:rsidRPr="00CF6A75">
              <w:rPr>
                <w:sz w:val="22"/>
              </w:rPr>
              <w:t>.0</w:t>
            </w:r>
            <w:r w:rsidR="007B5AED">
              <w:rPr>
                <w:sz w:val="22"/>
              </w:rPr>
              <w:t>16</w:t>
            </w:r>
            <w:r w:rsidR="00CF6A75">
              <w:rPr>
                <w:sz w:val="22"/>
              </w:rPr>
              <w:t>)</w:t>
            </w:r>
          </w:p>
        </w:tc>
        <w:tc>
          <w:tcPr>
            <w:tcW w:w="581" w:type="pct"/>
          </w:tcPr>
          <w:p w14:paraId="72AC3968" w14:textId="77777777" w:rsidR="00927CD4" w:rsidRPr="0081767E" w:rsidRDefault="00927CD4" w:rsidP="00CA7536">
            <w:pPr>
              <w:pStyle w:val="ae"/>
              <w:rPr>
                <w:sz w:val="22"/>
                <w:lang w:val="en-US"/>
              </w:rPr>
            </w:pPr>
          </w:p>
        </w:tc>
        <w:tc>
          <w:tcPr>
            <w:tcW w:w="581" w:type="pct"/>
          </w:tcPr>
          <w:p w14:paraId="54233DDF" w14:textId="77777777" w:rsidR="00927CD4" w:rsidRPr="0081767E" w:rsidRDefault="00927CD4" w:rsidP="00CA7536">
            <w:pPr>
              <w:pStyle w:val="ae"/>
              <w:rPr>
                <w:sz w:val="22"/>
                <w:lang w:val="en-US"/>
              </w:rPr>
            </w:pPr>
          </w:p>
        </w:tc>
        <w:tc>
          <w:tcPr>
            <w:tcW w:w="578" w:type="pct"/>
          </w:tcPr>
          <w:p w14:paraId="67096DD9" w14:textId="22B13AE0" w:rsidR="00927CD4" w:rsidRPr="00DE2472" w:rsidRDefault="00927CD4" w:rsidP="00CA7536">
            <w:pPr>
              <w:pStyle w:val="ae"/>
              <w:rPr>
                <w:sz w:val="22"/>
              </w:rPr>
            </w:pPr>
            <w:r w:rsidRPr="008C1C74">
              <w:rPr>
                <w:sz w:val="22"/>
                <w:lang w:val="en-US"/>
              </w:rPr>
              <w:t>.040</w:t>
            </w:r>
            <w:r w:rsidR="00DE2472">
              <w:rPr>
                <w:sz w:val="22"/>
              </w:rPr>
              <w:t xml:space="preserve"> (</w:t>
            </w:r>
            <w:r w:rsidR="00DE2472" w:rsidRPr="00DE2472">
              <w:rPr>
                <w:sz w:val="22"/>
              </w:rPr>
              <w:t>.0</w:t>
            </w:r>
            <w:r w:rsidR="00662566">
              <w:rPr>
                <w:sz w:val="22"/>
              </w:rPr>
              <w:t>28</w:t>
            </w:r>
            <w:r w:rsidR="00DE2472">
              <w:rPr>
                <w:sz w:val="22"/>
              </w:rPr>
              <w:t>)</w:t>
            </w:r>
          </w:p>
        </w:tc>
      </w:tr>
      <w:tr w:rsidR="00927CD4" w:rsidRPr="0081767E" w14:paraId="37E52847" w14:textId="77777777" w:rsidTr="00CA7536">
        <w:trPr>
          <w:trHeight w:val="885"/>
          <w:jc w:val="center"/>
        </w:trPr>
        <w:tc>
          <w:tcPr>
            <w:tcW w:w="1521" w:type="pct"/>
          </w:tcPr>
          <w:p w14:paraId="69FBBF09" w14:textId="77777777" w:rsidR="00927CD4" w:rsidRPr="0081767E" w:rsidRDefault="00927CD4" w:rsidP="00CA7536">
            <w:pPr>
              <w:ind w:firstLine="0"/>
              <w:rPr>
                <w:i/>
                <w:iCs/>
                <w:lang w:val="en-US"/>
              </w:rPr>
            </w:pPr>
            <w:r>
              <w:rPr>
                <w:i/>
                <w:iCs/>
                <w:lang w:val="en-US"/>
              </w:rPr>
              <w:t>Low_volatility</w:t>
            </w:r>
          </w:p>
        </w:tc>
        <w:tc>
          <w:tcPr>
            <w:tcW w:w="577" w:type="pct"/>
          </w:tcPr>
          <w:p w14:paraId="79DCB0EE" w14:textId="77777777" w:rsidR="00927CD4" w:rsidRPr="0081767E" w:rsidRDefault="00927CD4" w:rsidP="00CA7536">
            <w:pPr>
              <w:pStyle w:val="ae"/>
              <w:rPr>
                <w:sz w:val="22"/>
                <w:lang w:val="en-US"/>
              </w:rPr>
            </w:pPr>
          </w:p>
        </w:tc>
        <w:tc>
          <w:tcPr>
            <w:tcW w:w="581" w:type="pct"/>
          </w:tcPr>
          <w:p w14:paraId="227C938C" w14:textId="77777777" w:rsidR="00927CD4" w:rsidRPr="0081767E" w:rsidRDefault="00927CD4" w:rsidP="00CA7536">
            <w:pPr>
              <w:pStyle w:val="ae"/>
              <w:rPr>
                <w:sz w:val="22"/>
                <w:lang w:val="en-US"/>
              </w:rPr>
            </w:pPr>
          </w:p>
        </w:tc>
        <w:tc>
          <w:tcPr>
            <w:tcW w:w="581" w:type="pct"/>
          </w:tcPr>
          <w:p w14:paraId="203529B8" w14:textId="71773E55" w:rsidR="00927CD4" w:rsidRPr="00CF6A75" w:rsidRDefault="00927CD4" w:rsidP="00CA7536">
            <w:pPr>
              <w:pStyle w:val="ae"/>
              <w:rPr>
                <w:sz w:val="22"/>
              </w:rPr>
            </w:pPr>
            <w:r w:rsidRPr="00FC2F45">
              <w:rPr>
                <w:sz w:val="22"/>
                <w:lang w:val="en-US"/>
              </w:rPr>
              <w:t>.013</w:t>
            </w:r>
            <w:r w:rsidR="00CF6A75">
              <w:rPr>
                <w:sz w:val="22"/>
              </w:rPr>
              <w:t xml:space="preserve"> (</w:t>
            </w:r>
            <w:r w:rsidR="00CF6A75" w:rsidRPr="00CF6A75">
              <w:rPr>
                <w:sz w:val="22"/>
              </w:rPr>
              <w:t>.0</w:t>
            </w:r>
            <w:r w:rsidR="007B5AED">
              <w:rPr>
                <w:sz w:val="22"/>
              </w:rPr>
              <w:t>19</w:t>
            </w:r>
            <w:r w:rsidR="00CF6A75">
              <w:rPr>
                <w:sz w:val="22"/>
              </w:rPr>
              <w:t>)</w:t>
            </w:r>
          </w:p>
        </w:tc>
        <w:tc>
          <w:tcPr>
            <w:tcW w:w="581" w:type="pct"/>
          </w:tcPr>
          <w:p w14:paraId="328E32BD" w14:textId="77777777" w:rsidR="00927CD4" w:rsidRPr="0081767E" w:rsidRDefault="00927CD4" w:rsidP="00CA7536">
            <w:pPr>
              <w:pStyle w:val="ae"/>
              <w:rPr>
                <w:sz w:val="22"/>
                <w:lang w:val="en-US"/>
              </w:rPr>
            </w:pPr>
          </w:p>
        </w:tc>
        <w:tc>
          <w:tcPr>
            <w:tcW w:w="581" w:type="pct"/>
          </w:tcPr>
          <w:p w14:paraId="143D4DA9" w14:textId="77777777" w:rsidR="00927CD4" w:rsidRPr="0081767E" w:rsidRDefault="00927CD4" w:rsidP="00CA7536">
            <w:pPr>
              <w:pStyle w:val="ae"/>
              <w:rPr>
                <w:sz w:val="22"/>
                <w:lang w:val="en-US"/>
              </w:rPr>
            </w:pPr>
          </w:p>
        </w:tc>
        <w:tc>
          <w:tcPr>
            <w:tcW w:w="578" w:type="pct"/>
          </w:tcPr>
          <w:p w14:paraId="0ED90D70" w14:textId="34DE916D" w:rsidR="00927CD4" w:rsidRPr="00DE2472" w:rsidRDefault="00927CD4" w:rsidP="00CA7536">
            <w:pPr>
              <w:pStyle w:val="ae"/>
              <w:rPr>
                <w:sz w:val="22"/>
              </w:rPr>
            </w:pPr>
            <w:r w:rsidRPr="008C1C74">
              <w:rPr>
                <w:sz w:val="22"/>
                <w:lang w:val="en-US"/>
              </w:rPr>
              <w:t>.037</w:t>
            </w:r>
            <w:r w:rsidR="00DE2472">
              <w:rPr>
                <w:sz w:val="22"/>
              </w:rPr>
              <w:t xml:space="preserve"> (</w:t>
            </w:r>
            <w:r w:rsidR="00DE2472" w:rsidRPr="00DE2472">
              <w:rPr>
                <w:sz w:val="22"/>
              </w:rPr>
              <w:t>.0</w:t>
            </w:r>
            <w:r w:rsidR="00662566">
              <w:rPr>
                <w:sz w:val="22"/>
              </w:rPr>
              <w:t>4</w:t>
            </w:r>
            <w:r w:rsidR="00DE2472">
              <w:rPr>
                <w:sz w:val="22"/>
              </w:rPr>
              <w:t>1)</w:t>
            </w:r>
          </w:p>
        </w:tc>
      </w:tr>
      <w:tr w:rsidR="00927CD4" w:rsidRPr="0081767E" w14:paraId="75A28184" w14:textId="77777777" w:rsidTr="00CA7536">
        <w:trPr>
          <w:trHeight w:val="885"/>
          <w:jc w:val="center"/>
        </w:trPr>
        <w:tc>
          <w:tcPr>
            <w:tcW w:w="1521" w:type="pct"/>
          </w:tcPr>
          <w:p w14:paraId="6D46F42C" w14:textId="77777777" w:rsidR="00927CD4" w:rsidRPr="0081767E" w:rsidRDefault="00927CD4" w:rsidP="00CA7536">
            <w:pPr>
              <w:ind w:firstLine="0"/>
              <w:rPr>
                <w:i/>
                <w:iCs/>
                <w:lang w:val="en-US"/>
              </w:rPr>
            </w:pPr>
            <w:r w:rsidRPr="0081767E">
              <w:rPr>
                <w:i/>
                <w:iCs/>
                <w:lang w:val="en-US"/>
              </w:rPr>
              <w:t>Cons</w:t>
            </w:r>
          </w:p>
        </w:tc>
        <w:tc>
          <w:tcPr>
            <w:tcW w:w="577" w:type="pct"/>
          </w:tcPr>
          <w:p w14:paraId="561227A8" w14:textId="57714089" w:rsidR="00927CD4" w:rsidRPr="00906C65" w:rsidRDefault="00927CD4" w:rsidP="00CA7536">
            <w:pPr>
              <w:pStyle w:val="ae"/>
              <w:rPr>
                <w:sz w:val="22"/>
              </w:rPr>
            </w:pPr>
            <w:r w:rsidRPr="00887F0C">
              <w:rPr>
                <w:sz w:val="22"/>
              </w:rPr>
              <w:t>-.02</w:t>
            </w:r>
            <w:r>
              <w:rPr>
                <w:sz w:val="22"/>
                <w:lang w:val="en-US"/>
              </w:rPr>
              <w:t>4</w:t>
            </w:r>
            <w:r w:rsidR="00906C65">
              <w:rPr>
                <w:sz w:val="22"/>
              </w:rPr>
              <w:t xml:space="preserve"> (</w:t>
            </w:r>
            <w:r w:rsidR="00906C65" w:rsidRPr="00906C65">
              <w:rPr>
                <w:sz w:val="22"/>
              </w:rPr>
              <w:t>.02</w:t>
            </w:r>
            <w:r w:rsidR="007B5AED">
              <w:rPr>
                <w:sz w:val="22"/>
              </w:rPr>
              <w:t>1</w:t>
            </w:r>
            <w:r w:rsidR="00906C65">
              <w:rPr>
                <w:sz w:val="22"/>
              </w:rPr>
              <w:t>)</w:t>
            </w:r>
          </w:p>
        </w:tc>
        <w:tc>
          <w:tcPr>
            <w:tcW w:w="581" w:type="pct"/>
          </w:tcPr>
          <w:p w14:paraId="1188329F" w14:textId="46799271" w:rsidR="00927CD4" w:rsidRPr="00906C65" w:rsidRDefault="00927CD4" w:rsidP="00CA7536">
            <w:pPr>
              <w:pStyle w:val="ae"/>
              <w:rPr>
                <w:sz w:val="22"/>
              </w:rPr>
            </w:pPr>
            <w:r w:rsidRPr="00887F0C">
              <w:rPr>
                <w:sz w:val="22"/>
                <w:lang w:val="en-US"/>
              </w:rPr>
              <w:t>.004</w:t>
            </w:r>
            <w:r w:rsidR="00906C65">
              <w:rPr>
                <w:sz w:val="22"/>
              </w:rPr>
              <w:t xml:space="preserve"> (</w:t>
            </w:r>
            <w:r w:rsidR="00906C65" w:rsidRPr="00906C65">
              <w:rPr>
                <w:sz w:val="22"/>
              </w:rPr>
              <w:t>.0</w:t>
            </w:r>
            <w:r w:rsidR="007B5AED">
              <w:rPr>
                <w:sz w:val="22"/>
              </w:rPr>
              <w:t>19</w:t>
            </w:r>
            <w:r w:rsidR="00906C65">
              <w:rPr>
                <w:sz w:val="22"/>
              </w:rPr>
              <w:t>)</w:t>
            </w:r>
          </w:p>
        </w:tc>
        <w:tc>
          <w:tcPr>
            <w:tcW w:w="581" w:type="pct"/>
          </w:tcPr>
          <w:p w14:paraId="310AC864" w14:textId="23903466" w:rsidR="00927CD4" w:rsidRPr="00CF6A75" w:rsidRDefault="00927CD4" w:rsidP="00CA7536">
            <w:pPr>
              <w:pStyle w:val="ae"/>
              <w:rPr>
                <w:sz w:val="22"/>
              </w:rPr>
            </w:pPr>
            <w:r w:rsidRPr="00FC2F45">
              <w:rPr>
                <w:sz w:val="22"/>
                <w:lang w:val="en-US"/>
              </w:rPr>
              <w:t>-.025</w:t>
            </w:r>
            <w:r w:rsidR="00CF6A75">
              <w:rPr>
                <w:sz w:val="22"/>
              </w:rPr>
              <w:t xml:space="preserve"> (</w:t>
            </w:r>
            <w:r w:rsidR="00CF6A75" w:rsidRPr="00CF6A75">
              <w:rPr>
                <w:sz w:val="22"/>
              </w:rPr>
              <w:t>.02</w:t>
            </w:r>
            <w:r w:rsidR="007B5AED">
              <w:rPr>
                <w:sz w:val="22"/>
              </w:rPr>
              <w:t>4</w:t>
            </w:r>
            <w:r w:rsidR="00CF6A75">
              <w:rPr>
                <w:sz w:val="22"/>
              </w:rPr>
              <w:t>)</w:t>
            </w:r>
          </w:p>
        </w:tc>
        <w:tc>
          <w:tcPr>
            <w:tcW w:w="581" w:type="pct"/>
          </w:tcPr>
          <w:p w14:paraId="05B67AE0" w14:textId="605AC55C" w:rsidR="00927CD4" w:rsidRPr="00E10629" w:rsidRDefault="00927CD4" w:rsidP="00CA7536">
            <w:pPr>
              <w:pStyle w:val="ae"/>
              <w:rPr>
                <w:sz w:val="22"/>
              </w:rPr>
            </w:pPr>
            <w:r>
              <w:rPr>
                <w:sz w:val="22"/>
                <w:lang w:val="en-US"/>
              </w:rPr>
              <w:t>-</w:t>
            </w:r>
            <w:r w:rsidRPr="00BD3008">
              <w:rPr>
                <w:sz w:val="22"/>
                <w:lang w:val="en-US"/>
              </w:rPr>
              <w:t>.051</w:t>
            </w:r>
            <w:r w:rsidR="00E10629">
              <w:rPr>
                <w:sz w:val="22"/>
              </w:rPr>
              <w:t xml:space="preserve"> (</w:t>
            </w:r>
            <w:r w:rsidR="00E10629" w:rsidRPr="00E10629">
              <w:rPr>
                <w:sz w:val="22"/>
              </w:rPr>
              <w:t>.027</w:t>
            </w:r>
            <w:r w:rsidR="00E10629">
              <w:rPr>
                <w:sz w:val="22"/>
              </w:rPr>
              <w:t>)</w:t>
            </w:r>
          </w:p>
        </w:tc>
        <w:tc>
          <w:tcPr>
            <w:tcW w:w="581" w:type="pct"/>
          </w:tcPr>
          <w:p w14:paraId="44948EFC" w14:textId="1928C75C" w:rsidR="00927CD4" w:rsidRPr="00DE2472" w:rsidRDefault="00927CD4" w:rsidP="00CA7536">
            <w:pPr>
              <w:pStyle w:val="ae"/>
              <w:rPr>
                <w:sz w:val="22"/>
              </w:rPr>
            </w:pPr>
            <w:r w:rsidRPr="00464832">
              <w:rPr>
                <w:sz w:val="22"/>
                <w:lang w:val="en-US"/>
              </w:rPr>
              <w:t>-.022</w:t>
            </w:r>
            <w:r w:rsidR="00DE2472">
              <w:rPr>
                <w:sz w:val="22"/>
              </w:rPr>
              <w:t xml:space="preserve"> (</w:t>
            </w:r>
            <w:r w:rsidR="00DE2472" w:rsidRPr="00DE2472">
              <w:rPr>
                <w:sz w:val="22"/>
              </w:rPr>
              <w:t>.0</w:t>
            </w:r>
            <w:r w:rsidR="00662566">
              <w:rPr>
                <w:sz w:val="22"/>
              </w:rPr>
              <w:t>29</w:t>
            </w:r>
            <w:r w:rsidR="00DE2472">
              <w:rPr>
                <w:sz w:val="22"/>
              </w:rPr>
              <w:t>)</w:t>
            </w:r>
          </w:p>
        </w:tc>
        <w:tc>
          <w:tcPr>
            <w:tcW w:w="578" w:type="pct"/>
          </w:tcPr>
          <w:p w14:paraId="123E2873" w14:textId="7320D863" w:rsidR="00927CD4" w:rsidRPr="00662566" w:rsidRDefault="00927CD4" w:rsidP="00CA7536">
            <w:pPr>
              <w:pStyle w:val="ae"/>
              <w:rPr>
                <w:sz w:val="22"/>
              </w:rPr>
            </w:pPr>
            <w:r w:rsidRPr="008C1C74">
              <w:rPr>
                <w:sz w:val="22"/>
                <w:lang w:val="en-US"/>
              </w:rPr>
              <w:t>-.066</w:t>
            </w:r>
            <w:r w:rsidR="00662566">
              <w:rPr>
                <w:sz w:val="22"/>
              </w:rPr>
              <w:t xml:space="preserve"> (.022)</w:t>
            </w:r>
          </w:p>
        </w:tc>
      </w:tr>
      <w:tr w:rsidR="00927CD4" w:rsidRPr="0081767E" w14:paraId="1FA199AB" w14:textId="77777777" w:rsidTr="00CA7536">
        <w:trPr>
          <w:trHeight w:val="885"/>
          <w:jc w:val="center"/>
        </w:trPr>
        <w:tc>
          <w:tcPr>
            <w:tcW w:w="1521" w:type="pct"/>
          </w:tcPr>
          <w:p w14:paraId="764F9891" w14:textId="77777777" w:rsidR="00927CD4" w:rsidRPr="00C75836" w:rsidRDefault="00CF4558" w:rsidP="00CA7536">
            <w:pPr>
              <w:ind w:firstLine="0"/>
              <w:rPr>
                <w:i/>
                <w:iCs/>
                <w:lang w:val="en-US"/>
              </w:rPr>
            </w:pPr>
            <m:oMath>
              <m:sSup>
                <m:sSupPr>
                  <m:ctrlPr>
                    <w:rPr>
                      <w:rFonts w:ascii="Cambria Math" w:hAnsi="Cambria Math"/>
                      <w:i/>
                      <w:iCs/>
                    </w:rPr>
                  </m:ctrlPr>
                </m:sSupPr>
                <m:e>
                  <m:r>
                    <w:rPr>
                      <w:rFonts w:ascii="Cambria Math" w:hAnsi="Cambria Math"/>
                    </w:rPr>
                    <m:t>R</m:t>
                  </m:r>
                </m:e>
                <m:sup>
                  <m:r>
                    <w:rPr>
                      <w:rFonts w:ascii="Cambria Math" w:hAnsi="Cambria Math"/>
                    </w:rPr>
                    <m:t>2</m:t>
                  </m:r>
                </m:sup>
              </m:sSup>
            </m:oMath>
            <w:r w:rsidR="00927CD4">
              <w:rPr>
                <w:rFonts w:eastAsiaTheme="minorEastAsia"/>
                <w:i/>
                <w:iCs/>
                <w:lang w:val="en-US"/>
              </w:rPr>
              <w:t xml:space="preserve"> within</w:t>
            </w:r>
          </w:p>
        </w:tc>
        <w:tc>
          <w:tcPr>
            <w:tcW w:w="577" w:type="pct"/>
          </w:tcPr>
          <w:p w14:paraId="669CD701" w14:textId="77777777" w:rsidR="00927CD4" w:rsidRPr="00D67C02" w:rsidRDefault="00927CD4" w:rsidP="00CA7536">
            <w:pPr>
              <w:pStyle w:val="ae"/>
              <w:rPr>
                <w:sz w:val="22"/>
                <w:lang w:val="en-US"/>
              </w:rPr>
            </w:pPr>
            <w:r w:rsidRPr="00887F0C">
              <w:rPr>
                <w:sz w:val="22"/>
                <w:lang w:val="en-US"/>
              </w:rPr>
              <w:t>0.2140</w:t>
            </w:r>
          </w:p>
        </w:tc>
        <w:tc>
          <w:tcPr>
            <w:tcW w:w="581" w:type="pct"/>
          </w:tcPr>
          <w:p w14:paraId="29F12399" w14:textId="77777777" w:rsidR="00927CD4" w:rsidRPr="0081767E" w:rsidRDefault="00927CD4" w:rsidP="00CA7536">
            <w:pPr>
              <w:pStyle w:val="ae"/>
              <w:rPr>
                <w:sz w:val="22"/>
                <w:lang w:val="en-US"/>
              </w:rPr>
            </w:pPr>
            <w:r w:rsidRPr="00887F0C">
              <w:rPr>
                <w:sz w:val="22"/>
                <w:lang w:val="en-US"/>
              </w:rPr>
              <w:t>0.3426</w:t>
            </w:r>
          </w:p>
        </w:tc>
        <w:tc>
          <w:tcPr>
            <w:tcW w:w="581" w:type="pct"/>
          </w:tcPr>
          <w:p w14:paraId="22EF5D14" w14:textId="77777777" w:rsidR="00927CD4" w:rsidRPr="0081767E" w:rsidRDefault="00927CD4" w:rsidP="00CA7536">
            <w:pPr>
              <w:pStyle w:val="ae"/>
              <w:rPr>
                <w:sz w:val="22"/>
                <w:lang w:val="en-US"/>
              </w:rPr>
            </w:pPr>
            <w:r w:rsidRPr="00FC2F45">
              <w:rPr>
                <w:sz w:val="22"/>
                <w:lang w:val="en-US"/>
              </w:rPr>
              <w:t>0.2446</w:t>
            </w:r>
          </w:p>
        </w:tc>
        <w:tc>
          <w:tcPr>
            <w:tcW w:w="581" w:type="pct"/>
          </w:tcPr>
          <w:p w14:paraId="53D2A075" w14:textId="77777777" w:rsidR="00927CD4" w:rsidRDefault="00927CD4" w:rsidP="00CA7536">
            <w:pPr>
              <w:pStyle w:val="ae"/>
              <w:rPr>
                <w:sz w:val="22"/>
                <w:lang w:val="en-US"/>
              </w:rPr>
            </w:pPr>
            <w:r w:rsidRPr="00021063">
              <w:rPr>
                <w:sz w:val="22"/>
                <w:lang w:val="en-US"/>
              </w:rPr>
              <w:t>0.1841</w:t>
            </w:r>
          </w:p>
        </w:tc>
        <w:tc>
          <w:tcPr>
            <w:tcW w:w="581" w:type="pct"/>
          </w:tcPr>
          <w:p w14:paraId="52627A53" w14:textId="77777777" w:rsidR="00927CD4" w:rsidRDefault="00927CD4" w:rsidP="00CA7536">
            <w:pPr>
              <w:pStyle w:val="ae"/>
              <w:rPr>
                <w:sz w:val="22"/>
                <w:lang w:val="en-US"/>
              </w:rPr>
            </w:pPr>
            <w:r w:rsidRPr="00464832">
              <w:rPr>
                <w:sz w:val="22"/>
                <w:lang w:val="en-US"/>
              </w:rPr>
              <w:t>0.2086</w:t>
            </w:r>
          </w:p>
        </w:tc>
        <w:tc>
          <w:tcPr>
            <w:tcW w:w="578" w:type="pct"/>
          </w:tcPr>
          <w:p w14:paraId="26FBA97B" w14:textId="77777777" w:rsidR="00927CD4" w:rsidRDefault="00927CD4" w:rsidP="00CA7536">
            <w:pPr>
              <w:pStyle w:val="ae"/>
              <w:rPr>
                <w:sz w:val="22"/>
                <w:lang w:val="en-US"/>
              </w:rPr>
            </w:pPr>
            <w:r w:rsidRPr="008C1C74">
              <w:rPr>
                <w:sz w:val="22"/>
                <w:lang w:val="en-US"/>
              </w:rPr>
              <w:t xml:space="preserve">0.1855  </w:t>
            </w:r>
          </w:p>
        </w:tc>
      </w:tr>
      <w:tr w:rsidR="00927CD4" w:rsidRPr="0081767E" w14:paraId="192EECA5" w14:textId="77777777" w:rsidTr="00CA7536">
        <w:trPr>
          <w:trHeight w:val="885"/>
          <w:jc w:val="center"/>
        </w:trPr>
        <w:tc>
          <w:tcPr>
            <w:tcW w:w="1521" w:type="pct"/>
          </w:tcPr>
          <w:p w14:paraId="159101A0" w14:textId="77777777" w:rsidR="00927CD4" w:rsidRDefault="00CF4558" w:rsidP="00CA7536">
            <w:pPr>
              <w:ind w:firstLine="0"/>
              <w:rPr>
                <w:rFonts w:eastAsia="Calibri" w:cs="Times New Roman"/>
                <w:iCs/>
              </w:rPr>
            </w:pPr>
            <m:oMath>
              <m:sSup>
                <m:sSupPr>
                  <m:ctrlPr>
                    <w:rPr>
                      <w:rFonts w:ascii="Cambria Math" w:hAnsi="Cambria Math"/>
                      <w:i/>
                      <w:iCs/>
                    </w:rPr>
                  </m:ctrlPr>
                </m:sSupPr>
                <m:e>
                  <m:r>
                    <w:rPr>
                      <w:rFonts w:ascii="Cambria Math" w:hAnsi="Cambria Math"/>
                    </w:rPr>
                    <m:t>R</m:t>
                  </m:r>
                </m:e>
                <m:sup>
                  <m:r>
                    <w:rPr>
                      <w:rFonts w:ascii="Cambria Math" w:hAnsi="Cambria Math"/>
                    </w:rPr>
                    <m:t>2</m:t>
                  </m:r>
                </m:sup>
              </m:sSup>
            </m:oMath>
            <w:r w:rsidR="00927CD4">
              <w:rPr>
                <w:rFonts w:eastAsiaTheme="minorEastAsia"/>
                <w:i/>
                <w:iCs/>
                <w:lang w:val="en-US"/>
              </w:rPr>
              <w:t xml:space="preserve"> between</w:t>
            </w:r>
          </w:p>
        </w:tc>
        <w:tc>
          <w:tcPr>
            <w:tcW w:w="577" w:type="pct"/>
          </w:tcPr>
          <w:p w14:paraId="76F81C0E" w14:textId="77777777" w:rsidR="00927CD4" w:rsidRPr="00D67C02" w:rsidRDefault="00927CD4" w:rsidP="00CA7536">
            <w:pPr>
              <w:pStyle w:val="ae"/>
              <w:rPr>
                <w:sz w:val="22"/>
              </w:rPr>
            </w:pPr>
            <w:r w:rsidRPr="00887F0C">
              <w:rPr>
                <w:sz w:val="22"/>
              </w:rPr>
              <w:t>0.7477</w:t>
            </w:r>
          </w:p>
        </w:tc>
        <w:tc>
          <w:tcPr>
            <w:tcW w:w="581" w:type="pct"/>
          </w:tcPr>
          <w:p w14:paraId="2759497C" w14:textId="77777777" w:rsidR="00927CD4" w:rsidRPr="0075042B" w:rsidRDefault="00927CD4" w:rsidP="00CA7536">
            <w:pPr>
              <w:pStyle w:val="ae"/>
              <w:rPr>
                <w:sz w:val="22"/>
                <w:lang w:val="en-US"/>
              </w:rPr>
            </w:pPr>
            <w:r w:rsidRPr="00887F0C">
              <w:rPr>
                <w:sz w:val="22"/>
                <w:lang w:val="en-US"/>
              </w:rPr>
              <w:t>.7971</w:t>
            </w:r>
          </w:p>
        </w:tc>
        <w:tc>
          <w:tcPr>
            <w:tcW w:w="581" w:type="pct"/>
          </w:tcPr>
          <w:p w14:paraId="2764F264" w14:textId="77777777" w:rsidR="00927CD4" w:rsidRPr="0081767E" w:rsidRDefault="00927CD4" w:rsidP="00CA7536">
            <w:pPr>
              <w:pStyle w:val="ae"/>
              <w:rPr>
                <w:sz w:val="22"/>
                <w:lang w:val="en-US"/>
              </w:rPr>
            </w:pPr>
            <w:r w:rsidRPr="00FC2F45">
              <w:rPr>
                <w:sz w:val="22"/>
                <w:lang w:val="en-US"/>
              </w:rPr>
              <w:t>0.7529</w:t>
            </w:r>
          </w:p>
        </w:tc>
        <w:tc>
          <w:tcPr>
            <w:tcW w:w="581" w:type="pct"/>
          </w:tcPr>
          <w:p w14:paraId="66B39FB9" w14:textId="77777777" w:rsidR="00927CD4" w:rsidRDefault="00927CD4" w:rsidP="00CA7536">
            <w:pPr>
              <w:pStyle w:val="ae"/>
              <w:rPr>
                <w:sz w:val="22"/>
                <w:lang w:val="en-US"/>
              </w:rPr>
            </w:pPr>
            <w:r w:rsidRPr="00021063">
              <w:rPr>
                <w:sz w:val="22"/>
                <w:lang w:val="en-US"/>
              </w:rPr>
              <w:t>0.5238</w:t>
            </w:r>
          </w:p>
        </w:tc>
        <w:tc>
          <w:tcPr>
            <w:tcW w:w="581" w:type="pct"/>
          </w:tcPr>
          <w:p w14:paraId="14035B4B" w14:textId="77777777" w:rsidR="00927CD4" w:rsidRDefault="00927CD4" w:rsidP="00CA7536">
            <w:pPr>
              <w:pStyle w:val="ae"/>
              <w:rPr>
                <w:sz w:val="22"/>
                <w:lang w:val="en-US"/>
              </w:rPr>
            </w:pPr>
            <w:r w:rsidRPr="00464832">
              <w:rPr>
                <w:sz w:val="22"/>
                <w:lang w:val="en-US"/>
              </w:rPr>
              <w:t>0.5598</w:t>
            </w:r>
          </w:p>
        </w:tc>
        <w:tc>
          <w:tcPr>
            <w:tcW w:w="578" w:type="pct"/>
          </w:tcPr>
          <w:p w14:paraId="5FD212FA" w14:textId="77777777" w:rsidR="00927CD4" w:rsidRDefault="00927CD4" w:rsidP="00CA7536">
            <w:pPr>
              <w:pStyle w:val="ae"/>
              <w:rPr>
                <w:sz w:val="22"/>
                <w:lang w:val="en-US"/>
              </w:rPr>
            </w:pPr>
            <w:r w:rsidRPr="008C1C74">
              <w:rPr>
                <w:sz w:val="22"/>
                <w:lang w:val="en-US"/>
              </w:rPr>
              <w:t>0.5630</w:t>
            </w:r>
          </w:p>
        </w:tc>
      </w:tr>
      <w:tr w:rsidR="00927CD4" w:rsidRPr="0081767E" w14:paraId="1FDC3010" w14:textId="77777777" w:rsidTr="00CA7536">
        <w:trPr>
          <w:trHeight w:val="885"/>
          <w:jc w:val="center"/>
        </w:trPr>
        <w:tc>
          <w:tcPr>
            <w:tcW w:w="1521" w:type="pct"/>
          </w:tcPr>
          <w:p w14:paraId="38393807" w14:textId="77777777" w:rsidR="00927CD4" w:rsidRDefault="00CF4558" w:rsidP="00CA7536">
            <w:pPr>
              <w:ind w:firstLine="0"/>
              <w:rPr>
                <w:rFonts w:eastAsia="Calibri" w:cs="Times New Roman"/>
                <w:iCs/>
              </w:rPr>
            </w:pPr>
            <m:oMath>
              <m:sSup>
                <m:sSupPr>
                  <m:ctrlPr>
                    <w:rPr>
                      <w:rFonts w:ascii="Cambria Math" w:hAnsi="Cambria Math"/>
                      <w:i/>
                      <w:iCs/>
                    </w:rPr>
                  </m:ctrlPr>
                </m:sSupPr>
                <m:e>
                  <m:r>
                    <w:rPr>
                      <w:rFonts w:ascii="Cambria Math" w:hAnsi="Cambria Math"/>
                    </w:rPr>
                    <m:t>R</m:t>
                  </m:r>
                </m:e>
                <m:sup>
                  <m:r>
                    <w:rPr>
                      <w:rFonts w:ascii="Cambria Math" w:hAnsi="Cambria Math"/>
                    </w:rPr>
                    <m:t>2</m:t>
                  </m:r>
                </m:sup>
              </m:sSup>
            </m:oMath>
            <w:r w:rsidR="00927CD4">
              <w:rPr>
                <w:rFonts w:eastAsiaTheme="minorEastAsia"/>
                <w:i/>
                <w:iCs/>
                <w:lang w:val="en-US"/>
              </w:rPr>
              <w:t xml:space="preserve"> overall</w:t>
            </w:r>
          </w:p>
        </w:tc>
        <w:tc>
          <w:tcPr>
            <w:tcW w:w="577" w:type="pct"/>
          </w:tcPr>
          <w:p w14:paraId="06274654" w14:textId="77777777" w:rsidR="00927CD4" w:rsidRPr="00D67C02" w:rsidRDefault="00927CD4" w:rsidP="00CA7536">
            <w:pPr>
              <w:pStyle w:val="ae"/>
              <w:rPr>
                <w:sz w:val="22"/>
              </w:rPr>
            </w:pPr>
            <w:r w:rsidRPr="00887F0C">
              <w:rPr>
                <w:sz w:val="22"/>
              </w:rPr>
              <w:t>0.5007</w:t>
            </w:r>
          </w:p>
        </w:tc>
        <w:tc>
          <w:tcPr>
            <w:tcW w:w="581" w:type="pct"/>
          </w:tcPr>
          <w:p w14:paraId="2BC1B991" w14:textId="77777777" w:rsidR="00927CD4" w:rsidRPr="0075042B" w:rsidRDefault="00927CD4" w:rsidP="00CA7536">
            <w:pPr>
              <w:pStyle w:val="ae"/>
              <w:rPr>
                <w:sz w:val="22"/>
                <w:lang w:val="en-US"/>
              </w:rPr>
            </w:pPr>
            <w:r w:rsidRPr="00887F0C">
              <w:rPr>
                <w:sz w:val="22"/>
                <w:lang w:val="en-US"/>
              </w:rPr>
              <w:t xml:space="preserve">0.5697  </w:t>
            </w:r>
          </w:p>
        </w:tc>
        <w:tc>
          <w:tcPr>
            <w:tcW w:w="581" w:type="pct"/>
          </w:tcPr>
          <w:p w14:paraId="41F8BA3B" w14:textId="77777777" w:rsidR="00927CD4" w:rsidRPr="0081767E" w:rsidRDefault="00927CD4" w:rsidP="00CA7536">
            <w:pPr>
              <w:pStyle w:val="ae"/>
              <w:rPr>
                <w:sz w:val="22"/>
                <w:lang w:val="en-US"/>
              </w:rPr>
            </w:pPr>
            <w:r w:rsidRPr="00FC2F45">
              <w:rPr>
                <w:sz w:val="22"/>
                <w:lang w:val="en-US"/>
              </w:rPr>
              <w:t>0.5115</w:t>
            </w:r>
          </w:p>
        </w:tc>
        <w:tc>
          <w:tcPr>
            <w:tcW w:w="581" w:type="pct"/>
          </w:tcPr>
          <w:p w14:paraId="7E0D3901" w14:textId="77777777" w:rsidR="00927CD4" w:rsidRDefault="00927CD4" w:rsidP="00CA7536">
            <w:pPr>
              <w:pStyle w:val="ae"/>
              <w:rPr>
                <w:sz w:val="22"/>
                <w:lang w:val="en-US"/>
              </w:rPr>
            </w:pPr>
            <w:r w:rsidRPr="00021063">
              <w:rPr>
                <w:sz w:val="22"/>
                <w:lang w:val="en-US"/>
              </w:rPr>
              <w:t>0.3221</w:t>
            </w:r>
          </w:p>
        </w:tc>
        <w:tc>
          <w:tcPr>
            <w:tcW w:w="581" w:type="pct"/>
          </w:tcPr>
          <w:p w14:paraId="5C50D7D1" w14:textId="77777777" w:rsidR="00927CD4" w:rsidRDefault="00927CD4" w:rsidP="00CA7536">
            <w:pPr>
              <w:pStyle w:val="ae"/>
              <w:rPr>
                <w:sz w:val="22"/>
                <w:lang w:val="en-US"/>
              </w:rPr>
            </w:pPr>
            <w:r w:rsidRPr="00464832">
              <w:rPr>
                <w:sz w:val="22"/>
                <w:lang w:val="en-US"/>
              </w:rPr>
              <w:t>0.3533</w:t>
            </w:r>
          </w:p>
        </w:tc>
        <w:tc>
          <w:tcPr>
            <w:tcW w:w="578" w:type="pct"/>
          </w:tcPr>
          <w:p w14:paraId="247461E4" w14:textId="77777777" w:rsidR="00927CD4" w:rsidRDefault="00927CD4" w:rsidP="00CA7536">
            <w:pPr>
              <w:pStyle w:val="ae"/>
              <w:rPr>
                <w:sz w:val="22"/>
                <w:lang w:val="en-US"/>
              </w:rPr>
            </w:pPr>
            <w:r w:rsidRPr="008C1C74">
              <w:rPr>
                <w:sz w:val="22"/>
                <w:lang w:val="en-US"/>
              </w:rPr>
              <w:t>0.3607</w:t>
            </w:r>
          </w:p>
        </w:tc>
      </w:tr>
      <w:tr w:rsidR="00927CD4" w:rsidRPr="0081767E" w14:paraId="7B246679" w14:textId="77777777" w:rsidTr="00CA7536">
        <w:trPr>
          <w:trHeight w:val="885"/>
          <w:jc w:val="center"/>
        </w:trPr>
        <w:tc>
          <w:tcPr>
            <w:tcW w:w="1521" w:type="pct"/>
          </w:tcPr>
          <w:p w14:paraId="5D2C8D2F" w14:textId="77777777" w:rsidR="00927CD4" w:rsidRPr="0081767E" w:rsidRDefault="00927CD4" w:rsidP="00CA7536">
            <w:pPr>
              <w:ind w:firstLine="0"/>
              <w:rPr>
                <w:i/>
                <w:iCs/>
                <w:lang w:val="en-US"/>
              </w:rPr>
            </w:pPr>
            <w:r w:rsidRPr="0081767E">
              <w:rPr>
                <w:i/>
                <w:iCs/>
                <w:lang w:val="en-US"/>
              </w:rPr>
              <w:t>P-value</w:t>
            </w:r>
          </w:p>
        </w:tc>
        <w:tc>
          <w:tcPr>
            <w:tcW w:w="577" w:type="pct"/>
          </w:tcPr>
          <w:p w14:paraId="113126D5" w14:textId="77777777" w:rsidR="00927CD4" w:rsidRPr="0081767E" w:rsidRDefault="00927CD4" w:rsidP="00CA7536">
            <w:pPr>
              <w:pStyle w:val="ae"/>
              <w:rPr>
                <w:sz w:val="22"/>
                <w:lang w:val="en-US"/>
              </w:rPr>
            </w:pPr>
            <w:r w:rsidRPr="00493071">
              <w:rPr>
                <w:sz w:val="22"/>
                <w:lang w:val="en-US"/>
              </w:rPr>
              <w:t>0.0000</w:t>
            </w:r>
          </w:p>
        </w:tc>
        <w:tc>
          <w:tcPr>
            <w:tcW w:w="581" w:type="pct"/>
          </w:tcPr>
          <w:p w14:paraId="25AB7C4B" w14:textId="77777777" w:rsidR="00927CD4" w:rsidRPr="0081767E" w:rsidRDefault="00927CD4" w:rsidP="00CA7536">
            <w:pPr>
              <w:pStyle w:val="ae"/>
              <w:rPr>
                <w:sz w:val="22"/>
                <w:lang w:val="en-US"/>
              </w:rPr>
            </w:pPr>
            <w:r w:rsidRPr="00C75836">
              <w:rPr>
                <w:sz w:val="22"/>
                <w:lang w:val="en-US"/>
              </w:rPr>
              <w:t>0.0000</w:t>
            </w:r>
          </w:p>
        </w:tc>
        <w:tc>
          <w:tcPr>
            <w:tcW w:w="581" w:type="pct"/>
          </w:tcPr>
          <w:p w14:paraId="3ECC0497" w14:textId="77777777" w:rsidR="00927CD4" w:rsidRPr="0081767E" w:rsidRDefault="00927CD4" w:rsidP="00CA7536">
            <w:pPr>
              <w:pStyle w:val="ae"/>
              <w:rPr>
                <w:sz w:val="22"/>
                <w:lang w:val="en-US"/>
              </w:rPr>
            </w:pPr>
            <w:r w:rsidRPr="00702EE1">
              <w:rPr>
                <w:sz w:val="22"/>
                <w:lang w:val="en-US"/>
              </w:rPr>
              <w:t>0.0000</w:t>
            </w:r>
          </w:p>
        </w:tc>
        <w:tc>
          <w:tcPr>
            <w:tcW w:w="581" w:type="pct"/>
          </w:tcPr>
          <w:p w14:paraId="33D8E94D" w14:textId="77777777" w:rsidR="00927CD4" w:rsidRDefault="00927CD4" w:rsidP="00CA7536">
            <w:pPr>
              <w:pStyle w:val="ae"/>
              <w:rPr>
                <w:sz w:val="22"/>
                <w:lang w:val="en-US"/>
              </w:rPr>
            </w:pPr>
            <w:r w:rsidRPr="00BD3008">
              <w:rPr>
                <w:sz w:val="22"/>
                <w:lang w:val="en-US"/>
              </w:rPr>
              <w:t>0.0000</w:t>
            </w:r>
          </w:p>
        </w:tc>
        <w:tc>
          <w:tcPr>
            <w:tcW w:w="581" w:type="pct"/>
          </w:tcPr>
          <w:p w14:paraId="237AFDA6" w14:textId="77777777" w:rsidR="00927CD4" w:rsidRDefault="00927CD4" w:rsidP="00CA7536">
            <w:pPr>
              <w:pStyle w:val="ae"/>
              <w:rPr>
                <w:sz w:val="22"/>
                <w:lang w:val="en-US"/>
              </w:rPr>
            </w:pPr>
            <w:r w:rsidRPr="00BD3008">
              <w:rPr>
                <w:sz w:val="22"/>
                <w:lang w:val="en-US"/>
              </w:rPr>
              <w:t>0.0000</w:t>
            </w:r>
          </w:p>
        </w:tc>
        <w:tc>
          <w:tcPr>
            <w:tcW w:w="578" w:type="pct"/>
          </w:tcPr>
          <w:p w14:paraId="40619881" w14:textId="77777777" w:rsidR="00927CD4" w:rsidRDefault="00927CD4" w:rsidP="00CA7536">
            <w:pPr>
              <w:pStyle w:val="ae"/>
              <w:rPr>
                <w:sz w:val="22"/>
                <w:lang w:val="en-US"/>
              </w:rPr>
            </w:pPr>
            <w:r w:rsidRPr="00BD3008">
              <w:rPr>
                <w:sz w:val="22"/>
                <w:lang w:val="en-US"/>
              </w:rPr>
              <w:t>0.0000</w:t>
            </w:r>
          </w:p>
        </w:tc>
      </w:tr>
      <w:tr w:rsidR="00927CD4" w:rsidRPr="0081767E" w14:paraId="49294A63" w14:textId="77777777" w:rsidTr="00CA7536">
        <w:trPr>
          <w:trHeight w:val="885"/>
          <w:jc w:val="center"/>
        </w:trPr>
        <w:tc>
          <w:tcPr>
            <w:tcW w:w="1521" w:type="pct"/>
          </w:tcPr>
          <w:p w14:paraId="3E7C3973" w14:textId="77777777" w:rsidR="00927CD4" w:rsidRPr="0081767E" w:rsidRDefault="00927CD4" w:rsidP="00CA7536">
            <w:pPr>
              <w:ind w:firstLine="0"/>
              <w:rPr>
                <w:i/>
                <w:iCs/>
                <w:lang w:val="en-US"/>
              </w:rPr>
            </w:pPr>
            <w:r w:rsidRPr="0081767E">
              <w:rPr>
                <w:i/>
                <w:iCs/>
                <w:lang w:val="en-US"/>
              </w:rPr>
              <w:t>N</w:t>
            </w:r>
          </w:p>
        </w:tc>
        <w:tc>
          <w:tcPr>
            <w:tcW w:w="577" w:type="pct"/>
          </w:tcPr>
          <w:p w14:paraId="3EB4D69B" w14:textId="77777777" w:rsidR="00927CD4" w:rsidRPr="0075042B" w:rsidRDefault="00927CD4" w:rsidP="00CA7536">
            <w:pPr>
              <w:pStyle w:val="ae"/>
              <w:rPr>
                <w:sz w:val="22"/>
                <w:lang w:val="en-US"/>
              </w:rPr>
            </w:pPr>
            <w:r>
              <w:rPr>
                <w:sz w:val="22"/>
                <w:lang w:val="en-US"/>
              </w:rPr>
              <w:t>62</w:t>
            </w:r>
          </w:p>
        </w:tc>
        <w:tc>
          <w:tcPr>
            <w:tcW w:w="581" w:type="pct"/>
          </w:tcPr>
          <w:p w14:paraId="3A99CC61" w14:textId="77777777" w:rsidR="00927CD4" w:rsidRPr="0081767E" w:rsidRDefault="00927CD4" w:rsidP="00CA7536">
            <w:pPr>
              <w:pStyle w:val="ae"/>
              <w:rPr>
                <w:sz w:val="22"/>
                <w:lang w:val="en-US"/>
              </w:rPr>
            </w:pPr>
            <w:r>
              <w:rPr>
                <w:sz w:val="22"/>
                <w:lang w:val="en-US"/>
              </w:rPr>
              <w:t>62</w:t>
            </w:r>
          </w:p>
        </w:tc>
        <w:tc>
          <w:tcPr>
            <w:tcW w:w="581" w:type="pct"/>
          </w:tcPr>
          <w:p w14:paraId="3942776F" w14:textId="77777777" w:rsidR="00927CD4" w:rsidRPr="0081767E" w:rsidRDefault="00927CD4" w:rsidP="00CA7536">
            <w:pPr>
              <w:pStyle w:val="ae"/>
              <w:rPr>
                <w:sz w:val="22"/>
                <w:lang w:val="en-US"/>
              </w:rPr>
            </w:pPr>
            <w:r>
              <w:rPr>
                <w:sz w:val="22"/>
                <w:lang w:val="en-US"/>
              </w:rPr>
              <w:t>62</w:t>
            </w:r>
          </w:p>
        </w:tc>
        <w:tc>
          <w:tcPr>
            <w:tcW w:w="581" w:type="pct"/>
          </w:tcPr>
          <w:p w14:paraId="45ECC121" w14:textId="77777777" w:rsidR="00927CD4" w:rsidRDefault="00927CD4" w:rsidP="00CA7536">
            <w:pPr>
              <w:pStyle w:val="ae"/>
              <w:rPr>
                <w:sz w:val="22"/>
                <w:lang w:val="en-US"/>
              </w:rPr>
            </w:pPr>
            <w:r w:rsidRPr="00BD3008">
              <w:rPr>
                <w:sz w:val="22"/>
                <w:lang w:val="en-US"/>
              </w:rPr>
              <w:t>48</w:t>
            </w:r>
          </w:p>
        </w:tc>
        <w:tc>
          <w:tcPr>
            <w:tcW w:w="581" w:type="pct"/>
          </w:tcPr>
          <w:p w14:paraId="26B9E6BB" w14:textId="77777777" w:rsidR="00927CD4" w:rsidRDefault="00927CD4" w:rsidP="00CA7536">
            <w:pPr>
              <w:pStyle w:val="ae"/>
              <w:rPr>
                <w:sz w:val="22"/>
                <w:lang w:val="en-US"/>
              </w:rPr>
            </w:pPr>
            <w:r w:rsidRPr="00BD3008">
              <w:rPr>
                <w:sz w:val="22"/>
                <w:lang w:val="en-US"/>
              </w:rPr>
              <w:t>48</w:t>
            </w:r>
          </w:p>
        </w:tc>
        <w:tc>
          <w:tcPr>
            <w:tcW w:w="578" w:type="pct"/>
          </w:tcPr>
          <w:p w14:paraId="44D5624F" w14:textId="77777777" w:rsidR="00927CD4" w:rsidRDefault="00927CD4" w:rsidP="00CA7536">
            <w:pPr>
              <w:pStyle w:val="ae"/>
              <w:rPr>
                <w:sz w:val="22"/>
                <w:lang w:val="en-US"/>
              </w:rPr>
            </w:pPr>
            <w:r>
              <w:rPr>
                <w:sz w:val="22"/>
                <w:lang w:val="en-US"/>
              </w:rPr>
              <w:t>48</w:t>
            </w:r>
          </w:p>
        </w:tc>
      </w:tr>
      <w:tr w:rsidR="00927CD4" w:rsidRPr="0081767E" w14:paraId="3727499E" w14:textId="77777777" w:rsidTr="00CA7536">
        <w:trPr>
          <w:trHeight w:val="885"/>
          <w:jc w:val="center"/>
        </w:trPr>
        <w:tc>
          <w:tcPr>
            <w:tcW w:w="1521" w:type="pct"/>
          </w:tcPr>
          <w:p w14:paraId="5017A210" w14:textId="77777777" w:rsidR="00927CD4" w:rsidRPr="0081767E" w:rsidRDefault="00927CD4" w:rsidP="00CA7536">
            <w:pPr>
              <w:ind w:firstLine="0"/>
              <w:rPr>
                <w:i/>
                <w:iCs/>
                <w:lang w:val="en-US"/>
              </w:rPr>
            </w:pPr>
            <w:r w:rsidRPr="0081767E">
              <w:rPr>
                <w:i/>
                <w:iCs/>
              </w:rPr>
              <w:t>Тип модели(сквозная</w:t>
            </w:r>
            <w:r w:rsidRPr="0081767E">
              <w:rPr>
                <w:i/>
                <w:iCs/>
                <w:lang w:val="en-US"/>
              </w:rPr>
              <w:t>/fe/re)</w:t>
            </w:r>
          </w:p>
        </w:tc>
        <w:tc>
          <w:tcPr>
            <w:tcW w:w="577" w:type="pct"/>
          </w:tcPr>
          <w:p w14:paraId="35B12172" w14:textId="77777777" w:rsidR="00927CD4" w:rsidRPr="0081767E" w:rsidRDefault="00927CD4" w:rsidP="00CA7536">
            <w:pPr>
              <w:pStyle w:val="ae"/>
              <w:rPr>
                <w:sz w:val="22"/>
                <w:lang w:val="en-US"/>
              </w:rPr>
            </w:pPr>
            <w:r>
              <w:rPr>
                <w:sz w:val="22"/>
                <w:lang w:val="en-US"/>
              </w:rPr>
              <w:t>re</w:t>
            </w:r>
          </w:p>
        </w:tc>
        <w:tc>
          <w:tcPr>
            <w:tcW w:w="581" w:type="pct"/>
          </w:tcPr>
          <w:p w14:paraId="675CDFE3" w14:textId="77777777" w:rsidR="00927CD4" w:rsidRPr="0081767E" w:rsidRDefault="00927CD4" w:rsidP="00CA7536">
            <w:pPr>
              <w:pStyle w:val="ae"/>
              <w:rPr>
                <w:sz w:val="22"/>
                <w:lang w:val="en-US"/>
              </w:rPr>
            </w:pPr>
            <w:r>
              <w:rPr>
                <w:sz w:val="22"/>
                <w:lang w:val="en-US"/>
              </w:rPr>
              <w:t>re</w:t>
            </w:r>
          </w:p>
        </w:tc>
        <w:tc>
          <w:tcPr>
            <w:tcW w:w="581" w:type="pct"/>
          </w:tcPr>
          <w:p w14:paraId="7106009F" w14:textId="77777777" w:rsidR="00927CD4" w:rsidRPr="0081767E" w:rsidRDefault="00927CD4" w:rsidP="00CA7536">
            <w:pPr>
              <w:pStyle w:val="ae"/>
              <w:rPr>
                <w:sz w:val="22"/>
                <w:lang w:val="en-US"/>
              </w:rPr>
            </w:pPr>
            <w:r>
              <w:rPr>
                <w:sz w:val="22"/>
                <w:lang w:val="en-US"/>
              </w:rPr>
              <w:t>re</w:t>
            </w:r>
          </w:p>
        </w:tc>
        <w:tc>
          <w:tcPr>
            <w:tcW w:w="581" w:type="pct"/>
          </w:tcPr>
          <w:p w14:paraId="0E52C8F4" w14:textId="77777777" w:rsidR="00927CD4" w:rsidRDefault="00927CD4" w:rsidP="00CA7536">
            <w:pPr>
              <w:pStyle w:val="ae"/>
              <w:rPr>
                <w:sz w:val="22"/>
                <w:lang w:val="en-US"/>
              </w:rPr>
            </w:pPr>
            <w:r>
              <w:rPr>
                <w:sz w:val="22"/>
                <w:lang w:val="en-US"/>
              </w:rPr>
              <w:t>re</w:t>
            </w:r>
          </w:p>
        </w:tc>
        <w:tc>
          <w:tcPr>
            <w:tcW w:w="581" w:type="pct"/>
          </w:tcPr>
          <w:p w14:paraId="18F3EF6A" w14:textId="77777777" w:rsidR="00927CD4" w:rsidRDefault="00927CD4" w:rsidP="00CA7536">
            <w:pPr>
              <w:pStyle w:val="ae"/>
              <w:rPr>
                <w:sz w:val="22"/>
                <w:lang w:val="en-US"/>
              </w:rPr>
            </w:pPr>
            <w:r>
              <w:rPr>
                <w:sz w:val="22"/>
                <w:lang w:val="en-US"/>
              </w:rPr>
              <w:t>re</w:t>
            </w:r>
          </w:p>
        </w:tc>
        <w:tc>
          <w:tcPr>
            <w:tcW w:w="578" w:type="pct"/>
          </w:tcPr>
          <w:p w14:paraId="613486E1" w14:textId="77777777" w:rsidR="00927CD4" w:rsidRDefault="00927CD4" w:rsidP="00CA7536">
            <w:pPr>
              <w:pStyle w:val="ae"/>
              <w:rPr>
                <w:sz w:val="22"/>
                <w:lang w:val="en-US"/>
              </w:rPr>
            </w:pPr>
            <w:r>
              <w:rPr>
                <w:sz w:val="22"/>
                <w:lang w:val="en-US"/>
              </w:rPr>
              <w:t>re</w:t>
            </w:r>
          </w:p>
        </w:tc>
      </w:tr>
    </w:tbl>
    <w:p w14:paraId="7940111B" w14:textId="77777777" w:rsidR="00927CD4" w:rsidRDefault="00927CD4" w:rsidP="00927CD4">
      <w:pPr>
        <w:ind w:firstLine="0"/>
      </w:pPr>
    </w:p>
    <w:p w14:paraId="29DD296D" w14:textId="77777777" w:rsidR="00927CD4" w:rsidRPr="0036069C" w:rsidRDefault="00927CD4" w:rsidP="00927CD4">
      <w:r>
        <w:t xml:space="preserve">Переменные, отвечающие за размер компании, оказались значимы и для Китая, и для России. Для российской выборки оказалось, что положительная реакция на дивиденды сильнее для более крупных компаний. Это можно объяснить тем, что наиболее капитализированные компании выборки (Роснефть, Лукойл, Газпром и др.) — это компании сектора </w:t>
      </w:r>
      <w:r>
        <w:rPr>
          <w:lang w:val="en-US"/>
        </w:rPr>
        <w:t xml:space="preserve">Materials, </w:t>
      </w:r>
      <w:r>
        <w:t>генерирующие значительные денежные потоки и традиционно выплачивающие щедрые дивиденды, поэтому для них реакция на новость об очередной выплате для них в среднем сильнее чем для прочих компаний. Для китайской выборки оказалось, что небольшие по капитализации компании слабее реагируют на новость о дивидендах, чем компании среднего размера, вероятно по той же причине: компании с маленькой капитализацией находятся в ранней стадии развития и еще не могут позволить себе платить крупные дивиденды в отличие от более зрелых фирм.</w:t>
      </w:r>
    </w:p>
    <w:p w14:paraId="248B14BD" w14:textId="77777777" w:rsidR="00927CD4" w:rsidRDefault="00927CD4" w:rsidP="00927CD4">
      <w:r>
        <w:t xml:space="preserve">Было обнаружено, что положительная реакция, выраженная через </w:t>
      </w:r>
      <w:r>
        <w:rPr>
          <w:lang w:val="en-US"/>
        </w:rPr>
        <w:t xml:space="preserve">CAAR (-10,10), </w:t>
      </w:r>
      <w:r>
        <w:t>имеет положительную взаимосвязь с ожидаемой дивидендной доходностью для российского рынка (на 1%-ом уровне значимости), то есть по мере увеличения дивидендной доходности положительная реакция на дивиденды выше консенсуса увеличивалась. Это можно объяснить тем, что на российском рынке имеет место «</w:t>
      </w:r>
      <w:r>
        <w:rPr>
          <w:lang w:val="en-US"/>
        </w:rPr>
        <w:t>clientele effect</w:t>
      </w:r>
      <w:r>
        <w:t xml:space="preserve">»: у компаний с высокой дивидендной доходностью формируется «клиентская база» инвесторов, которые ценят дивидендный доход в силу институциональных или поведенческих причин. </w:t>
      </w:r>
      <w:r w:rsidRPr="00576CC5">
        <w:t>Например, дивиденды могут предпочитать благотворительные, пенсионные, трастовые и иные фонды, а также индивидуальные инвесторы, которые хотят получать регулярные доходы и расходовать их в зависимости от своих целей.</w:t>
      </w:r>
      <w:r>
        <w:t xml:space="preserve"> На китайском рынке статистически значимой взаимосвязи с фактором дивидендной доходности не было получено, что может быть связано с меньшим объемом выборки.</w:t>
      </w:r>
    </w:p>
    <w:p w14:paraId="06A75DD9" w14:textId="77777777" w:rsidR="00927CD4" w:rsidRPr="008B2718" w:rsidRDefault="00927CD4" w:rsidP="00927CD4">
      <w:r>
        <w:t xml:space="preserve">Переменная с показателем </w:t>
      </w:r>
      <w:r>
        <w:rPr>
          <w:lang w:val="en-US"/>
        </w:rPr>
        <w:t>P/BV</w:t>
      </w:r>
      <w:r>
        <w:t xml:space="preserve"> оказалась значима для обоих рынков, однако с разными знаками при коэффициенте. На российском рынке была обнаружена обратная связь между степенью положительной реакции и показателем </w:t>
      </w:r>
      <w:r>
        <w:rPr>
          <w:lang w:val="en-US"/>
        </w:rPr>
        <w:t xml:space="preserve">P/BV, </w:t>
      </w:r>
      <w:r>
        <w:t xml:space="preserve">таким образом подтвердилась теория свободного денежного потока: чем больше возможности роста компании (измеренные показателем </w:t>
      </w:r>
      <w:r>
        <w:rPr>
          <w:lang w:val="en-US"/>
        </w:rPr>
        <w:t>P/BV)</w:t>
      </w:r>
      <w:r>
        <w:t>, тем ограниченнее будет позитивная реакция на объявления о дивиденде, превышающем ожидания аналитиков. Данный результат согласуется с результатами некторых аналогичных исследований (</w:t>
      </w:r>
      <w:r>
        <w:rPr>
          <w:rFonts w:eastAsia="Arial"/>
          <w:highlight w:val="white"/>
        </w:rPr>
        <w:t>Lang L. H. P., Litzenberger, 1989</w:t>
      </w:r>
      <w:r>
        <w:rPr>
          <w:rFonts w:eastAsia="Arial"/>
        </w:rPr>
        <w:t>), (</w:t>
      </w:r>
      <w:r>
        <w:rPr>
          <w:rFonts w:eastAsia="Arial"/>
          <w:lang w:val="en-US"/>
        </w:rPr>
        <w:t>Veira E, 2011)</w:t>
      </w:r>
      <w:r>
        <w:rPr>
          <w:rFonts w:eastAsia="Arial"/>
        </w:rPr>
        <w:t>.</w:t>
      </w:r>
      <w:r>
        <w:rPr>
          <w:color w:val="000000"/>
        </w:rPr>
        <w:t xml:space="preserve"> </w:t>
      </w:r>
      <w:r>
        <w:t xml:space="preserve">В то же время на китайском рынке наблюдается противоположный эффект: значение </w:t>
      </w:r>
      <w:r>
        <w:rPr>
          <w:lang w:val="en-US"/>
        </w:rPr>
        <w:t xml:space="preserve">CAAR </w:t>
      </w:r>
      <w:r>
        <w:t xml:space="preserve">в среднем увеличивается при увеличении показателя </w:t>
      </w:r>
      <w:r>
        <w:rPr>
          <w:lang w:val="en-US"/>
        </w:rPr>
        <w:t xml:space="preserve">P/BV </w:t>
      </w:r>
      <w:r>
        <w:t xml:space="preserve">компании. Данный результат противоречит теории переинвестирования, однако его можно объяснить особенностями выборки. Большую часть китайской выборки составляют компании </w:t>
      </w:r>
      <w:r>
        <w:rPr>
          <w:lang w:val="en-US"/>
        </w:rPr>
        <w:t>IT-</w:t>
      </w:r>
      <w:r>
        <w:t xml:space="preserve">сектора, которые рассматривают Шэньчжэньскую биржу как наиболее привлекательную для размещения в Китае: на ней даже была запущена отдельная площадка </w:t>
      </w:r>
      <w:r>
        <w:rPr>
          <w:lang w:val="en-US"/>
        </w:rPr>
        <w:t xml:space="preserve">ChiNext, </w:t>
      </w:r>
      <w:r>
        <w:t xml:space="preserve">ориентированная на акции инновационных компаний и стартапов, почти половина всех компаний, залистингованных на Шэньчжэньской бирже, торгуется именно на </w:t>
      </w:r>
      <w:r>
        <w:rPr>
          <w:lang w:val="en-US"/>
        </w:rPr>
        <w:t xml:space="preserve">ChiNext. </w:t>
      </w:r>
      <w:r>
        <w:t xml:space="preserve"> Бурно растущие технологические компании, как правило, имеют высокий показатель </w:t>
      </w:r>
      <w:r>
        <w:rPr>
          <w:lang w:val="en-US"/>
        </w:rPr>
        <w:t>P/BV</w:t>
      </w:r>
      <w:r>
        <w:t xml:space="preserve"> (в выборке китайских компаний среднее значение </w:t>
      </w:r>
      <w:r>
        <w:rPr>
          <w:lang w:val="en-US"/>
        </w:rPr>
        <w:t>P_BV</w:t>
      </w:r>
      <w:r>
        <w:t xml:space="preserve"> действительно оказалось самым высоким для компаний </w:t>
      </w:r>
      <w:r>
        <w:rPr>
          <w:lang w:val="en-US"/>
        </w:rPr>
        <w:t xml:space="preserve">IT – 4,87 </w:t>
      </w:r>
      <w:r>
        <w:t xml:space="preserve">против среднего значения по всей выборке 3,18). При этом инновационные компании относительно молодые и небольшие по размеру в сравнении с гигантами из более традиционных отраслей – так, было выявлена достаточно сильная обратная связь между размером активов в китайских компаниях и их значением </w:t>
      </w:r>
      <w:r>
        <w:rPr>
          <w:lang w:val="en-US"/>
        </w:rPr>
        <w:t xml:space="preserve">P_BV c </w:t>
      </w:r>
      <w:r>
        <w:t xml:space="preserve">коэффициентом корреляции -0,5. Следовательно, инвесторы в эти компании имеют большую потребность в сигнале о ее текущих и будущих финансовых потоках, особенно с учетом того, что деятельность компаний технологического сектора часто связана с высокими рисками, например, что их технологии окажутся невостребованы или разработки и вовсе не увенчаются успехом. Поэтому по мере роста </w:t>
      </w:r>
      <w:r>
        <w:rPr>
          <w:lang w:val="en-US"/>
        </w:rPr>
        <w:t xml:space="preserve">P_BV </w:t>
      </w:r>
      <w:r>
        <w:t>растет и положительная реакция на дивиденды сверх ожидаемых, которые служат позитивным сигналом для рынка.</w:t>
      </w:r>
    </w:p>
    <w:p w14:paraId="5DC7F05F" w14:textId="77777777" w:rsidR="00927CD4" w:rsidRDefault="00927CD4" w:rsidP="00927CD4">
      <w:r>
        <w:t xml:space="preserve">На российском рынке был получен статистически значимые коэффициенты при переменных </w:t>
      </w:r>
      <w:r>
        <w:rPr>
          <w:lang w:val="en-US"/>
        </w:rPr>
        <w:t>“low_return”</w:t>
      </w:r>
      <w:r>
        <w:t xml:space="preserve"> и </w:t>
      </w:r>
      <w:r>
        <w:rPr>
          <w:lang w:val="en-US"/>
        </w:rPr>
        <w:t>“high_return”</w:t>
      </w:r>
      <w:r>
        <w:t xml:space="preserve">, равные -0,064037 (на 1%-ом уровне значимости) и -0,037 (на 5%-ом уровне значимости). Это позволяет сделать вывод, что в среднем при прочих равных рынок реагирует хуже на положительный дивидендный «сюрприз», если в период до объявления (за 30 торговых дней накануне объявления) наблюдалась доходность рынка ниже или выше среднего. Результат для переменной </w:t>
      </w:r>
      <w:r>
        <w:rPr>
          <w:lang w:val="en-US"/>
        </w:rPr>
        <w:t xml:space="preserve">“low_return” </w:t>
      </w:r>
      <w:r>
        <w:t>не соотносится с результатами работы (</w:t>
      </w:r>
      <w:r>
        <w:rPr>
          <w:lang w:val="en-US"/>
        </w:rPr>
        <w:t>Below, Johnson, 1996)</w:t>
      </w:r>
      <w:r>
        <w:t>, согласно которой новость о росте дивидендов содержит больше информации во время «медвежьего рынка». Однако полученный результат согласуется с моделью Veronesi (1999), согласно которой инвесторы применяют более высокую ставку дисконтирования к «хорошим новостям», если они объявляются в «плохие времена», то есть времена относительно низкой доходности рынка</w:t>
      </w:r>
      <w:r>
        <w:rPr>
          <w:lang w:val="en-US"/>
        </w:rPr>
        <w:t>;</w:t>
      </w:r>
      <w:r>
        <w:t xml:space="preserve"> в повышенную ставку закладывается неопределенность, связанная с будущим потоком дивидендов.</w:t>
      </w:r>
      <w:r>
        <w:rPr>
          <w:lang w:val="en-US"/>
        </w:rPr>
        <w:t xml:space="preserve"> </w:t>
      </w:r>
      <w:r>
        <w:t>В то же время при переменной «</w:t>
      </w:r>
      <w:r>
        <w:rPr>
          <w:lang w:val="en-US"/>
        </w:rPr>
        <w:t>high_return</w:t>
      </w:r>
      <w:r>
        <w:t>»</w:t>
      </w:r>
      <w:r>
        <w:rPr>
          <w:lang w:val="en-US"/>
        </w:rPr>
        <w:t xml:space="preserve"> </w:t>
      </w:r>
      <w:r>
        <w:t>тоже был получен отрицательный знак, что тоже можно объяснить более высокой неопределенностью во времена, когда на рынке наблюдается доходность выше или ниже средних значений. Аналогично, был зафиксирован отрицательный коэффициент у «</w:t>
      </w:r>
      <w:r>
        <w:rPr>
          <w:lang w:val="en-US"/>
        </w:rPr>
        <w:t>high_return</w:t>
      </w:r>
      <w:r>
        <w:t>» для китайской выборки.</w:t>
      </w:r>
    </w:p>
    <w:p w14:paraId="6C1BE7D5" w14:textId="77777777" w:rsidR="00927CD4" w:rsidRPr="00927CD4" w:rsidRDefault="00927CD4" w:rsidP="00927CD4"/>
    <w:p w14:paraId="17A1DD55" w14:textId="72F4649C" w:rsidR="007A6CED" w:rsidRDefault="007A6CED" w:rsidP="007A6CED">
      <w:pPr>
        <w:pStyle w:val="a"/>
      </w:pPr>
      <w:r>
        <w:t>Результаты регрессионного анализа для случая «плохого сюрприза»</w:t>
      </w:r>
      <w:r w:rsidR="000911E9">
        <w:t xml:space="preserve"> (» (в скобках указана величина стандартной ошибки)</w:t>
      </w:r>
    </w:p>
    <w:tbl>
      <w:tblPr>
        <w:tblStyle w:val="ad"/>
        <w:tblW w:w="5000" w:type="pct"/>
        <w:jc w:val="center"/>
        <w:tblLayout w:type="fixed"/>
        <w:tblLook w:val="04A0" w:firstRow="1" w:lastRow="0" w:firstColumn="1" w:lastColumn="0" w:noHBand="0" w:noVBand="1"/>
      </w:tblPr>
      <w:tblGrid>
        <w:gridCol w:w="2868"/>
        <w:gridCol w:w="1088"/>
        <w:gridCol w:w="1096"/>
        <w:gridCol w:w="1096"/>
        <w:gridCol w:w="1096"/>
        <w:gridCol w:w="1096"/>
        <w:gridCol w:w="1090"/>
      </w:tblGrid>
      <w:tr w:rsidR="00927CD4" w:rsidRPr="00F22776" w14:paraId="005D08A4" w14:textId="77777777" w:rsidTr="00CA7536">
        <w:trPr>
          <w:trHeight w:val="885"/>
          <w:jc w:val="center"/>
        </w:trPr>
        <w:tc>
          <w:tcPr>
            <w:tcW w:w="1521" w:type="pct"/>
          </w:tcPr>
          <w:p w14:paraId="50C2DA28" w14:textId="77777777" w:rsidR="00927CD4" w:rsidRPr="00F22776" w:rsidRDefault="00927CD4" w:rsidP="00927CD4">
            <w:pPr>
              <w:pStyle w:val="ac"/>
            </w:pPr>
            <w:r w:rsidRPr="00F22776">
              <w:t>Независимая</w:t>
            </w:r>
          </w:p>
          <w:p w14:paraId="5E37FEFB" w14:textId="77777777" w:rsidR="00927CD4" w:rsidRPr="00F22776" w:rsidRDefault="00927CD4" w:rsidP="00927CD4">
            <w:pPr>
              <w:pStyle w:val="ac"/>
            </w:pPr>
            <w:r w:rsidRPr="00F22776">
              <w:t>переменная</w:t>
            </w:r>
          </w:p>
        </w:tc>
        <w:tc>
          <w:tcPr>
            <w:tcW w:w="1739" w:type="pct"/>
            <w:gridSpan w:val="3"/>
          </w:tcPr>
          <w:p w14:paraId="253DC3D8" w14:textId="77777777" w:rsidR="00927CD4" w:rsidRPr="00F22776" w:rsidRDefault="00927CD4" w:rsidP="00CA7536">
            <w:pPr>
              <w:pStyle w:val="ac"/>
            </w:pPr>
            <w:r w:rsidRPr="00F22776">
              <w:t>Россия</w:t>
            </w:r>
          </w:p>
        </w:tc>
        <w:tc>
          <w:tcPr>
            <w:tcW w:w="1740" w:type="pct"/>
            <w:gridSpan w:val="3"/>
          </w:tcPr>
          <w:p w14:paraId="4D8EF515" w14:textId="77777777" w:rsidR="00927CD4" w:rsidRPr="00F22776" w:rsidRDefault="00927CD4" w:rsidP="00CA7536">
            <w:pPr>
              <w:pStyle w:val="ac"/>
            </w:pPr>
            <w:r w:rsidRPr="00F22776">
              <w:t>Китай</w:t>
            </w:r>
          </w:p>
        </w:tc>
      </w:tr>
      <w:tr w:rsidR="00927CD4" w14:paraId="39FD1449" w14:textId="77777777" w:rsidTr="00CA7536">
        <w:trPr>
          <w:trHeight w:val="885"/>
          <w:jc w:val="center"/>
        </w:trPr>
        <w:tc>
          <w:tcPr>
            <w:tcW w:w="1521" w:type="pct"/>
          </w:tcPr>
          <w:p w14:paraId="0C211F2C" w14:textId="77777777" w:rsidR="00927CD4" w:rsidRPr="00D03D5D" w:rsidRDefault="00927CD4" w:rsidP="00CA7536">
            <w:pPr>
              <w:pStyle w:val="ac"/>
            </w:pPr>
            <w:r>
              <w:t>Номер модели</w:t>
            </w:r>
          </w:p>
        </w:tc>
        <w:tc>
          <w:tcPr>
            <w:tcW w:w="577" w:type="pct"/>
          </w:tcPr>
          <w:p w14:paraId="6DB5992D" w14:textId="77777777" w:rsidR="00927CD4" w:rsidRPr="00EB6378" w:rsidRDefault="00927CD4" w:rsidP="00CA7536">
            <w:pPr>
              <w:pStyle w:val="ac"/>
            </w:pPr>
            <w:r>
              <w:t>1 модель</w:t>
            </w:r>
          </w:p>
        </w:tc>
        <w:tc>
          <w:tcPr>
            <w:tcW w:w="581" w:type="pct"/>
          </w:tcPr>
          <w:p w14:paraId="6AC2326C" w14:textId="77777777" w:rsidR="00927CD4" w:rsidRPr="00EB6378" w:rsidRDefault="00927CD4" w:rsidP="00CA7536">
            <w:pPr>
              <w:pStyle w:val="ac"/>
            </w:pPr>
            <w:r>
              <w:t>2 модель</w:t>
            </w:r>
          </w:p>
        </w:tc>
        <w:tc>
          <w:tcPr>
            <w:tcW w:w="581" w:type="pct"/>
          </w:tcPr>
          <w:p w14:paraId="3715371F" w14:textId="77777777" w:rsidR="00927CD4" w:rsidRPr="00A45D35" w:rsidRDefault="00927CD4" w:rsidP="00CA7536">
            <w:pPr>
              <w:pStyle w:val="ac"/>
            </w:pPr>
            <w:r>
              <w:t>3 модель</w:t>
            </w:r>
          </w:p>
        </w:tc>
        <w:tc>
          <w:tcPr>
            <w:tcW w:w="581" w:type="pct"/>
          </w:tcPr>
          <w:p w14:paraId="43F06A97" w14:textId="77777777" w:rsidR="00927CD4" w:rsidRDefault="00927CD4" w:rsidP="00CA7536">
            <w:pPr>
              <w:pStyle w:val="ac"/>
            </w:pPr>
            <w:r>
              <w:t>1 модель</w:t>
            </w:r>
          </w:p>
        </w:tc>
        <w:tc>
          <w:tcPr>
            <w:tcW w:w="581" w:type="pct"/>
          </w:tcPr>
          <w:p w14:paraId="793603E2" w14:textId="77777777" w:rsidR="00927CD4" w:rsidRDefault="00927CD4" w:rsidP="00CA7536">
            <w:pPr>
              <w:pStyle w:val="ac"/>
            </w:pPr>
            <w:r>
              <w:t>2 модель</w:t>
            </w:r>
          </w:p>
        </w:tc>
        <w:tc>
          <w:tcPr>
            <w:tcW w:w="578" w:type="pct"/>
          </w:tcPr>
          <w:p w14:paraId="283FFDEC" w14:textId="77777777" w:rsidR="00927CD4" w:rsidRDefault="00927CD4" w:rsidP="00CA7536">
            <w:pPr>
              <w:pStyle w:val="ac"/>
            </w:pPr>
            <w:r>
              <w:t>3 модель</w:t>
            </w:r>
          </w:p>
        </w:tc>
      </w:tr>
      <w:tr w:rsidR="00927CD4" w:rsidRPr="008176C1" w14:paraId="7E501207" w14:textId="77777777" w:rsidTr="00CA7536">
        <w:trPr>
          <w:trHeight w:val="885"/>
          <w:jc w:val="center"/>
        </w:trPr>
        <w:tc>
          <w:tcPr>
            <w:tcW w:w="1521" w:type="pct"/>
          </w:tcPr>
          <w:p w14:paraId="3D000E49" w14:textId="77777777" w:rsidR="00927CD4" w:rsidRDefault="00927CD4" w:rsidP="00CA7536">
            <w:pPr>
              <w:ind w:firstLine="0"/>
              <w:rPr>
                <w:i/>
                <w:iCs/>
                <w:lang w:val="en-US"/>
              </w:rPr>
            </w:pPr>
            <w:r>
              <w:rPr>
                <w:i/>
                <w:iCs/>
                <w:lang w:val="en-US"/>
              </w:rPr>
              <w:t>Large</w:t>
            </w:r>
          </w:p>
        </w:tc>
        <w:tc>
          <w:tcPr>
            <w:tcW w:w="577" w:type="pct"/>
          </w:tcPr>
          <w:p w14:paraId="4630D139" w14:textId="78091620" w:rsidR="00927CD4" w:rsidRPr="00446F02" w:rsidRDefault="00927CD4" w:rsidP="00CA7536">
            <w:pPr>
              <w:pStyle w:val="ae"/>
              <w:rPr>
                <w:sz w:val="22"/>
              </w:rPr>
            </w:pPr>
            <w:r w:rsidRPr="00AA31AE">
              <w:rPr>
                <w:sz w:val="22"/>
              </w:rPr>
              <w:t>-.001</w:t>
            </w:r>
            <w:r w:rsidR="00B409B1">
              <w:rPr>
                <w:sz w:val="22"/>
              </w:rPr>
              <w:t xml:space="preserve"> (</w:t>
            </w:r>
            <w:r w:rsidR="00B409B1" w:rsidRPr="00B409B1">
              <w:rPr>
                <w:sz w:val="22"/>
              </w:rPr>
              <w:t>.02</w:t>
            </w:r>
            <w:r w:rsidR="00B409B1">
              <w:rPr>
                <w:sz w:val="22"/>
              </w:rPr>
              <w:t>1)</w:t>
            </w:r>
          </w:p>
        </w:tc>
        <w:tc>
          <w:tcPr>
            <w:tcW w:w="581" w:type="pct"/>
          </w:tcPr>
          <w:p w14:paraId="59D75537" w14:textId="1DD5679F" w:rsidR="00927CD4" w:rsidRPr="00B409B1" w:rsidRDefault="00927CD4" w:rsidP="00CA7536">
            <w:pPr>
              <w:pStyle w:val="ae"/>
              <w:rPr>
                <w:sz w:val="22"/>
              </w:rPr>
            </w:pPr>
            <w:r w:rsidRPr="00AA31AE">
              <w:rPr>
                <w:sz w:val="22"/>
                <w:lang w:val="en-US"/>
              </w:rPr>
              <w:t>.01</w:t>
            </w:r>
            <w:r w:rsidR="00B409B1">
              <w:rPr>
                <w:sz w:val="22"/>
              </w:rPr>
              <w:t>7 (</w:t>
            </w:r>
            <w:r w:rsidR="00B409B1" w:rsidRPr="00B409B1">
              <w:rPr>
                <w:sz w:val="22"/>
              </w:rPr>
              <w:t>.02</w:t>
            </w:r>
            <w:r w:rsidR="00B409B1">
              <w:rPr>
                <w:sz w:val="22"/>
              </w:rPr>
              <w:t>9)</w:t>
            </w:r>
          </w:p>
        </w:tc>
        <w:tc>
          <w:tcPr>
            <w:tcW w:w="581" w:type="pct"/>
          </w:tcPr>
          <w:p w14:paraId="34ED1332" w14:textId="3B68102D" w:rsidR="00927CD4" w:rsidRPr="00B54FE8" w:rsidRDefault="00927CD4" w:rsidP="00CA7536">
            <w:pPr>
              <w:pStyle w:val="ae"/>
              <w:rPr>
                <w:sz w:val="22"/>
              </w:rPr>
            </w:pPr>
            <w:r w:rsidRPr="00B43FAA">
              <w:rPr>
                <w:sz w:val="22"/>
                <w:lang w:val="en-US"/>
              </w:rPr>
              <w:t>-.00</w:t>
            </w:r>
            <w:r>
              <w:rPr>
                <w:sz w:val="22"/>
                <w:lang w:val="en-US"/>
              </w:rPr>
              <w:t>4</w:t>
            </w:r>
            <w:r w:rsidR="00B54FE8">
              <w:rPr>
                <w:sz w:val="22"/>
              </w:rPr>
              <w:t xml:space="preserve"> (</w:t>
            </w:r>
            <w:r w:rsidR="00B54FE8" w:rsidRPr="00B54FE8">
              <w:rPr>
                <w:sz w:val="22"/>
              </w:rPr>
              <w:t>.020</w:t>
            </w:r>
            <w:r w:rsidR="00B54FE8">
              <w:rPr>
                <w:sz w:val="22"/>
              </w:rPr>
              <w:t>)</w:t>
            </w:r>
          </w:p>
        </w:tc>
        <w:tc>
          <w:tcPr>
            <w:tcW w:w="581" w:type="pct"/>
          </w:tcPr>
          <w:p w14:paraId="06063471" w14:textId="7128FF93" w:rsidR="00927CD4" w:rsidRPr="00EA6142" w:rsidRDefault="00927CD4" w:rsidP="00CA7536">
            <w:pPr>
              <w:pStyle w:val="ae"/>
              <w:rPr>
                <w:sz w:val="22"/>
              </w:rPr>
            </w:pPr>
            <w:r w:rsidRPr="00731B40">
              <w:rPr>
                <w:sz w:val="22"/>
                <w:lang w:val="en-US"/>
              </w:rPr>
              <w:t>.01</w:t>
            </w:r>
            <w:r>
              <w:rPr>
                <w:sz w:val="22"/>
                <w:lang w:val="en-US"/>
              </w:rPr>
              <w:t>5</w:t>
            </w:r>
            <w:r w:rsidR="00EA6142">
              <w:rPr>
                <w:sz w:val="22"/>
              </w:rPr>
              <w:t xml:space="preserve"> (</w:t>
            </w:r>
            <w:r w:rsidR="00EA6142" w:rsidRPr="00EA6142">
              <w:rPr>
                <w:sz w:val="22"/>
              </w:rPr>
              <w:t>.02</w:t>
            </w:r>
            <w:r w:rsidR="00EA6142">
              <w:rPr>
                <w:sz w:val="22"/>
              </w:rPr>
              <w:t>8)</w:t>
            </w:r>
          </w:p>
        </w:tc>
        <w:tc>
          <w:tcPr>
            <w:tcW w:w="581" w:type="pct"/>
          </w:tcPr>
          <w:p w14:paraId="37168D45" w14:textId="695F25B1" w:rsidR="00927CD4" w:rsidRPr="00EA6142" w:rsidRDefault="00927CD4" w:rsidP="00CA7536">
            <w:pPr>
              <w:pStyle w:val="ae"/>
              <w:rPr>
                <w:sz w:val="22"/>
              </w:rPr>
            </w:pPr>
            <w:r w:rsidRPr="0016722C">
              <w:rPr>
                <w:sz w:val="22"/>
                <w:lang w:val="en-US"/>
              </w:rPr>
              <w:t>.01</w:t>
            </w:r>
            <w:r>
              <w:rPr>
                <w:sz w:val="22"/>
                <w:lang w:val="en-US"/>
              </w:rPr>
              <w:t>7</w:t>
            </w:r>
            <w:r w:rsidR="00EA6142">
              <w:rPr>
                <w:sz w:val="22"/>
              </w:rPr>
              <w:t xml:space="preserve"> (</w:t>
            </w:r>
            <w:r w:rsidR="00EA6142" w:rsidRPr="00EA6142">
              <w:rPr>
                <w:sz w:val="22"/>
              </w:rPr>
              <w:t>.030</w:t>
            </w:r>
            <w:r w:rsidR="00EA6142">
              <w:rPr>
                <w:sz w:val="22"/>
              </w:rPr>
              <w:t>)</w:t>
            </w:r>
          </w:p>
        </w:tc>
        <w:tc>
          <w:tcPr>
            <w:tcW w:w="578" w:type="pct"/>
          </w:tcPr>
          <w:p w14:paraId="77366F13" w14:textId="0816AE72" w:rsidR="00927CD4" w:rsidRPr="00111E0B" w:rsidRDefault="00927CD4" w:rsidP="00CA7536">
            <w:pPr>
              <w:pStyle w:val="ae"/>
              <w:rPr>
                <w:sz w:val="22"/>
              </w:rPr>
            </w:pPr>
            <w:r w:rsidRPr="0016722C">
              <w:rPr>
                <w:sz w:val="22"/>
                <w:lang w:val="en-US"/>
              </w:rPr>
              <w:t>.027</w:t>
            </w:r>
            <w:r w:rsidR="00111E0B">
              <w:rPr>
                <w:sz w:val="22"/>
              </w:rPr>
              <w:t xml:space="preserve"> (</w:t>
            </w:r>
            <w:r w:rsidR="00111E0B" w:rsidRPr="00111E0B">
              <w:rPr>
                <w:sz w:val="22"/>
              </w:rPr>
              <w:t>.02</w:t>
            </w:r>
            <w:r w:rsidR="00111E0B">
              <w:rPr>
                <w:sz w:val="22"/>
              </w:rPr>
              <w:t>9)</w:t>
            </w:r>
          </w:p>
        </w:tc>
      </w:tr>
      <w:tr w:rsidR="00927CD4" w:rsidRPr="008176C1" w14:paraId="6524D30E" w14:textId="77777777" w:rsidTr="00CA7536">
        <w:trPr>
          <w:trHeight w:val="885"/>
          <w:jc w:val="center"/>
        </w:trPr>
        <w:tc>
          <w:tcPr>
            <w:tcW w:w="1521" w:type="pct"/>
          </w:tcPr>
          <w:p w14:paraId="60D0868F" w14:textId="77777777" w:rsidR="00927CD4" w:rsidRDefault="00927CD4" w:rsidP="00CA7536">
            <w:pPr>
              <w:ind w:firstLine="0"/>
              <w:rPr>
                <w:i/>
                <w:iCs/>
                <w:lang w:val="en-US"/>
              </w:rPr>
            </w:pPr>
            <w:r>
              <w:rPr>
                <w:i/>
                <w:iCs/>
                <w:lang w:val="en-US"/>
              </w:rPr>
              <w:t>Small</w:t>
            </w:r>
          </w:p>
        </w:tc>
        <w:tc>
          <w:tcPr>
            <w:tcW w:w="577" w:type="pct"/>
          </w:tcPr>
          <w:p w14:paraId="3AC70B12" w14:textId="68E83B5B" w:rsidR="00927CD4" w:rsidRPr="00B409B1" w:rsidRDefault="00927CD4" w:rsidP="00CA7536">
            <w:pPr>
              <w:pStyle w:val="ae"/>
              <w:rPr>
                <w:sz w:val="22"/>
              </w:rPr>
            </w:pPr>
            <w:r w:rsidRPr="00AA31AE">
              <w:rPr>
                <w:sz w:val="22"/>
              </w:rPr>
              <w:t>.020</w:t>
            </w:r>
            <w:r>
              <w:rPr>
                <w:sz w:val="22"/>
                <w:lang w:val="en-US"/>
              </w:rPr>
              <w:t>**</w:t>
            </w:r>
            <w:r w:rsidR="00B409B1">
              <w:rPr>
                <w:sz w:val="22"/>
              </w:rPr>
              <w:t xml:space="preserve"> (</w:t>
            </w:r>
            <w:r w:rsidR="00B409B1" w:rsidRPr="00B409B1">
              <w:rPr>
                <w:sz w:val="22"/>
              </w:rPr>
              <w:t>.0</w:t>
            </w:r>
            <w:r w:rsidR="00B409B1">
              <w:rPr>
                <w:sz w:val="22"/>
              </w:rPr>
              <w:t>10)</w:t>
            </w:r>
          </w:p>
        </w:tc>
        <w:tc>
          <w:tcPr>
            <w:tcW w:w="581" w:type="pct"/>
          </w:tcPr>
          <w:p w14:paraId="01007355" w14:textId="4CD10E2F" w:rsidR="00927CD4" w:rsidRPr="00B409B1" w:rsidRDefault="00927CD4" w:rsidP="00CA7536">
            <w:pPr>
              <w:pStyle w:val="ae"/>
              <w:rPr>
                <w:sz w:val="22"/>
              </w:rPr>
            </w:pPr>
            <w:r w:rsidRPr="00B43FAA">
              <w:rPr>
                <w:sz w:val="22"/>
                <w:lang w:val="en-US"/>
              </w:rPr>
              <w:t>.025</w:t>
            </w:r>
            <w:r>
              <w:rPr>
                <w:sz w:val="22"/>
                <w:lang w:val="en-US"/>
              </w:rPr>
              <w:t>*</w:t>
            </w:r>
            <w:r w:rsidR="00B409B1">
              <w:rPr>
                <w:sz w:val="22"/>
              </w:rPr>
              <w:t xml:space="preserve"> (</w:t>
            </w:r>
            <w:r w:rsidR="00B409B1" w:rsidRPr="00B409B1">
              <w:rPr>
                <w:sz w:val="22"/>
              </w:rPr>
              <w:t>.01</w:t>
            </w:r>
            <w:r w:rsidR="00B409B1">
              <w:rPr>
                <w:sz w:val="22"/>
              </w:rPr>
              <w:t>4)</w:t>
            </w:r>
          </w:p>
        </w:tc>
        <w:tc>
          <w:tcPr>
            <w:tcW w:w="581" w:type="pct"/>
          </w:tcPr>
          <w:p w14:paraId="0955236D" w14:textId="44C84B6D" w:rsidR="00927CD4" w:rsidRPr="00B54FE8" w:rsidRDefault="00927CD4" w:rsidP="00CA7536">
            <w:pPr>
              <w:pStyle w:val="ae"/>
              <w:rPr>
                <w:sz w:val="22"/>
              </w:rPr>
            </w:pPr>
            <w:r w:rsidRPr="00B43FAA">
              <w:rPr>
                <w:sz w:val="22"/>
                <w:lang w:val="en-US"/>
              </w:rPr>
              <w:t>.01</w:t>
            </w:r>
            <w:r>
              <w:rPr>
                <w:sz w:val="22"/>
                <w:lang w:val="en-US"/>
              </w:rPr>
              <w:t>5</w:t>
            </w:r>
            <w:r w:rsidR="00B54FE8">
              <w:rPr>
                <w:sz w:val="22"/>
              </w:rPr>
              <w:t xml:space="preserve"> (</w:t>
            </w:r>
            <w:r w:rsidR="00B54FE8" w:rsidRPr="00B54FE8">
              <w:rPr>
                <w:sz w:val="22"/>
              </w:rPr>
              <w:t>.01</w:t>
            </w:r>
            <w:r w:rsidR="00B54FE8">
              <w:rPr>
                <w:sz w:val="22"/>
              </w:rPr>
              <w:t>2)</w:t>
            </w:r>
          </w:p>
        </w:tc>
        <w:tc>
          <w:tcPr>
            <w:tcW w:w="581" w:type="pct"/>
          </w:tcPr>
          <w:p w14:paraId="223CD222" w14:textId="728E633D" w:rsidR="00927CD4" w:rsidRPr="00EA6142" w:rsidRDefault="00927CD4" w:rsidP="00CA7536">
            <w:pPr>
              <w:pStyle w:val="ae"/>
              <w:rPr>
                <w:sz w:val="22"/>
              </w:rPr>
            </w:pPr>
            <w:r w:rsidRPr="00731B40">
              <w:rPr>
                <w:sz w:val="22"/>
                <w:lang w:val="en-US"/>
              </w:rPr>
              <w:t>-.00</w:t>
            </w:r>
            <w:r>
              <w:rPr>
                <w:sz w:val="22"/>
                <w:lang w:val="en-US"/>
              </w:rPr>
              <w:t>8</w:t>
            </w:r>
            <w:r w:rsidR="00EA6142">
              <w:rPr>
                <w:sz w:val="22"/>
              </w:rPr>
              <w:t xml:space="preserve"> (</w:t>
            </w:r>
            <w:r w:rsidR="00EA6142" w:rsidRPr="00EA6142">
              <w:rPr>
                <w:sz w:val="22"/>
              </w:rPr>
              <w:t>.021</w:t>
            </w:r>
            <w:r w:rsidR="00EA6142">
              <w:rPr>
                <w:sz w:val="22"/>
              </w:rPr>
              <w:t>)</w:t>
            </w:r>
          </w:p>
        </w:tc>
        <w:tc>
          <w:tcPr>
            <w:tcW w:w="581" w:type="pct"/>
          </w:tcPr>
          <w:p w14:paraId="125636E9" w14:textId="630BE7CA" w:rsidR="00927CD4" w:rsidRPr="00EA6142" w:rsidRDefault="00927CD4" w:rsidP="00CA7536">
            <w:pPr>
              <w:pStyle w:val="ae"/>
              <w:rPr>
                <w:sz w:val="22"/>
              </w:rPr>
            </w:pPr>
            <w:r w:rsidRPr="0016722C">
              <w:rPr>
                <w:sz w:val="22"/>
                <w:lang w:val="en-US"/>
              </w:rPr>
              <w:t>-.011</w:t>
            </w:r>
            <w:r w:rsidR="00EA6142">
              <w:rPr>
                <w:sz w:val="22"/>
              </w:rPr>
              <w:t xml:space="preserve"> (</w:t>
            </w:r>
            <w:r w:rsidR="00EA6142" w:rsidRPr="00EA6142">
              <w:rPr>
                <w:sz w:val="22"/>
              </w:rPr>
              <w:t>.02</w:t>
            </w:r>
            <w:r w:rsidR="00EA6142">
              <w:rPr>
                <w:sz w:val="22"/>
              </w:rPr>
              <w:t>1)</w:t>
            </w:r>
          </w:p>
        </w:tc>
        <w:tc>
          <w:tcPr>
            <w:tcW w:w="578" w:type="pct"/>
          </w:tcPr>
          <w:p w14:paraId="10854E98" w14:textId="224B0C14" w:rsidR="00927CD4" w:rsidRPr="00111E0B" w:rsidRDefault="00927CD4" w:rsidP="00CA7536">
            <w:pPr>
              <w:pStyle w:val="ae"/>
              <w:rPr>
                <w:sz w:val="22"/>
              </w:rPr>
            </w:pPr>
            <w:r w:rsidRPr="0016722C">
              <w:rPr>
                <w:sz w:val="22"/>
                <w:lang w:val="en-US"/>
              </w:rPr>
              <w:t>-.00</w:t>
            </w:r>
            <w:r>
              <w:rPr>
                <w:sz w:val="22"/>
                <w:lang w:val="en-US"/>
              </w:rPr>
              <w:t>8</w:t>
            </w:r>
            <w:r w:rsidR="00111E0B">
              <w:rPr>
                <w:sz w:val="22"/>
              </w:rPr>
              <w:t xml:space="preserve"> (</w:t>
            </w:r>
            <w:r w:rsidR="00111E0B" w:rsidRPr="00111E0B">
              <w:rPr>
                <w:sz w:val="22"/>
              </w:rPr>
              <w:t>.021</w:t>
            </w:r>
            <w:r w:rsidR="00111E0B">
              <w:rPr>
                <w:sz w:val="22"/>
              </w:rPr>
              <w:t>)</w:t>
            </w:r>
          </w:p>
        </w:tc>
      </w:tr>
      <w:tr w:rsidR="00927CD4" w:rsidRPr="008176C1" w14:paraId="780E1AEC" w14:textId="77777777" w:rsidTr="00CA7536">
        <w:trPr>
          <w:trHeight w:val="885"/>
          <w:jc w:val="center"/>
        </w:trPr>
        <w:tc>
          <w:tcPr>
            <w:tcW w:w="1521" w:type="pct"/>
          </w:tcPr>
          <w:p w14:paraId="50C19A43" w14:textId="77777777" w:rsidR="00927CD4" w:rsidRPr="0081767E" w:rsidRDefault="00927CD4" w:rsidP="00CA7536">
            <w:pPr>
              <w:ind w:firstLine="0"/>
              <w:rPr>
                <w:i/>
                <w:iCs/>
                <w:lang w:val="en-US"/>
              </w:rPr>
            </w:pPr>
            <w:r>
              <w:rPr>
                <w:i/>
                <w:iCs/>
                <w:lang w:val="en-US"/>
              </w:rPr>
              <w:t>Div_yield</w:t>
            </w:r>
          </w:p>
        </w:tc>
        <w:tc>
          <w:tcPr>
            <w:tcW w:w="577" w:type="pct"/>
          </w:tcPr>
          <w:p w14:paraId="2E47DA27" w14:textId="4AEC46A1" w:rsidR="00927CD4" w:rsidRPr="00A15D85" w:rsidRDefault="00927CD4" w:rsidP="00CA7536">
            <w:pPr>
              <w:pStyle w:val="ae"/>
              <w:rPr>
                <w:sz w:val="22"/>
              </w:rPr>
            </w:pPr>
            <w:r w:rsidRPr="00AA31AE">
              <w:rPr>
                <w:sz w:val="22"/>
              </w:rPr>
              <w:t>.487</w:t>
            </w:r>
            <w:r>
              <w:rPr>
                <w:sz w:val="22"/>
              </w:rPr>
              <w:t>**</w:t>
            </w:r>
            <w:r w:rsidR="00B409B1">
              <w:rPr>
                <w:sz w:val="22"/>
              </w:rPr>
              <w:t xml:space="preserve"> (</w:t>
            </w:r>
            <w:r w:rsidR="00B409B1" w:rsidRPr="00B409B1">
              <w:rPr>
                <w:sz w:val="22"/>
              </w:rPr>
              <w:t>.243</w:t>
            </w:r>
            <w:r w:rsidR="00B409B1">
              <w:rPr>
                <w:sz w:val="22"/>
              </w:rPr>
              <w:t>)</w:t>
            </w:r>
          </w:p>
        </w:tc>
        <w:tc>
          <w:tcPr>
            <w:tcW w:w="581" w:type="pct"/>
          </w:tcPr>
          <w:p w14:paraId="1588CD88" w14:textId="6520D340" w:rsidR="00927CD4" w:rsidRPr="00942E06" w:rsidRDefault="00927CD4" w:rsidP="00CA7536">
            <w:pPr>
              <w:pStyle w:val="ae"/>
              <w:rPr>
                <w:sz w:val="22"/>
              </w:rPr>
            </w:pPr>
            <w:r w:rsidRPr="00B43FAA">
              <w:rPr>
                <w:sz w:val="22"/>
                <w:lang w:val="en-US"/>
              </w:rPr>
              <w:t>.436</w:t>
            </w:r>
            <w:r>
              <w:rPr>
                <w:sz w:val="22"/>
              </w:rPr>
              <w:t>**</w:t>
            </w:r>
            <w:r w:rsidR="00B409B1">
              <w:rPr>
                <w:sz w:val="22"/>
              </w:rPr>
              <w:t xml:space="preserve"> (</w:t>
            </w:r>
            <w:r w:rsidR="00B409B1" w:rsidRPr="00B409B1">
              <w:rPr>
                <w:sz w:val="22"/>
              </w:rPr>
              <w:t>.2</w:t>
            </w:r>
            <w:r w:rsidR="00B409B1">
              <w:rPr>
                <w:sz w:val="22"/>
              </w:rPr>
              <w:t>40)</w:t>
            </w:r>
          </w:p>
        </w:tc>
        <w:tc>
          <w:tcPr>
            <w:tcW w:w="581" w:type="pct"/>
          </w:tcPr>
          <w:p w14:paraId="3C419932" w14:textId="16C2448F" w:rsidR="00927CD4" w:rsidRPr="00B54FE8" w:rsidRDefault="00927CD4" w:rsidP="00CA7536">
            <w:pPr>
              <w:pStyle w:val="ae"/>
              <w:rPr>
                <w:sz w:val="22"/>
              </w:rPr>
            </w:pPr>
            <w:r w:rsidRPr="00B43FAA">
              <w:rPr>
                <w:sz w:val="22"/>
                <w:lang w:val="en-US"/>
              </w:rPr>
              <w:t>.413</w:t>
            </w:r>
            <w:r w:rsidR="00B54FE8">
              <w:rPr>
                <w:sz w:val="22"/>
              </w:rPr>
              <w:t xml:space="preserve"> (</w:t>
            </w:r>
            <w:r w:rsidR="00B54FE8" w:rsidRPr="00B54FE8">
              <w:rPr>
                <w:sz w:val="22"/>
              </w:rPr>
              <w:t>.338</w:t>
            </w:r>
            <w:r w:rsidR="00B54FE8">
              <w:rPr>
                <w:sz w:val="22"/>
              </w:rPr>
              <w:t>)</w:t>
            </w:r>
          </w:p>
        </w:tc>
        <w:tc>
          <w:tcPr>
            <w:tcW w:w="581" w:type="pct"/>
          </w:tcPr>
          <w:p w14:paraId="3B9EF53F" w14:textId="765EDC44" w:rsidR="00927CD4" w:rsidRPr="0022105D" w:rsidRDefault="00927CD4" w:rsidP="00CA7536">
            <w:pPr>
              <w:pStyle w:val="ae"/>
              <w:rPr>
                <w:sz w:val="22"/>
              </w:rPr>
            </w:pPr>
            <w:r w:rsidRPr="00731B40">
              <w:rPr>
                <w:sz w:val="22"/>
                <w:lang w:val="en-US"/>
              </w:rPr>
              <w:t>-1.28</w:t>
            </w:r>
            <w:r>
              <w:rPr>
                <w:sz w:val="22"/>
                <w:lang w:val="en-US"/>
              </w:rPr>
              <w:t>5</w:t>
            </w:r>
            <w:r>
              <w:rPr>
                <w:sz w:val="22"/>
              </w:rPr>
              <w:t>**</w:t>
            </w:r>
            <w:r w:rsidR="00EA6142">
              <w:rPr>
                <w:sz w:val="22"/>
              </w:rPr>
              <w:t xml:space="preserve"> (</w:t>
            </w:r>
            <w:r w:rsidR="00EA6142" w:rsidRPr="00EA6142">
              <w:rPr>
                <w:sz w:val="22"/>
              </w:rPr>
              <w:t>.52</w:t>
            </w:r>
            <w:r w:rsidR="00EA6142">
              <w:rPr>
                <w:sz w:val="22"/>
              </w:rPr>
              <w:t>4)</w:t>
            </w:r>
          </w:p>
        </w:tc>
        <w:tc>
          <w:tcPr>
            <w:tcW w:w="581" w:type="pct"/>
          </w:tcPr>
          <w:p w14:paraId="5C3342CF" w14:textId="243E84B7" w:rsidR="00927CD4" w:rsidRPr="000E6712" w:rsidRDefault="00927CD4" w:rsidP="00CA7536">
            <w:pPr>
              <w:pStyle w:val="ae"/>
              <w:rPr>
                <w:sz w:val="22"/>
              </w:rPr>
            </w:pPr>
            <w:r w:rsidRPr="000E6712">
              <w:rPr>
                <w:sz w:val="22"/>
                <w:lang w:val="en-US"/>
              </w:rPr>
              <w:t>-1.3</w:t>
            </w:r>
            <w:r>
              <w:rPr>
                <w:sz w:val="22"/>
                <w:lang w:val="en-US"/>
              </w:rPr>
              <w:t>02</w:t>
            </w:r>
            <w:r>
              <w:rPr>
                <w:sz w:val="22"/>
              </w:rPr>
              <w:t>**</w:t>
            </w:r>
            <w:r w:rsidR="00111E0B">
              <w:rPr>
                <w:sz w:val="22"/>
              </w:rPr>
              <w:t xml:space="preserve"> (</w:t>
            </w:r>
            <w:r w:rsidR="00111E0B" w:rsidRPr="00111E0B">
              <w:rPr>
                <w:sz w:val="22"/>
              </w:rPr>
              <w:t>.58</w:t>
            </w:r>
            <w:r w:rsidR="00111E0B">
              <w:rPr>
                <w:sz w:val="22"/>
              </w:rPr>
              <w:t>5)</w:t>
            </w:r>
          </w:p>
        </w:tc>
        <w:tc>
          <w:tcPr>
            <w:tcW w:w="578" w:type="pct"/>
          </w:tcPr>
          <w:p w14:paraId="3596DFA2" w14:textId="6A23ED34" w:rsidR="00927CD4" w:rsidRPr="008176C1" w:rsidRDefault="00927CD4" w:rsidP="00CA7536">
            <w:pPr>
              <w:pStyle w:val="ae"/>
              <w:rPr>
                <w:sz w:val="22"/>
              </w:rPr>
            </w:pPr>
            <w:r w:rsidRPr="0016722C">
              <w:rPr>
                <w:sz w:val="22"/>
                <w:lang w:val="en-US"/>
              </w:rPr>
              <w:t>-1.09</w:t>
            </w:r>
            <w:r>
              <w:rPr>
                <w:sz w:val="22"/>
                <w:lang w:val="en-US"/>
              </w:rPr>
              <w:t>3</w:t>
            </w:r>
            <w:r>
              <w:rPr>
                <w:sz w:val="22"/>
              </w:rPr>
              <w:t>**</w:t>
            </w:r>
            <w:r w:rsidR="00111E0B">
              <w:rPr>
                <w:sz w:val="22"/>
              </w:rPr>
              <w:t xml:space="preserve"> (</w:t>
            </w:r>
            <w:r w:rsidR="00111E0B" w:rsidRPr="00111E0B">
              <w:rPr>
                <w:sz w:val="22"/>
              </w:rPr>
              <w:t>.576</w:t>
            </w:r>
            <w:r w:rsidR="00111E0B">
              <w:rPr>
                <w:sz w:val="22"/>
              </w:rPr>
              <w:t>)</w:t>
            </w:r>
          </w:p>
        </w:tc>
      </w:tr>
      <w:tr w:rsidR="00927CD4" w:rsidRPr="008176C1" w14:paraId="108198C1" w14:textId="77777777" w:rsidTr="00CA7536">
        <w:trPr>
          <w:trHeight w:val="885"/>
          <w:jc w:val="center"/>
        </w:trPr>
        <w:tc>
          <w:tcPr>
            <w:tcW w:w="1521" w:type="pct"/>
          </w:tcPr>
          <w:p w14:paraId="502BBE1A" w14:textId="77777777" w:rsidR="00927CD4" w:rsidRPr="00136648" w:rsidRDefault="00927CD4" w:rsidP="00CA7536">
            <w:pPr>
              <w:ind w:firstLine="0"/>
              <w:rPr>
                <w:i/>
                <w:iCs/>
                <w:lang w:val="en-US"/>
              </w:rPr>
            </w:pPr>
            <w:r>
              <w:rPr>
                <w:i/>
                <w:iCs/>
                <w:lang w:val="en-US"/>
              </w:rPr>
              <w:t>P_BV</w:t>
            </w:r>
          </w:p>
        </w:tc>
        <w:tc>
          <w:tcPr>
            <w:tcW w:w="577" w:type="pct"/>
          </w:tcPr>
          <w:p w14:paraId="3928DAB7" w14:textId="72FA1AE5" w:rsidR="00927CD4" w:rsidRPr="00942E06" w:rsidRDefault="00927CD4" w:rsidP="00CA7536">
            <w:pPr>
              <w:pStyle w:val="ae"/>
              <w:rPr>
                <w:sz w:val="22"/>
              </w:rPr>
            </w:pPr>
            <w:r w:rsidRPr="00AA31AE">
              <w:rPr>
                <w:sz w:val="22"/>
                <w:lang w:val="en-US"/>
              </w:rPr>
              <w:t>-.0</w:t>
            </w:r>
            <w:r>
              <w:rPr>
                <w:sz w:val="22"/>
                <w:lang w:val="en-US"/>
              </w:rPr>
              <w:t>10</w:t>
            </w:r>
            <w:r>
              <w:rPr>
                <w:sz w:val="22"/>
              </w:rPr>
              <w:t>**</w:t>
            </w:r>
            <w:r w:rsidR="00B409B1">
              <w:rPr>
                <w:sz w:val="22"/>
              </w:rPr>
              <w:t xml:space="preserve"> (</w:t>
            </w:r>
            <w:r w:rsidR="00B409B1" w:rsidRPr="00B409B1">
              <w:rPr>
                <w:sz w:val="22"/>
              </w:rPr>
              <w:t>.00</w:t>
            </w:r>
            <w:r w:rsidR="00B409B1">
              <w:rPr>
                <w:sz w:val="22"/>
              </w:rPr>
              <w:t>4)</w:t>
            </w:r>
          </w:p>
        </w:tc>
        <w:tc>
          <w:tcPr>
            <w:tcW w:w="581" w:type="pct"/>
          </w:tcPr>
          <w:p w14:paraId="6F5B6E34" w14:textId="7B77FDD7" w:rsidR="00927CD4" w:rsidRPr="00942E06" w:rsidRDefault="00927CD4" w:rsidP="00CA7536">
            <w:pPr>
              <w:pStyle w:val="ae"/>
              <w:rPr>
                <w:sz w:val="22"/>
              </w:rPr>
            </w:pPr>
            <w:r w:rsidRPr="00942E06">
              <w:rPr>
                <w:sz w:val="22"/>
                <w:lang w:val="en-US"/>
              </w:rPr>
              <w:t>-.010</w:t>
            </w:r>
            <w:r>
              <w:rPr>
                <w:sz w:val="22"/>
              </w:rPr>
              <w:t>**</w:t>
            </w:r>
            <w:r w:rsidR="00B409B1">
              <w:rPr>
                <w:sz w:val="22"/>
              </w:rPr>
              <w:t xml:space="preserve"> (</w:t>
            </w:r>
            <w:r w:rsidR="00B409B1" w:rsidRPr="00B409B1">
              <w:rPr>
                <w:sz w:val="22"/>
              </w:rPr>
              <w:t>.00</w:t>
            </w:r>
            <w:r w:rsidR="00B409B1">
              <w:rPr>
                <w:sz w:val="22"/>
              </w:rPr>
              <w:t>5)</w:t>
            </w:r>
          </w:p>
        </w:tc>
        <w:tc>
          <w:tcPr>
            <w:tcW w:w="581" w:type="pct"/>
          </w:tcPr>
          <w:p w14:paraId="219FA4EC" w14:textId="175D8B0F" w:rsidR="00927CD4" w:rsidRPr="00942E06" w:rsidRDefault="00927CD4" w:rsidP="00CA7536">
            <w:pPr>
              <w:pStyle w:val="ae"/>
              <w:rPr>
                <w:sz w:val="22"/>
              </w:rPr>
            </w:pPr>
            <w:r w:rsidRPr="00942E06">
              <w:rPr>
                <w:sz w:val="22"/>
                <w:lang w:val="en-US"/>
              </w:rPr>
              <w:t>-.0</w:t>
            </w:r>
            <w:r>
              <w:rPr>
                <w:sz w:val="22"/>
                <w:lang w:val="en-US"/>
              </w:rPr>
              <w:t>10</w:t>
            </w:r>
            <w:r>
              <w:rPr>
                <w:sz w:val="22"/>
              </w:rPr>
              <w:t>**</w:t>
            </w:r>
            <w:r w:rsidR="00B54FE8">
              <w:rPr>
                <w:sz w:val="22"/>
              </w:rPr>
              <w:t xml:space="preserve"> (</w:t>
            </w:r>
            <w:r w:rsidR="00B54FE8" w:rsidRPr="00B54FE8">
              <w:rPr>
                <w:sz w:val="22"/>
              </w:rPr>
              <w:t>.004</w:t>
            </w:r>
            <w:r w:rsidR="00B54FE8">
              <w:rPr>
                <w:sz w:val="22"/>
              </w:rPr>
              <w:t>)</w:t>
            </w:r>
          </w:p>
        </w:tc>
        <w:tc>
          <w:tcPr>
            <w:tcW w:w="581" w:type="pct"/>
          </w:tcPr>
          <w:p w14:paraId="0486B819" w14:textId="24250C73" w:rsidR="00927CD4" w:rsidRPr="00EA6142" w:rsidRDefault="00927CD4" w:rsidP="00CA7536">
            <w:pPr>
              <w:pStyle w:val="ae"/>
              <w:rPr>
                <w:sz w:val="22"/>
              </w:rPr>
            </w:pPr>
            <w:r w:rsidRPr="0022105D">
              <w:rPr>
                <w:sz w:val="22"/>
                <w:lang w:val="en-US"/>
              </w:rPr>
              <w:t>-.000</w:t>
            </w:r>
            <w:r w:rsidR="00EA6142">
              <w:rPr>
                <w:sz w:val="22"/>
              </w:rPr>
              <w:t xml:space="preserve"> (</w:t>
            </w:r>
            <w:r w:rsidR="00EA6142" w:rsidRPr="00EA6142">
              <w:rPr>
                <w:sz w:val="22"/>
              </w:rPr>
              <w:t>.002</w:t>
            </w:r>
            <w:r w:rsidR="00EA6142">
              <w:rPr>
                <w:sz w:val="22"/>
              </w:rPr>
              <w:t>)</w:t>
            </w:r>
          </w:p>
        </w:tc>
        <w:tc>
          <w:tcPr>
            <w:tcW w:w="581" w:type="pct"/>
          </w:tcPr>
          <w:p w14:paraId="3F5139B3" w14:textId="7F4BBA53" w:rsidR="00927CD4" w:rsidRPr="00111E0B" w:rsidRDefault="00927CD4" w:rsidP="00CA7536">
            <w:pPr>
              <w:pStyle w:val="ae"/>
              <w:rPr>
                <w:sz w:val="22"/>
              </w:rPr>
            </w:pPr>
            <w:r w:rsidRPr="0022105D">
              <w:rPr>
                <w:sz w:val="22"/>
                <w:lang w:val="en-US"/>
              </w:rPr>
              <w:t>.000</w:t>
            </w:r>
            <w:r w:rsidR="00111E0B">
              <w:rPr>
                <w:sz w:val="22"/>
              </w:rPr>
              <w:t xml:space="preserve"> (</w:t>
            </w:r>
            <w:r w:rsidR="00111E0B" w:rsidRPr="00111E0B">
              <w:rPr>
                <w:sz w:val="22"/>
              </w:rPr>
              <w:t>.00</w:t>
            </w:r>
            <w:r w:rsidR="00111E0B">
              <w:rPr>
                <w:sz w:val="22"/>
              </w:rPr>
              <w:t>3)</w:t>
            </w:r>
          </w:p>
        </w:tc>
        <w:tc>
          <w:tcPr>
            <w:tcW w:w="578" w:type="pct"/>
          </w:tcPr>
          <w:p w14:paraId="2A1F5EB9" w14:textId="394F659E" w:rsidR="00927CD4" w:rsidRPr="00111E0B" w:rsidRDefault="00927CD4" w:rsidP="00CA7536">
            <w:pPr>
              <w:pStyle w:val="ae"/>
              <w:rPr>
                <w:sz w:val="22"/>
              </w:rPr>
            </w:pPr>
            <w:r w:rsidRPr="008176C1">
              <w:rPr>
                <w:sz w:val="22"/>
                <w:lang w:val="en-US"/>
              </w:rPr>
              <w:t>-.00</w:t>
            </w:r>
            <w:r>
              <w:rPr>
                <w:sz w:val="22"/>
                <w:lang w:val="en-US"/>
              </w:rPr>
              <w:t>0</w:t>
            </w:r>
            <w:r w:rsidR="00111E0B">
              <w:rPr>
                <w:sz w:val="22"/>
              </w:rPr>
              <w:t xml:space="preserve"> (</w:t>
            </w:r>
            <w:r w:rsidR="00111E0B" w:rsidRPr="00111E0B">
              <w:rPr>
                <w:sz w:val="22"/>
              </w:rPr>
              <w:t>.00</w:t>
            </w:r>
            <w:r w:rsidR="00111E0B">
              <w:rPr>
                <w:sz w:val="22"/>
              </w:rPr>
              <w:t>3)</w:t>
            </w:r>
          </w:p>
        </w:tc>
      </w:tr>
      <w:tr w:rsidR="00927CD4" w:rsidRPr="000E6712" w14:paraId="0887621C" w14:textId="77777777" w:rsidTr="00CA7536">
        <w:trPr>
          <w:trHeight w:val="885"/>
          <w:jc w:val="center"/>
        </w:trPr>
        <w:tc>
          <w:tcPr>
            <w:tcW w:w="1521" w:type="pct"/>
          </w:tcPr>
          <w:p w14:paraId="56CDEAC5" w14:textId="77777777" w:rsidR="00927CD4" w:rsidRPr="00EB6378" w:rsidRDefault="00927CD4" w:rsidP="00CA7536">
            <w:pPr>
              <w:ind w:firstLine="0"/>
              <w:rPr>
                <w:i/>
                <w:iCs/>
                <w:lang w:val="en-US"/>
              </w:rPr>
            </w:pPr>
            <w:r>
              <w:rPr>
                <w:i/>
                <w:iCs/>
                <w:lang w:val="en-US"/>
              </w:rPr>
              <w:t>Dps_surprise</w:t>
            </w:r>
          </w:p>
        </w:tc>
        <w:tc>
          <w:tcPr>
            <w:tcW w:w="577" w:type="pct"/>
          </w:tcPr>
          <w:p w14:paraId="34B46C6C" w14:textId="21FB55FC" w:rsidR="00927CD4" w:rsidRPr="00A15D85" w:rsidRDefault="00927CD4" w:rsidP="00CA7536">
            <w:pPr>
              <w:pStyle w:val="ae"/>
              <w:rPr>
                <w:sz w:val="22"/>
              </w:rPr>
            </w:pPr>
            <w:r w:rsidRPr="00AA31AE">
              <w:rPr>
                <w:sz w:val="22"/>
              </w:rPr>
              <w:t>-.009</w:t>
            </w:r>
            <w:r w:rsidR="00B409B1">
              <w:rPr>
                <w:sz w:val="22"/>
              </w:rPr>
              <w:t xml:space="preserve"> (</w:t>
            </w:r>
            <w:r w:rsidR="00B409B1" w:rsidRPr="00B409B1">
              <w:rPr>
                <w:sz w:val="22"/>
              </w:rPr>
              <w:t>.03</w:t>
            </w:r>
            <w:r w:rsidR="00B409B1">
              <w:rPr>
                <w:sz w:val="22"/>
              </w:rPr>
              <w:t>4)</w:t>
            </w:r>
          </w:p>
        </w:tc>
        <w:tc>
          <w:tcPr>
            <w:tcW w:w="581" w:type="pct"/>
          </w:tcPr>
          <w:p w14:paraId="08B03172" w14:textId="5077402A" w:rsidR="00927CD4" w:rsidRPr="00B409B1" w:rsidRDefault="00927CD4" w:rsidP="00CA7536">
            <w:pPr>
              <w:pStyle w:val="ae"/>
              <w:rPr>
                <w:sz w:val="22"/>
              </w:rPr>
            </w:pPr>
            <w:r w:rsidRPr="00B43FAA">
              <w:rPr>
                <w:sz w:val="22"/>
                <w:lang w:val="en-US"/>
              </w:rPr>
              <w:t>-.020</w:t>
            </w:r>
            <w:r w:rsidR="00B409B1">
              <w:rPr>
                <w:sz w:val="22"/>
              </w:rPr>
              <w:t xml:space="preserve"> (</w:t>
            </w:r>
            <w:r w:rsidR="00B409B1" w:rsidRPr="00B409B1">
              <w:rPr>
                <w:sz w:val="22"/>
              </w:rPr>
              <w:t>.03</w:t>
            </w:r>
            <w:r w:rsidR="00B409B1">
              <w:rPr>
                <w:sz w:val="22"/>
              </w:rPr>
              <w:t>8)</w:t>
            </w:r>
          </w:p>
        </w:tc>
        <w:tc>
          <w:tcPr>
            <w:tcW w:w="581" w:type="pct"/>
          </w:tcPr>
          <w:p w14:paraId="6A659D75" w14:textId="7919617E" w:rsidR="00927CD4" w:rsidRPr="00B54FE8" w:rsidRDefault="00927CD4" w:rsidP="00CA7536">
            <w:pPr>
              <w:pStyle w:val="ae"/>
              <w:rPr>
                <w:sz w:val="22"/>
              </w:rPr>
            </w:pPr>
            <w:r w:rsidRPr="00BD3405">
              <w:rPr>
                <w:sz w:val="22"/>
                <w:lang w:val="en-US"/>
              </w:rPr>
              <w:t>-.00</w:t>
            </w:r>
            <w:r>
              <w:rPr>
                <w:sz w:val="22"/>
                <w:lang w:val="en-US"/>
              </w:rPr>
              <w:t>9</w:t>
            </w:r>
            <w:r w:rsidR="00B54FE8">
              <w:rPr>
                <w:sz w:val="22"/>
              </w:rPr>
              <w:t xml:space="preserve"> (</w:t>
            </w:r>
            <w:r w:rsidR="00B54FE8" w:rsidRPr="00B54FE8">
              <w:rPr>
                <w:sz w:val="22"/>
              </w:rPr>
              <w:t>.035</w:t>
            </w:r>
            <w:r w:rsidR="00B54FE8">
              <w:rPr>
                <w:sz w:val="22"/>
              </w:rPr>
              <w:t>)</w:t>
            </w:r>
          </w:p>
        </w:tc>
        <w:tc>
          <w:tcPr>
            <w:tcW w:w="581" w:type="pct"/>
          </w:tcPr>
          <w:p w14:paraId="57567070" w14:textId="04AEEA8B" w:rsidR="00927CD4" w:rsidRPr="0022105D" w:rsidRDefault="00927CD4" w:rsidP="00CA7536">
            <w:pPr>
              <w:pStyle w:val="ae"/>
              <w:rPr>
                <w:sz w:val="22"/>
              </w:rPr>
            </w:pPr>
            <w:r w:rsidRPr="0022105D">
              <w:rPr>
                <w:sz w:val="22"/>
                <w:lang w:val="en-US"/>
              </w:rPr>
              <w:t>-.021</w:t>
            </w:r>
            <w:r>
              <w:rPr>
                <w:sz w:val="22"/>
              </w:rPr>
              <w:t>***</w:t>
            </w:r>
            <w:r w:rsidR="00EA6142">
              <w:rPr>
                <w:sz w:val="22"/>
              </w:rPr>
              <w:t xml:space="preserve"> (</w:t>
            </w:r>
            <w:r w:rsidR="00EA6142" w:rsidRPr="00EA6142">
              <w:rPr>
                <w:sz w:val="22"/>
              </w:rPr>
              <w:t>.004</w:t>
            </w:r>
            <w:r w:rsidR="00EA6142">
              <w:rPr>
                <w:sz w:val="22"/>
              </w:rPr>
              <w:t>)</w:t>
            </w:r>
          </w:p>
        </w:tc>
        <w:tc>
          <w:tcPr>
            <w:tcW w:w="581" w:type="pct"/>
          </w:tcPr>
          <w:p w14:paraId="2A2457D9" w14:textId="6E68DD26" w:rsidR="00927CD4" w:rsidRPr="000E6712" w:rsidRDefault="00927CD4" w:rsidP="00CA7536">
            <w:pPr>
              <w:pStyle w:val="ae"/>
              <w:rPr>
                <w:sz w:val="22"/>
              </w:rPr>
            </w:pPr>
            <w:r w:rsidRPr="000E6712">
              <w:rPr>
                <w:sz w:val="22"/>
                <w:lang w:val="en-US"/>
              </w:rPr>
              <w:t>-.02</w:t>
            </w:r>
            <w:r>
              <w:rPr>
                <w:sz w:val="22"/>
                <w:lang w:val="en-US"/>
              </w:rPr>
              <w:t>0</w:t>
            </w:r>
            <w:r>
              <w:rPr>
                <w:sz w:val="22"/>
              </w:rPr>
              <w:t>***</w:t>
            </w:r>
            <w:r w:rsidR="00111E0B">
              <w:rPr>
                <w:sz w:val="22"/>
              </w:rPr>
              <w:t xml:space="preserve"> (</w:t>
            </w:r>
            <w:r w:rsidR="00111E0B" w:rsidRPr="00111E0B">
              <w:rPr>
                <w:sz w:val="22"/>
              </w:rPr>
              <w:t>.004</w:t>
            </w:r>
            <w:r w:rsidR="00111E0B">
              <w:rPr>
                <w:sz w:val="22"/>
              </w:rPr>
              <w:t>)</w:t>
            </w:r>
          </w:p>
        </w:tc>
        <w:tc>
          <w:tcPr>
            <w:tcW w:w="578" w:type="pct"/>
          </w:tcPr>
          <w:p w14:paraId="4F4AED88" w14:textId="1E666255" w:rsidR="00927CD4" w:rsidRPr="000E6712" w:rsidRDefault="00927CD4" w:rsidP="00CA7536">
            <w:pPr>
              <w:pStyle w:val="ae"/>
              <w:rPr>
                <w:sz w:val="22"/>
              </w:rPr>
            </w:pPr>
            <w:r w:rsidRPr="000E6712">
              <w:rPr>
                <w:sz w:val="22"/>
                <w:lang w:val="en-US"/>
              </w:rPr>
              <w:t>-.01</w:t>
            </w:r>
            <w:r>
              <w:rPr>
                <w:sz w:val="22"/>
                <w:lang w:val="en-US"/>
              </w:rPr>
              <w:t>7</w:t>
            </w:r>
            <w:r>
              <w:rPr>
                <w:sz w:val="22"/>
              </w:rPr>
              <w:t>**</w:t>
            </w:r>
            <w:r w:rsidR="00111E0B">
              <w:rPr>
                <w:sz w:val="22"/>
              </w:rPr>
              <w:t xml:space="preserve"> (</w:t>
            </w:r>
            <w:r w:rsidR="00111E0B" w:rsidRPr="00111E0B">
              <w:rPr>
                <w:sz w:val="22"/>
              </w:rPr>
              <w:t>.00</w:t>
            </w:r>
            <w:r w:rsidR="00111E0B">
              <w:rPr>
                <w:sz w:val="22"/>
              </w:rPr>
              <w:t>5)</w:t>
            </w:r>
          </w:p>
        </w:tc>
      </w:tr>
      <w:tr w:rsidR="00927CD4" w:rsidRPr="0081767E" w14:paraId="685A41EA" w14:textId="77777777" w:rsidTr="00CA7536">
        <w:trPr>
          <w:trHeight w:val="885"/>
          <w:jc w:val="center"/>
        </w:trPr>
        <w:tc>
          <w:tcPr>
            <w:tcW w:w="1521" w:type="pct"/>
          </w:tcPr>
          <w:p w14:paraId="4CCB8EA2" w14:textId="77777777" w:rsidR="00927CD4" w:rsidRDefault="00927CD4" w:rsidP="00CA7536">
            <w:pPr>
              <w:ind w:firstLine="0"/>
              <w:rPr>
                <w:i/>
                <w:iCs/>
                <w:lang w:val="en-US"/>
              </w:rPr>
            </w:pPr>
            <w:r>
              <w:rPr>
                <w:i/>
                <w:iCs/>
                <w:lang w:val="en-US"/>
              </w:rPr>
              <w:t>Eps_surprise</w:t>
            </w:r>
          </w:p>
        </w:tc>
        <w:tc>
          <w:tcPr>
            <w:tcW w:w="577" w:type="pct"/>
          </w:tcPr>
          <w:p w14:paraId="382BBB1D" w14:textId="0BAE72A3" w:rsidR="00927CD4" w:rsidRPr="00A15D85" w:rsidRDefault="00927CD4" w:rsidP="00CA7536">
            <w:pPr>
              <w:pStyle w:val="ae"/>
              <w:rPr>
                <w:sz w:val="22"/>
              </w:rPr>
            </w:pPr>
            <w:r w:rsidRPr="00AA31AE">
              <w:rPr>
                <w:sz w:val="22"/>
              </w:rPr>
              <w:t>-.02</w:t>
            </w:r>
            <w:r w:rsidR="00B409B1">
              <w:rPr>
                <w:sz w:val="22"/>
              </w:rPr>
              <w:t>1 (</w:t>
            </w:r>
            <w:r w:rsidR="00B409B1" w:rsidRPr="00B409B1">
              <w:rPr>
                <w:sz w:val="22"/>
              </w:rPr>
              <w:t>.0</w:t>
            </w:r>
            <w:r w:rsidR="00B409B1">
              <w:rPr>
                <w:sz w:val="22"/>
              </w:rPr>
              <w:t>30)</w:t>
            </w:r>
          </w:p>
        </w:tc>
        <w:tc>
          <w:tcPr>
            <w:tcW w:w="581" w:type="pct"/>
          </w:tcPr>
          <w:p w14:paraId="00B60E59" w14:textId="3CCB44D2" w:rsidR="00927CD4" w:rsidRPr="0081767E" w:rsidRDefault="00927CD4" w:rsidP="00CA7536">
            <w:pPr>
              <w:pStyle w:val="ae"/>
              <w:rPr>
                <w:sz w:val="22"/>
              </w:rPr>
            </w:pPr>
            <w:r w:rsidRPr="00B43FAA">
              <w:rPr>
                <w:sz w:val="22"/>
              </w:rPr>
              <w:t>-.026</w:t>
            </w:r>
            <w:r w:rsidR="00B409B1">
              <w:rPr>
                <w:sz w:val="22"/>
              </w:rPr>
              <w:t xml:space="preserve"> (</w:t>
            </w:r>
            <w:r w:rsidR="00B409B1" w:rsidRPr="00B409B1">
              <w:rPr>
                <w:sz w:val="22"/>
              </w:rPr>
              <w:t>.03</w:t>
            </w:r>
            <w:r w:rsidR="00B409B1">
              <w:rPr>
                <w:sz w:val="22"/>
              </w:rPr>
              <w:t>3)</w:t>
            </w:r>
          </w:p>
        </w:tc>
        <w:tc>
          <w:tcPr>
            <w:tcW w:w="581" w:type="pct"/>
          </w:tcPr>
          <w:p w14:paraId="63511265" w14:textId="77A42323" w:rsidR="00927CD4" w:rsidRPr="00B54FE8" w:rsidRDefault="00927CD4" w:rsidP="00CA7536">
            <w:pPr>
              <w:pStyle w:val="ae"/>
              <w:rPr>
                <w:sz w:val="22"/>
              </w:rPr>
            </w:pPr>
            <w:r w:rsidRPr="00BD3405">
              <w:rPr>
                <w:sz w:val="22"/>
                <w:lang w:val="en-US"/>
              </w:rPr>
              <w:t>-.0</w:t>
            </w:r>
            <w:r>
              <w:rPr>
                <w:sz w:val="22"/>
                <w:lang w:val="en-US"/>
              </w:rPr>
              <w:t>20</w:t>
            </w:r>
            <w:r w:rsidR="00B54FE8">
              <w:rPr>
                <w:sz w:val="22"/>
              </w:rPr>
              <w:t xml:space="preserve"> (</w:t>
            </w:r>
            <w:r w:rsidR="00B54FE8" w:rsidRPr="00B54FE8">
              <w:rPr>
                <w:sz w:val="22"/>
              </w:rPr>
              <w:t>.030</w:t>
            </w:r>
            <w:r w:rsidR="00B54FE8">
              <w:rPr>
                <w:sz w:val="22"/>
              </w:rPr>
              <w:t>)</w:t>
            </w:r>
          </w:p>
        </w:tc>
        <w:tc>
          <w:tcPr>
            <w:tcW w:w="581" w:type="pct"/>
          </w:tcPr>
          <w:p w14:paraId="383B9106" w14:textId="4533C445" w:rsidR="00927CD4" w:rsidRPr="0022105D" w:rsidRDefault="00927CD4" w:rsidP="00CA7536">
            <w:pPr>
              <w:pStyle w:val="ae"/>
              <w:rPr>
                <w:sz w:val="22"/>
              </w:rPr>
            </w:pPr>
            <w:r w:rsidRPr="0022105D">
              <w:rPr>
                <w:sz w:val="22"/>
                <w:lang w:val="en-US"/>
              </w:rPr>
              <w:t>.148</w:t>
            </w:r>
            <w:r>
              <w:rPr>
                <w:sz w:val="22"/>
              </w:rPr>
              <w:t>*</w:t>
            </w:r>
            <w:r w:rsidR="00EA6142">
              <w:rPr>
                <w:sz w:val="22"/>
              </w:rPr>
              <w:t xml:space="preserve"> (</w:t>
            </w:r>
            <w:r w:rsidR="00EA6142" w:rsidRPr="00EA6142">
              <w:rPr>
                <w:sz w:val="22"/>
              </w:rPr>
              <w:t>.087</w:t>
            </w:r>
            <w:r w:rsidR="00EA6142">
              <w:rPr>
                <w:sz w:val="22"/>
              </w:rPr>
              <w:t>)</w:t>
            </w:r>
          </w:p>
        </w:tc>
        <w:tc>
          <w:tcPr>
            <w:tcW w:w="581" w:type="pct"/>
          </w:tcPr>
          <w:p w14:paraId="60375A6F" w14:textId="364D5168" w:rsidR="00927CD4" w:rsidRPr="00111E0B" w:rsidRDefault="00927CD4" w:rsidP="00CA7536">
            <w:pPr>
              <w:pStyle w:val="ae"/>
              <w:rPr>
                <w:sz w:val="22"/>
              </w:rPr>
            </w:pPr>
            <w:r w:rsidRPr="000E6712">
              <w:rPr>
                <w:sz w:val="22"/>
              </w:rPr>
              <w:t>.14</w:t>
            </w:r>
            <w:r>
              <w:rPr>
                <w:sz w:val="22"/>
                <w:lang w:val="en-US"/>
              </w:rPr>
              <w:t>2</w:t>
            </w:r>
            <w:r w:rsidR="00111E0B">
              <w:rPr>
                <w:sz w:val="22"/>
              </w:rPr>
              <w:t xml:space="preserve"> (</w:t>
            </w:r>
            <w:r w:rsidR="00111E0B" w:rsidRPr="00111E0B">
              <w:rPr>
                <w:sz w:val="22"/>
              </w:rPr>
              <w:t>.090</w:t>
            </w:r>
            <w:r w:rsidR="00111E0B">
              <w:rPr>
                <w:sz w:val="22"/>
              </w:rPr>
              <w:t>)</w:t>
            </w:r>
          </w:p>
        </w:tc>
        <w:tc>
          <w:tcPr>
            <w:tcW w:w="578" w:type="pct"/>
          </w:tcPr>
          <w:p w14:paraId="46954A90" w14:textId="1E8D4F9F" w:rsidR="00927CD4" w:rsidRPr="0081767E" w:rsidRDefault="00927CD4" w:rsidP="00CA7536">
            <w:pPr>
              <w:pStyle w:val="ae"/>
              <w:rPr>
                <w:sz w:val="22"/>
              </w:rPr>
            </w:pPr>
            <w:r w:rsidRPr="008176C1">
              <w:rPr>
                <w:sz w:val="22"/>
              </w:rPr>
              <w:t>.1</w:t>
            </w:r>
            <w:r>
              <w:rPr>
                <w:sz w:val="22"/>
                <w:lang w:val="en-US"/>
              </w:rPr>
              <w:t>77</w:t>
            </w:r>
            <w:r>
              <w:rPr>
                <w:sz w:val="22"/>
              </w:rPr>
              <w:t>*</w:t>
            </w:r>
            <w:r w:rsidR="00111E0B">
              <w:rPr>
                <w:sz w:val="22"/>
              </w:rPr>
              <w:t xml:space="preserve"> (</w:t>
            </w:r>
            <w:r w:rsidR="00111E0B" w:rsidRPr="00111E0B">
              <w:rPr>
                <w:sz w:val="22"/>
              </w:rPr>
              <w:t>.09</w:t>
            </w:r>
            <w:r w:rsidR="00111E0B">
              <w:rPr>
                <w:sz w:val="22"/>
              </w:rPr>
              <w:t>7)</w:t>
            </w:r>
          </w:p>
        </w:tc>
      </w:tr>
      <w:tr w:rsidR="00927CD4" w:rsidRPr="008176C1" w14:paraId="4417673C" w14:textId="77777777" w:rsidTr="00CA7536">
        <w:trPr>
          <w:trHeight w:val="885"/>
          <w:jc w:val="center"/>
        </w:trPr>
        <w:tc>
          <w:tcPr>
            <w:tcW w:w="1521" w:type="pct"/>
          </w:tcPr>
          <w:p w14:paraId="699F9269" w14:textId="77777777" w:rsidR="00927CD4" w:rsidRDefault="00927CD4" w:rsidP="00CA7536">
            <w:pPr>
              <w:ind w:firstLine="0"/>
              <w:rPr>
                <w:i/>
                <w:iCs/>
                <w:lang w:val="en-US"/>
              </w:rPr>
            </w:pPr>
            <w:r>
              <w:rPr>
                <w:i/>
                <w:iCs/>
                <w:lang w:val="en-US"/>
              </w:rPr>
              <w:t>State_control</w:t>
            </w:r>
          </w:p>
        </w:tc>
        <w:tc>
          <w:tcPr>
            <w:tcW w:w="577" w:type="pct"/>
          </w:tcPr>
          <w:p w14:paraId="29C0AF45" w14:textId="4E23344A" w:rsidR="00927CD4" w:rsidRPr="0081767E" w:rsidRDefault="00927CD4" w:rsidP="00CA7536">
            <w:pPr>
              <w:pStyle w:val="ae"/>
              <w:rPr>
                <w:sz w:val="22"/>
              </w:rPr>
            </w:pPr>
            <w:r w:rsidRPr="00AA31AE">
              <w:rPr>
                <w:sz w:val="22"/>
              </w:rPr>
              <w:t>-.006</w:t>
            </w:r>
            <w:r w:rsidR="00B409B1">
              <w:rPr>
                <w:sz w:val="22"/>
              </w:rPr>
              <w:t xml:space="preserve"> (</w:t>
            </w:r>
            <w:r w:rsidR="00B409B1" w:rsidRPr="00B409B1">
              <w:rPr>
                <w:sz w:val="22"/>
              </w:rPr>
              <w:t>.02</w:t>
            </w:r>
            <w:r w:rsidR="00B409B1">
              <w:rPr>
                <w:sz w:val="22"/>
              </w:rPr>
              <w:t>2)</w:t>
            </w:r>
          </w:p>
        </w:tc>
        <w:tc>
          <w:tcPr>
            <w:tcW w:w="581" w:type="pct"/>
          </w:tcPr>
          <w:p w14:paraId="6010BDD6" w14:textId="0B830F64" w:rsidR="00927CD4" w:rsidRPr="00B54FE8" w:rsidRDefault="00927CD4" w:rsidP="00CA7536">
            <w:pPr>
              <w:pStyle w:val="ae"/>
              <w:rPr>
                <w:sz w:val="22"/>
              </w:rPr>
            </w:pPr>
            <w:r w:rsidRPr="00B43FAA">
              <w:rPr>
                <w:sz w:val="22"/>
                <w:lang w:val="en-US"/>
              </w:rPr>
              <w:t>-.015</w:t>
            </w:r>
            <w:r w:rsidR="00B54FE8">
              <w:rPr>
                <w:sz w:val="22"/>
              </w:rPr>
              <w:t xml:space="preserve"> (</w:t>
            </w:r>
            <w:r w:rsidR="00B54FE8" w:rsidRPr="00B54FE8">
              <w:rPr>
                <w:sz w:val="22"/>
              </w:rPr>
              <w:t>.026</w:t>
            </w:r>
            <w:r w:rsidR="00B54FE8">
              <w:rPr>
                <w:sz w:val="22"/>
              </w:rPr>
              <w:t>)</w:t>
            </w:r>
          </w:p>
        </w:tc>
        <w:tc>
          <w:tcPr>
            <w:tcW w:w="581" w:type="pct"/>
          </w:tcPr>
          <w:p w14:paraId="7D4F976D" w14:textId="39EC468E" w:rsidR="00927CD4" w:rsidRPr="00B54FE8" w:rsidRDefault="00927CD4" w:rsidP="00CA7536">
            <w:pPr>
              <w:pStyle w:val="ae"/>
              <w:rPr>
                <w:sz w:val="22"/>
              </w:rPr>
            </w:pPr>
            <w:r w:rsidRPr="00BD3405">
              <w:rPr>
                <w:sz w:val="22"/>
                <w:lang w:val="en-US"/>
              </w:rPr>
              <w:t>-.00</w:t>
            </w:r>
            <w:r>
              <w:rPr>
                <w:sz w:val="22"/>
                <w:lang w:val="en-US"/>
              </w:rPr>
              <w:t>6</w:t>
            </w:r>
            <w:r w:rsidR="00B54FE8">
              <w:rPr>
                <w:sz w:val="22"/>
              </w:rPr>
              <w:t xml:space="preserve"> (</w:t>
            </w:r>
            <w:r w:rsidR="00B54FE8" w:rsidRPr="00B54FE8">
              <w:rPr>
                <w:sz w:val="22"/>
              </w:rPr>
              <w:t>.024</w:t>
            </w:r>
            <w:r w:rsidR="00B54FE8">
              <w:rPr>
                <w:sz w:val="22"/>
              </w:rPr>
              <w:t>)</w:t>
            </w:r>
          </w:p>
        </w:tc>
        <w:tc>
          <w:tcPr>
            <w:tcW w:w="581" w:type="pct"/>
          </w:tcPr>
          <w:p w14:paraId="717124E2" w14:textId="7372EEB9" w:rsidR="00927CD4" w:rsidRPr="00EA6142" w:rsidRDefault="00927CD4" w:rsidP="00CA7536">
            <w:pPr>
              <w:pStyle w:val="ae"/>
              <w:rPr>
                <w:sz w:val="22"/>
              </w:rPr>
            </w:pPr>
            <w:r w:rsidRPr="0022105D">
              <w:rPr>
                <w:sz w:val="22"/>
                <w:lang w:val="en-US"/>
              </w:rPr>
              <w:t>-.02</w:t>
            </w:r>
            <w:r>
              <w:rPr>
                <w:sz w:val="22"/>
                <w:lang w:val="en-US"/>
              </w:rPr>
              <w:t>7</w:t>
            </w:r>
            <w:r w:rsidR="00EA6142">
              <w:rPr>
                <w:sz w:val="22"/>
              </w:rPr>
              <w:t xml:space="preserve"> (</w:t>
            </w:r>
            <w:r w:rsidR="00EA6142" w:rsidRPr="00EA6142">
              <w:rPr>
                <w:sz w:val="22"/>
              </w:rPr>
              <w:t>.01</w:t>
            </w:r>
            <w:r w:rsidR="00EA6142">
              <w:rPr>
                <w:sz w:val="22"/>
              </w:rPr>
              <w:t>7)</w:t>
            </w:r>
          </w:p>
        </w:tc>
        <w:tc>
          <w:tcPr>
            <w:tcW w:w="581" w:type="pct"/>
          </w:tcPr>
          <w:p w14:paraId="1CA0EEB6" w14:textId="24EDE409" w:rsidR="00927CD4" w:rsidRPr="00111E0B" w:rsidRDefault="00927CD4" w:rsidP="00CA7536">
            <w:pPr>
              <w:pStyle w:val="ae"/>
              <w:rPr>
                <w:sz w:val="22"/>
              </w:rPr>
            </w:pPr>
            <w:r w:rsidRPr="000E6712">
              <w:rPr>
                <w:sz w:val="22"/>
                <w:lang w:val="en-US"/>
              </w:rPr>
              <w:t>-.03</w:t>
            </w:r>
            <w:r>
              <w:rPr>
                <w:sz w:val="22"/>
                <w:lang w:val="en-US"/>
              </w:rPr>
              <w:t>5</w:t>
            </w:r>
            <w:r w:rsidR="00111E0B">
              <w:rPr>
                <w:sz w:val="22"/>
              </w:rPr>
              <w:t xml:space="preserve"> (</w:t>
            </w:r>
            <w:r w:rsidR="00111E0B" w:rsidRPr="00111E0B">
              <w:rPr>
                <w:sz w:val="22"/>
              </w:rPr>
              <w:t>.026</w:t>
            </w:r>
            <w:r w:rsidR="00111E0B">
              <w:rPr>
                <w:sz w:val="22"/>
              </w:rPr>
              <w:t>)</w:t>
            </w:r>
          </w:p>
        </w:tc>
        <w:tc>
          <w:tcPr>
            <w:tcW w:w="578" w:type="pct"/>
          </w:tcPr>
          <w:p w14:paraId="64F2724A" w14:textId="60685718" w:rsidR="00927CD4" w:rsidRPr="008176C1" w:rsidRDefault="00927CD4" w:rsidP="00CA7536">
            <w:pPr>
              <w:pStyle w:val="ae"/>
              <w:rPr>
                <w:sz w:val="22"/>
              </w:rPr>
            </w:pPr>
            <w:r w:rsidRPr="008176C1">
              <w:rPr>
                <w:sz w:val="22"/>
                <w:lang w:val="en-US"/>
              </w:rPr>
              <w:t>-.034</w:t>
            </w:r>
            <w:r>
              <w:rPr>
                <w:sz w:val="22"/>
              </w:rPr>
              <w:t>*</w:t>
            </w:r>
            <w:r w:rsidR="00111E0B">
              <w:rPr>
                <w:sz w:val="22"/>
              </w:rPr>
              <w:t xml:space="preserve"> (</w:t>
            </w:r>
            <w:r w:rsidR="00111E0B" w:rsidRPr="00111E0B">
              <w:rPr>
                <w:sz w:val="22"/>
              </w:rPr>
              <w:t>.01</w:t>
            </w:r>
            <w:r w:rsidR="00111E0B">
              <w:rPr>
                <w:sz w:val="22"/>
              </w:rPr>
              <w:t>9)</w:t>
            </w:r>
          </w:p>
        </w:tc>
      </w:tr>
      <w:tr w:rsidR="00927CD4" w14:paraId="09A5AF51" w14:textId="77777777" w:rsidTr="00CA7536">
        <w:trPr>
          <w:trHeight w:val="885"/>
          <w:jc w:val="center"/>
        </w:trPr>
        <w:tc>
          <w:tcPr>
            <w:tcW w:w="1521" w:type="pct"/>
          </w:tcPr>
          <w:p w14:paraId="50E04748" w14:textId="77777777" w:rsidR="00927CD4" w:rsidRPr="0081767E" w:rsidRDefault="00927CD4" w:rsidP="00CA7536">
            <w:pPr>
              <w:ind w:firstLine="0"/>
              <w:rPr>
                <w:i/>
                <w:iCs/>
                <w:lang w:val="en-US"/>
              </w:rPr>
            </w:pPr>
            <w:r>
              <w:rPr>
                <w:i/>
                <w:iCs/>
                <w:lang w:val="en-US"/>
              </w:rPr>
              <w:t>High_return</w:t>
            </w:r>
          </w:p>
        </w:tc>
        <w:tc>
          <w:tcPr>
            <w:tcW w:w="577" w:type="pct"/>
          </w:tcPr>
          <w:p w14:paraId="471B70DE" w14:textId="77777777" w:rsidR="00927CD4" w:rsidRPr="0081767E" w:rsidRDefault="00927CD4" w:rsidP="00CA7536">
            <w:pPr>
              <w:pStyle w:val="ae"/>
              <w:rPr>
                <w:sz w:val="22"/>
              </w:rPr>
            </w:pPr>
          </w:p>
        </w:tc>
        <w:tc>
          <w:tcPr>
            <w:tcW w:w="581" w:type="pct"/>
          </w:tcPr>
          <w:p w14:paraId="02C5DB14" w14:textId="2251DB73" w:rsidR="00927CD4" w:rsidRPr="00B54FE8" w:rsidRDefault="00927CD4" w:rsidP="00CA7536">
            <w:pPr>
              <w:pStyle w:val="ae"/>
              <w:rPr>
                <w:sz w:val="22"/>
              </w:rPr>
            </w:pPr>
            <w:r w:rsidRPr="00B43FAA">
              <w:rPr>
                <w:sz w:val="22"/>
                <w:lang w:val="en-US"/>
              </w:rPr>
              <w:t>-.050</w:t>
            </w:r>
            <w:r w:rsidR="00B54FE8">
              <w:rPr>
                <w:sz w:val="22"/>
              </w:rPr>
              <w:t xml:space="preserve"> (</w:t>
            </w:r>
            <w:r w:rsidR="00B54FE8" w:rsidRPr="00B54FE8">
              <w:rPr>
                <w:sz w:val="22"/>
              </w:rPr>
              <w:t>.03</w:t>
            </w:r>
            <w:r w:rsidR="00B54FE8">
              <w:rPr>
                <w:sz w:val="22"/>
              </w:rPr>
              <w:t>5)</w:t>
            </w:r>
          </w:p>
        </w:tc>
        <w:tc>
          <w:tcPr>
            <w:tcW w:w="581" w:type="pct"/>
          </w:tcPr>
          <w:p w14:paraId="7B724D5A" w14:textId="77777777" w:rsidR="00927CD4" w:rsidRPr="00A45D35" w:rsidRDefault="00927CD4" w:rsidP="00CA7536">
            <w:pPr>
              <w:pStyle w:val="ae"/>
              <w:rPr>
                <w:sz w:val="22"/>
                <w:lang w:val="en-US"/>
              </w:rPr>
            </w:pPr>
          </w:p>
        </w:tc>
        <w:tc>
          <w:tcPr>
            <w:tcW w:w="581" w:type="pct"/>
          </w:tcPr>
          <w:p w14:paraId="6B0E73A6" w14:textId="77777777" w:rsidR="00927CD4" w:rsidRDefault="00927CD4" w:rsidP="00CA7536">
            <w:pPr>
              <w:pStyle w:val="ae"/>
              <w:rPr>
                <w:sz w:val="22"/>
                <w:lang w:val="en-US"/>
              </w:rPr>
            </w:pPr>
          </w:p>
        </w:tc>
        <w:tc>
          <w:tcPr>
            <w:tcW w:w="581" w:type="pct"/>
          </w:tcPr>
          <w:p w14:paraId="2477A51C" w14:textId="06EBAEB4" w:rsidR="00927CD4" w:rsidRPr="00111E0B" w:rsidRDefault="00927CD4" w:rsidP="00CA7536">
            <w:pPr>
              <w:pStyle w:val="ae"/>
              <w:rPr>
                <w:sz w:val="22"/>
              </w:rPr>
            </w:pPr>
            <w:r w:rsidRPr="000E6712">
              <w:rPr>
                <w:sz w:val="22"/>
                <w:lang w:val="en-US"/>
              </w:rPr>
              <w:t>.01</w:t>
            </w:r>
            <w:r>
              <w:rPr>
                <w:sz w:val="22"/>
                <w:lang w:val="en-US"/>
              </w:rPr>
              <w:t>7</w:t>
            </w:r>
            <w:r w:rsidR="00111E0B">
              <w:rPr>
                <w:sz w:val="22"/>
              </w:rPr>
              <w:t xml:space="preserve"> (</w:t>
            </w:r>
            <w:r w:rsidR="00111E0B" w:rsidRPr="00111E0B">
              <w:rPr>
                <w:sz w:val="22"/>
              </w:rPr>
              <w:t>.03</w:t>
            </w:r>
            <w:r w:rsidR="00111E0B">
              <w:rPr>
                <w:sz w:val="22"/>
              </w:rPr>
              <w:t>1)</w:t>
            </w:r>
          </w:p>
        </w:tc>
        <w:tc>
          <w:tcPr>
            <w:tcW w:w="578" w:type="pct"/>
          </w:tcPr>
          <w:p w14:paraId="1D05FC1D" w14:textId="77777777" w:rsidR="00927CD4" w:rsidRDefault="00927CD4" w:rsidP="00CA7536">
            <w:pPr>
              <w:pStyle w:val="ae"/>
              <w:rPr>
                <w:sz w:val="22"/>
                <w:lang w:val="en-US"/>
              </w:rPr>
            </w:pPr>
          </w:p>
        </w:tc>
      </w:tr>
      <w:tr w:rsidR="00927CD4" w14:paraId="74A15B32" w14:textId="77777777" w:rsidTr="00CA7536">
        <w:trPr>
          <w:trHeight w:val="885"/>
          <w:jc w:val="center"/>
        </w:trPr>
        <w:tc>
          <w:tcPr>
            <w:tcW w:w="1521" w:type="pct"/>
          </w:tcPr>
          <w:p w14:paraId="3443748B" w14:textId="77777777" w:rsidR="00927CD4" w:rsidRPr="0081767E" w:rsidRDefault="00927CD4" w:rsidP="00CA7536">
            <w:pPr>
              <w:ind w:firstLine="0"/>
              <w:rPr>
                <w:i/>
                <w:iCs/>
                <w:lang w:val="en-US"/>
              </w:rPr>
            </w:pPr>
            <w:r>
              <w:rPr>
                <w:i/>
                <w:iCs/>
                <w:lang w:val="en-US"/>
              </w:rPr>
              <w:t>Low_return</w:t>
            </w:r>
          </w:p>
        </w:tc>
        <w:tc>
          <w:tcPr>
            <w:tcW w:w="577" w:type="pct"/>
          </w:tcPr>
          <w:p w14:paraId="1ADAC23A" w14:textId="77777777" w:rsidR="00927CD4" w:rsidRPr="0081767E" w:rsidRDefault="00927CD4" w:rsidP="00CA7536">
            <w:pPr>
              <w:pStyle w:val="ae"/>
              <w:rPr>
                <w:sz w:val="22"/>
              </w:rPr>
            </w:pPr>
          </w:p>
        </w:tc>
        <w:tc>
          <w:tcPr>
            <w:tcW w:w="581" w:type="pct"/>
          </w:tcPr>
          <w:p w14:paraId="5559FAB8" w14:textId="2A005B32" w:rsidR="00927CD4" w:rsidRPr="00B54FE8" w:rsidRDefault="00927CD4" w:rsidP="00CA7536">
            <w:pPr>
              <w:pStyle w:val="ae"/>
              <w:rPr>
                <w:sz w:val="22"/>
                <w:highlight w:val="yellow"/>
              </w:rPr>
            </w:pPr>
            <w:r w:rsidRPr="00B43FAA">
              <w:rPr>
                <w:sz w:val="22"/>
                <w:lang w:val="en-US"/>
              </w:rPr>
              <w:t>-.027</w:t>
            </w:r>
            <w:r w:rsidR="00B54FE8">
              <w:rPr>
                <w:sz w:val="22"/>
              </w:rPr>
              <w:t xml:space="preserve"> (</w:t>
            </w:r>
            <w:r w:rsidR="00B54FE8" w:rsidRPr="00B54FE8">
              <w:rPr>
                <w:sz w:val="22"/>
              </w:rPr>
              <w:t>.02</w:t>
            </w:r>
            <w:r w:rsidR="00B54FE8">
              <w:rPr>
                <w:sz w:val="22"/>
              </w:rPr>
              <w:t>3)</w:t>
            </w:r>
          </w:p>
        </w:tc>
        <w:tc>
          <w:tcPr>
            <w:tcW w:w="581" w:type="pct"/>
          </w:tcPr>
          <w:p w14:paraId="77F441E7" w14:textId="77777777" w:rsidR="00927CD4" w:rsidRPr="00A45D35" w:rsidRDefault="00927CD4" w:rsidP="00CA7536">
            <w:pPr>
              <w:pStyle w:val="ae"/>
              <w:rPr>
                <w:sz w:val="22"/>
                <w:lang w:val="en-US"/>
              </w:rPr>
            </w:pPr>
          </w:p>
        </w:tc>
        <w:tc>
          <w:tcPr>
            <w:tcW w:w="581" w:type="pct"/>
          </w:tcPr>
          <w:p w14:paraId="70912BAF" w14:textId="77777777" w:rsidR="00927CD4" w:rsidRDefault="00927CD4" w:rsidP="00CA7536">
            <w:pPr>
              <w:pStyle w:val="ae"/>
              <w:rPr>
                <w:sz w:val="22"/>
                <w:lang w:val="en-US"/>
              </w:rPr>
            </w:pPr>
          </w:p>
        </w:tc>
        <w:tc>
          <w:tcPr>
            <w:tcW w:w="581" w:type="pct"/>
          </w:tcPr>
          <w:p w14:paraId="0C45C0A7" w14:textId="21D6C805" w:rsidR="00927CD4" w:rsidRPr="00111E0B" w:rsidRDefault="00927CD4" w:rsidP="00CA7536">
            <w:pPr>
              <w:pStyle w:val="ae"/>
              <w:rPr>
                <w:sz w:val="22"/>
              </w:rPr>
            </w:pPr>
            <w:r w:rsidRPr="000E6712">
              <w:rPr>
                <w:sz w:val="22"/>
                <w:lang w:val="en-US"/>
              </w:rPr>
              <w:t>.0</w:t>
            </w:r>
            <w:r>
              <w:rPr>
                <w:sz w:val="22"/>
                <w:lang w:val="en-US"/>
              </w:rPr>
              <w:t>10</w:t>
            </w:r>
            <w:r w:rsidR="00111E0B">
              <w:rPr>
                <w:sz w:val="22"/>
              </w:rPr>
              <w:t xml:space="preserve"> (</w:t>
            </w:r>
            <w:r w:rsidR="00111E0B" w:rsidRPr="00111E0B">
              <w:rPr>
                <w:sz w:val="22"/>
              </w:rPr>
              <w:t>.029</w:t>
            </w:r>
            <w:r w:rsidR="00111E0B">
              <w:rPr>
                <w:sz w:val="22"/>
              </w:rPr>
              <w:t>)</w:t>
            </w:r>
          </w:p>
        </w:tc>
        <w:tc>
          <w:tcPr>
            <w:tcW w:w="578" w:type="pct"/>
          </w:tcPr>
          <w:p w14:paraId="6AFC85AE" w14:textId="77777777" w:rsidR="00927CD4" w:rsidRDefault="00927CD4" w:rsidP="00CA7536">
            <w:pPr>
              <w:pStyle w:val="ae"/>
              <w:rPr>
                <w:sz w:val="22"/>
                <w:lang w:val="en-US"/>
              </w:rPr>
            </w:pPr>
          </w:p>
        </w:tc>
      </w:tr>
      <w:tr w:rsidR="00927CD4" w:rsidRPr="0081767E" w14:paraId="41F6F504" w14:textId="77777777" w:rsidTr="00CA7536">
        <w:trPr>
          <w:trHeight w:val="885"/>
          <w:jc w:val="center"/>
        </w:trPr>
        <w:tc>
          <w:tcPr>
            <w:tcW w:w="1521" w:type="pct"/>
          </w:tcPr>
          <w:p w14:paraId="6D347816" w14:textId="77777777" w:rsidR="00927CD4" w:rsidRPr="0081767E" w:rsidRDefault="00927CD4" w:rsidP="00CA7536">
            <w:pPr>
              <w:ind w:firstLine="0"/>
              <w:rPr>
                <w:i/>
                <w:iCs/>
                <w:lang w:val="en-US"/>
              </w:rPr>
            </w:pPr>
            <w:r w:rsidRPr="00EB6378">
              <w:rPr>
                <w:i/>
                <w:iCs/>
                <w:lang w:val="en-US"/>
              </w:rPr>
              <w:t>High_volatility</w:t>
            </w:r>
          </w:p>
        </w:tc>
        <w:tc>
          <w:tcPr>
            <w:tcW w:w="577" w:type="pct"/>
          </w:tcPr>
          <w:p w14:paraId="10EFC5A1" w14:textId="77777777" w:rsidR="00927CD4" w:rsidRPr="0081767E" w:rsidRDefault="00927CD4" w:rsidP="00CA7536">
            <w:pPr>
              <w:pStyle w:val="ae"/>
              <w:rPr>
                <w:sz w:val="22"/>
              </w:rPr>
            </w:pPr>
          </w:p>
        </w:tc>
        <w:tc>
          <w:tcPr>
            <w:tcW w:w="581" w:type="pct"/>
          </w:tcPr>
          <w:p w14:paraId="597D58AD" w14:textId="77777777" w:rsidR="00927CD4" w:rsidRPr="0081767E" w:rsidRDefault="00927CD4" w:rsidP="00CA7536">
            <w:pPr>
              <w:pStyle w:val="ae"/>
              <w:rPr>
                <w:sz w:val="22"/>
                <w:lang w:val="en-US"/>
              </w:rPr>
            </w:pPr>
          </w:p>
        </w:tc>
        <w:tc>
          <w:tcPr>
            <w:tcW w:w="581" w:type="pct"/>
          </w:tcPr>
          <w:p w14:paraId="38BFBE9D" w14:textId="4B458CF7" w:rsidR="00927CD4" w:rsidRPr="00B54FE8" w:rsidRDefault="00927CD4" w:rsidP="00CA7536">
            <w:pPr>
              <w:pStyle w:val="ae"/>
              <w:rPr>
                <w:sz w:val="22"/>
              </w:rPr>
            </w:pPr>
            <w:r w:rsidRPr="00BD3405">
              <w:rPr>
                <w:sz w:val="22"/>
                <w:lang w:val="en-US"/>
              </w:rPr>
              <w:t>.016</w:t>
            </w:r>
            <w:r w:rsidR="00B54FE8">
              <w:rPr>
                <w:sz w:val="22"/>
              </w:rPr>
              <w:t xml:space="preserve"> (</w:t>
            </w:r>
            <w:r w:rsidR="00B54FE8" w:rsidRPr="00B54FE8">
              <w:rPr>
                <w:sz w:val="22"/>
              </w:rPr>
              <w:t>.01</w:t>
            </w:r>
            <w:r w:rsidR="00B54FE8">
              <w:rPr>
                <w:sz w:val="22"/>
              </w:rPr>
              <w:t>7)</w:t>
            </w:r>
          </w:p>
        </w:tc>
        <w:tc>
          <w:tcPr>
            <w:tcW w:w="581" w:type="pct"/>
          </w:tcPr>
          <w:p w14:paraId="2F0057BD" w14:textId="77777777" w:rsidR="00927CD4" w:rsidRPr="0081767E" w:rsidRDefault="00927CD4" w:rsidP="00CA7536">
            <w:pPr>
              <w:pStyle w:val="ae"/>
              <w:rPr>
                <w:sz w:val="22"/>
                <w:lang w:val="en-US"/>
              </w:rPr>
            </w:pPr>
          </w:p>
        </w:tc>
        <w:tc>
          <w:tcPr>
            <w:tcW w:w="581" w:type="pct"/>
          </w:tcPr>
          <w:p w14:paraId="3B32CB2C" w14:textId="77777777" w:rsidR="00927CD4" w:rsidRPr="0081767E" w:rsidRDefault="00927CD4" w:rsidP="00CA7536">
            <w:pPr>
              <w:pStyle w:val="ae"/>
              <w:rPr>
                <w:sz w:val="22"/>
                <w:lang w:val="en-US"/>
              </w:rPr>
            </w:pPr>
          </w:p>
        </w:tc>
        <w:tc>
          <w:tcPr>
            <w:tcW w:w="578" w:type="pct"/>
          </w:tcPr>
          <w:p w14:paraId="26A924D6" w14:textId="7FC1E1E7" w:rsidR="00927CD4" w:rsidRPr="00111E0B" w:rsidRDefault="00927CD4" w:rsidP="00CA7536">
            <w:pPr>
              <w:pStyle w:val="ae"/>
              <w:rPr>
                <w:sz w:val="22"/>
              </w:rPr>
            </w:pPr>
            <w:r w:rsidRPr="008176C1">
              <w:rPr>
                <w:sz w:val="22"/>
                <w:lang w:val="en-US"/>
              </w:rPr>
              <w:t>.03</w:t>
            </w:r>
            <w:r>
              <w:rPr>
                <w:sz w:val="22"/>
                <w:lang w:val="en-US"/>
              </w:rPr>
              <w:t>4</w:t>
            </w:r>
            <w:r w:rsidR="00111E0B">
              <w:rPr>
                <w:sz w:val="22"/>
              </w:rPr>
              <w:t xml:space="preserve"> (</w:t>
            </w:r>
            <w:r w:rsidR="00111E0B" w:rsidRPr="00111E0B">
              <w:rPr>
                <w:sz w:val="22"/>
              </w:rPr>
              <w:t>.02</w:t>
            </w:r>
            <w:r w:rsidR="00111E0B">
              <w:rPr>
                <w:sz w:val="22"/>
              </w:rPr>
              <w:t>4)</w:t>
            </w:r>
          </w:p>
        </w:tc>
      </w:tr>
      <w:tr w:rsidR="00927CD4" w:rsidRPr="008176C1" w14:paraId="4CA9A7A3" w14:textId="77777777" w:rsidTr="00CA7536">
        <w:trPr>
          <w:trHeight w:val="885"/>
          <w:jc w:val="center"/>
        </w:trPr>
        <w:tc>
          <w:tcPr>
            <w:tcW w:w="1521" w:type="pct"/>
          </w:tcPr>
          <w:p w14:paraId="3A227B09" w14:textId="77777777" w:rsidR="00927CD4" w:rsidRPr="0081767E" w:rsidRDefault="00927CD4" w:rsidP="00CA7536">
            <w:pPr>
              <w:ind w:firstLine="0"/>
              <w:rPr>
                <w:i/>
                <w:iCs/>
                <w:lang w:val="en-US"/>
              </w:rPr>
            </w:pPr>
            <w:r>
              <w:rPr>
                <w:i/>
                <w:iCs/>
                <w:lang w:val="en-US"/>
              </w:rPr>
              <w:t>Low_volatility</w:t>
            </w:r>
          </w:p>
        </w:tc>
        <w:tc>
          <w:tcPr>
            <w:tcW w:w="577" w:type="pct"/>
          </w:tcPr>
          <w:p w14:paraId="57D6E747" w14:textId="77777777" w:rsidR="00927CD4" w:rsidRPr="0081767E" w:rsidRDefault="00927CD4" w:rsidP="00CA7536">
            <w:pPr>
              <w:pStyle w:val="ae"/>
              <w:rPr>
                <w:sz w:val="22"/>
                <w:lang w:val="en-US"/>
              </w:rPr>
            </w:pPr>
          </w:p>
        </w:tc>
        <w:tc>
          <w:tcPr>
            <w:tcW w:w="581" w:type="pct"/>
          </w:tcPr>
          <w:p w14:paraId="6A7374EB" w14:textId="77777777" w:rsidR="00927CD4" w:rsidRPr="0081767E" w:rsidRDefault="00927CD4" w:rsidP="00CA7536">
            <w:pPr>
              <w:pStyle w:val="ae"/>
              <w:rPr>
                <w:sz w:val="22"/>
                <w:lang w:val="en-US"/>
              </w:rPr>
            </w:pPr>
          </w:p>
        </w:tc>
        <w:tc>
          <w:tcPr>
            <w:tcW w:w="581" w:type="pct"/>
          </w:tcPr>
          <w:p w14:paraId="6A594B50" w14:textId="23E57896" w:rsidR="00927CD4" w:rsidRPr="00B54FE8" w:rsidRDefault="00927CD4" w:rsidP="00CA7536">
            <w:pPr>
              <w:pStyle w:val="ae"/>
              <w:rPr>
                <w:sz w:val="22"/>
              </w:rPr>
            </w:pPr>
            <w:r w:rsidRPr="00942E06">
              <w:rPr>
                <w:sz w:val="22"/>
                <w:lang w:val="en-US"/>
              </w:rPr>
              <w:t>.017</w:t>
            </w:r>
            <w:r w:rsidR="00B54FE8">
              <w:rPr>
                <w:sz w:val="22"/>
              </w:rPr>
              <w:t xml:space="preserve"> (</w:t>
            </w:r>
            <w:r w:rsidR="00B54FE8" w:rsidRPr="00B54FE8">
              <w:rPr>
                <w:sz w:val="22"/>
              </w:rPr>
              <w:t>.030</w:t>
            </w:r>
            <w:r w:rsidR="00B54FE8">
              <w:rPr>
                <w:sz w:val="22"/>
              </w:rPr>
              <w:t>)</w:t>
            </w:r>
          </w:p>
        </w:tc>
        <w:tc>
          <w:tcPr>
            <w:tcW w:w="581" w:type="pct"/>
          </w:tcPr>
          <w:p w14:paraId="7EAB2422" w14:textId="77777777" w:rsidR="00927CD4" w:rsidRPr="0081767E" w:rsidRDefault="00927CD4" w:rsidP="00CA7536">
            <w:pPr>
              <w:pStyle w:val="ae"/>
              <w:rPr>
                <w:sz w:val="22"/>
                <w:lang w:val="en-US"/>
              </w:rPr>
            </w:pPr>
          </w:p>
        </w:tc>
        <w:tc>
          <w:tcPr>
            <w:tcW w:w="581" w:type="pct"/>
          </w:tcPr>
          <w:p w14:paraId="06963806" w14:textId="77777777" w:rsidR="00927CD4" w:rsidRPr="0081767E" w:rsidRDefault="00927CD4" w:rsidP="00CA7536">
            <w:pPr>
              <w:pStyle w:val="ae"/>
              <w:rPr>
                <w:sz w:val="22"/>
                <w:lang w:val="en-US"/>
              </w:rPr>
            </w:pPr>
          </w:p>
        </w:tc>
        <w:tc>
          <w:tcPr>
            <w:tcW w:w="578" w:type="pct"/>
          </w:tcPr>
          <w:p w14:paraId="4BEFE178" w14:textId="50197643" w:rsidR="00927CD4" w:rsidRPr="008176C1" w:rsidRDefault="00927CD4" w:rsidP="00CA7536">
            <w:pPr>
              <w:pStyle w:val="ae"/>
              <w:rPr>
                <w:sz w:val="22"/>
              </w:rPr>
            </w:pPr>
            <w:r w:rsidRPr="008176C1">
              <w:rPr>
                <w:sz w:val="22"/>
                <w:lang w:val="en-US"/>
              </w:rPr>
              <w:t>.04</w:t>
            </w:r>
            <w:r>
              <w:rPr>
                <w:sz w:val="22"/>
                <w:lang w:val="en-US"/>
              </w:rPr>
              <w:t>2</w:t>
            </w:r>
            <w:r>
              <w:rPr>
                <w:sz w:val="22"/>
              </w:rPr>
              <w:t>*</w:t>
            </w:r>
            <w:r w:rsidR="00111E0B">
              <w:rPr>
                <w:sz w:val="22"/>
              </w:rPr>
              <w:t xml:space="preserve"> (</w:t>
            </w:r>
            <w:r w:rsidR="00111E0B" w:rsidRPr="00111E0B">
              <w:rPr>
                <w:sz w:val="22"/>
              </w:rPr>
              <w:t>.02</w:t>
            </w:r>
            <w:r w:rsidR="00111E0B">
              <w:rPr>
                <w:sz w:val="22"/>
              </w:rPr>
              <w:t>4)</w:t>
            </w:r>
          </w:p>
        </w:tc>
      </w:tr>
      <w:tr w:rsidR="00927CD4" w:rsidRPr="008176C1" w14:paraId="00868D06" w14:textId="77777777" w:rsidTr="00CA7536">
        <w:trPr>
          <w:trHeight w:val="885"/>
          <w:jc w:val="center"/>
        </w:trPr>
        <w:tc>
          <w:tcPr>
            <w:tcW w:w="1521" w:type="pct"/>
          </w:tcPr>
          <w:p w14:paraId="2390F966" w14:textId="77777777" w:rsidR="00927CD4" w:rsidRPr="0081767E" w:rsidRDefault="00927CD4" w:rsidP="00CA7536">
            <w:pPr>
              <w:ind w:firstLine="0"/>
              <w:rPr>
                <w:i/>
                <w:iCs/>
                <w:lang w:val="en-US"/>
              </w:rPr>
            </w:pPr>
            <w:r w:rsidRPr="0081767E">
              <w:rPr>
                <w:i/>
                <w:iCs/>
                <w:lang w:val="en-US"/>
              </w:rPr>
              <w:t>Cons</w:t>
            </w:r>
          </w:p>
        </w:tc>
        <w:tc>
          <w:tcPr>
            <w:tcW w:w="577" w:type="pct"/>
          </w:tcPr>
          <w:p w14:paraId="0BBC8816" w14:textId="16CD428B" w:rsidR="00927CD4" w:rsidRPr="00A15D85" w:rsidRDefault="00927CD4" w:rsidP="00CA7536">
            <w:pPr>
              <w:pStyle w:val="ae"/>
              <w:rPr>
                <w:sz w:val="22"/>
              </w:rPr>
            </w:pPr>
            <w:r w:rsidRPr="00AA31AE">
              <w:rPr>
                <w:sz w:val="22"/>
              </w:rPr>
              <w:t>-.030</w:t>
            </w:r>
            <w:r w:rsidR="00B409B1">
              <w:rPr>
                <w:sz w:val="22"/>
              </w:rPr>
              <w:t xml:space="preserve"> (</w:t>
            </w:r>
            <w:r w:rsidR="00B409B1" w:rsidRPr="00B409B1">
              <w:rPr>
                <w:sz w:val="22"/>
              </w:rPr>
              <w:t>.021</w:t>
            </w:r>
            <w:r w:rsidR="00B409B1">
              <w:rPr>
                <w:sz w:val="22"/>
              </w:rPr>
              <w:t>)</w:t>
            </w:r>
          </w:p>
        </w:tc>
        <w:tc>
          <w:tcPr>
            <w:tcW w:w="581" w:type="pct"/>
          </w:tcPr>
          <w:p w14:paraId="5ABD7926" w14:textId="0A6924F4" w:rsidR="00927CD4" w:rsidRPr="00B54FE8" w:rsidRDefault="00927CD4" w:rsidP="00CA7536">
            <w:pPr>
              <w:pStyle w:val="ae"/>
              <w:rPr>
                <w:sz w:val="22"/>
              </w:rPr>
            </w:pPr>
            <w:r w:rsidRPr="00B43FAA">
              <w:rPr>
                <w:sz w:val="22"/>
                <w:lang w:val="en-US"/>
              </w:rPr>
              <w:t>-.007</w:t>
            </w:r>
            <w:r w:rsidR="00B54FE8">
              <w:rPr>
                <w:sz w:val="22"/>
              </w:rPr>
              <w:t xml:space="preserve"> (</w:t>
            </w:r>
            <w:r w:rsidR="00B54FE8" w:rsidRPr="00B54FE8">
              <w:rPr>
                <w:sz w:val="22"/>
              </w:rPr>
              <w:t>.03</w:t>
            </w:r>
            <w:r w:rsidR="00B54FE8">
              <w:rPr>
                <w:sz w:val="22"/>
              </w:rPr>
              <w:t>2)</w:t>
            </w:r>
          </w:p>
        </w:tc>
        <w:tc>
          <w:tcPr>
            <w:tcW w:w="581" w:type="pct"/>
          </w:tcPr>
          <w:p w14:paraId="31DD99BF" w14:textId="61803D40" w:rsidR="00927CD4" w:rsidRPr="00B54FE8" w:rsidRDefault="00927CD4" w:rsidP="00CA7536">
            <w:pPr>
              <w:pStyle w:val="ae"/>
              <w:rPr>
                <w:sz w:val="22"/>
              </w:rPr>
            </w:pPr>
            <w:r w:rsidRPr="00BD3405">
              <w:rPr>
                <w:sz w:val="22"/>
                <w:lang w:val="en-US"/>
              </w:rPr>
              <w:t>-.03</w:t>
            </w:r>
            <w:r>
              <w:rPr>
                <w:sz w:val="22"/>
                <w:lang w:val="en-US"/>
              </w:rPr>
              <w:t>6*</w:t>
            </w:r>
            <w:r w:rsidR="00B54FE8">
              <w:rPr>
                <w:sz w:val="22"/>
              </w:rPr>
              <w:t xml:space="preserve"> (</w:t>
            </w:r>
            <w:r w:rsidR="00B54FE8" w:rsidRPr="00B54FE8">
              <w:rPr>
                <w:sz w:val="22"/>
              </w:rPr>
              <w:t>.020</w:t>
            </w:r>
            <w:r w:rsidR="00B54FE8">
              <w:rPr>
                <w:sz w:val="22"/>
              </w:rPr>
              <w:t>)</w:t>
            </w:r>
          </w:p>
        </w:tc>
        <w:tc>
          <w:tcPr>
            <w:tcW w:w="581" w:type="pct"/>
          </w:tcPr>
          <w:p w14:paraId="1D60004B" w14:textId="319ECD5B" w:rsidR="00927CD4" w:rsidRPr="00EA6142" w:rsidRDefault="00927CD4" w:rsidP="00CA7536">
            <w:pPr>
              <w:pStyle w:val="ae"/>
              <w:rPr>
                <w:sz w:val="22"/>
              </w:rPr>
            </w:pPr>
            <w:r w:rsidRPr="00731B40">
              <w:rPr>
                <w:sz w:val="22"/>
                <w:lang w:val="en-US"/>
              </w:rPr>
              <w:t>-.002</w:t>
            </w:r>
            <w:r w:rsidR="00EA6142">
              <w:rPr>
                <w:sz w:val="22"/>
              </w:rPr>
              <w:t xml:space="preserve"> (</w:t>
            </w:r>
            <w:r w:rsidR="00EA6142" w:rsidRPr="00EA6142">
              <w:rPr>
                <w:sz w:val="22"/>
              </w:rPr>
              <w:t>.031</w:t>
            </w:r>
            <w:r w:rsidR="00EA6142">
              <w:rPr>
                <w:sz w:val="22"/>
              </w:rPr>
              <w:t>)</w:t>
            </w:r>
          </w:p>
        </w:tc>
        <w:tc>
          <w:tcPr>
            <w:tcW w:w="581" w:type="pct"/>
          </w:tcPr>
          <w:p w14:paraId="06F7F0CD" w14:textId="6631E6F4" w:rsidR="00927CD4" w:rsidRPr="00111E0B" w:rsidRDefault="00927CD4" w:rsidP="00CA7536">
            <w:pPr>
              <w:pStyle w:val="ae"/>
              <w:rPr>
                <w:sz w:val="22"/>
              </w:rPr>
            </w:pPr>
            <w:r w:rsidRPr="0016722C">
              <w:rPr>
                <w:sz w:val="22"/>
                <w:lang w:val="en-US"/>
              </w:rPr>
              <w:t>-.00</w:t>
            </w:r>
            <w:r>
              <w:rPr>
                <w:sz w:val="22"/>
                <w:lang w:val="en-US"/>
              </w:rPr>
              <w:t>9</w:t>
            </w:r>
            <w:r w:rsidR="00111E0B">
              <w:rPr>
                <w:sz w:val="22"/>
              </w:rPr>
              <w:t xml:space="preserve"> (</w:t>
            </w:r>
            <w:r w:rsidR="00111E0B" w:rsidRPr="00111E0B">
              <w:rPr>
                <w:sz w:val="22"/>
              </w:rPr>
              <w:t>.033</w:t>
            </w:r>
            <w:r w:rsidR="00111E0B">
              <w:rPr>
                <w:sz w:val="22"/>
              </w:rPr>
              <w:t>)</w:t>
            </w:r>
          </w:p>
        </w:tc>
        <w:tc>
          <w:tcPr>
            <w:tcW w:w="578" w:type="pct"/>
          </w:tcPr>
          <w:p w14:paraId="70DD9ABF" w14:textId="62A55DD0" w:rsidR="00927CD4" w:rsidRPr="00111E0B" w:rsidRDefault="00927CD4" w:rsidP="00CA7536">
            <w:pPr>
              <w:pStyle w:val="ae"/>
              <w:rPr>
                <w:sz w:val="22"/>
              </w:rPr>
            </w:pPr>
            <w:r w:rsidRPr="0016722C">
              <w:rPr>
                <w:sz w:val="22"/>
                <w:lang w:val="en-US"/>
              </w:rPr>
              <w:t>-.0</w:t>
            </w:r>
            <w:r>
              <w:rPr>
                <w:sz w:val="22"/>
                <w:lang w:val="en-US"/>
              </w:rPr>
              <w:t>30</w:t>
            </w:r>
            <w:r w:rsidR="00111E0B">
              <w:rPr>
                <w:sz w:val="22"/>
              </w:rPr>
              <w:t xml:space="preserve"> (</w:t>
            </w:r>
            <w:r w:rsidR="00111E0B" w:rsidRPr="00111E0B">
              <w:rPr>
                <w:sz w:val="22"/>
              </w:rPr>
              <w:t>.037</w:t>
            </w:r>
            <w:r w:rsidR="00111E0B">
              <w:rPr>
                <w:sz w:val="22"/>
              </w:rPr>
              <w:t>)</w:t>
            </w:r>
          </w:p>
        </w:tc>
      </w:tr>
      <w:tr w:rsidR="00927CD4" w14:paraId="411D5141" w14:textId="77777777" w:rsidTr="00CA7536">
        <w:trPr>
          <w:trHeight w:val="885"/>
          <w:jc w:val="center"/>
        </w:trPr>
        <w:tc>
          <w:tcPr>
            <w:tcW w:w="1521" w:type="pct"/>
          </w:tcPr>
          <w:p w14:paraId="44DCC791" w14:textId="77777777" w:rsidR="00927CD4" w:rsidRPr="00C75836" w:rsidRDefault="00CF4558" w:rsidP="00CA7536">
            <w:pPr>
              <w:ind w:firstLine="0"/>
              <w:rPr>
                <w:i/>
                <w:iCs/>
                <w:lang w:val="en-US"/>
              </w:rPr>
            </w:pPr>
            <m:oMath>
              <m:sSup>
                <m:sSupPr>
                  <m:ctrlPr>
                    <w:rPr>
                      <w:rFonts w:ascii="Cambria Math" w:hAnsi="Cambria Math"/>
                      <w:i/>
                      <w:iCs/>
                    </w:rPr>
                  </m:ctrlPr>
                </m:sSupPr>
                <m:e>
                  <m:r>
                    <w:rPr>
                      <w:rFonts w:ascii="Cambria Math" w:hAnsi="Cambria Math"/>
                    </w:rPr>
                    <m:t>R</m:t>
                  </m:r>
                </m:e>
                <m:sup>
                  <m:r>
                    <w:rPr>
                      <w:rFonts w:ascii="Cambria Math" w:hAnsi="Cambria Math"/>
                    </w:rPr>
                    <m:t>2</m:t>
                  </m:r>
                </m:sup>
              </m:sSup>
            </m:oMath>
            <w:r w:rsidR="00927CD4">
              <w:rPr>
                <w:rFonts w:eastAsiaTheme="minorEastAsia"/>
                <w:i/>
                <w:iCs/>
                <w:lang w:val="en-US"/>
              </w:rPr>
              <w:t xml:space="preserve"> within</w:t>
            </w:r>
          </w:p>
        </w:tc>
        <w:tc>
          <w:tcPr>
            <w:tcW w:w="577" w:type="pct"/>
          </w:tcPr>
          <w:p w14:paraId="64E0DBD8" w14:textId="77777777" w:rsidR="00927CD4" w:rsidRPr="00D67C02" w:rsidRDefault="00927CD4" w:rsidP="00CA7536">
            <w:pPr>
              <w:pStyle w:val="ae"/>
              <w:rPr>
                <w:sz w:val="22"/>
                <w:lang w:val="en-US"/>
              </w:rPr>
            </w:pPr>
            <w:r w:rsidRPr="00AA31AE">
              <w:rPr>
                <w:sz w:val="22"/>
                <w:lang w:val="en-US"/>
              </w:rPr>
              <w:t>0.1700</w:t>
            </w:r>
          </w:p>
        </w:tc>
        <w:tc>
          <w:tcPr>
            <w:tcW w:w="581" w:type="pct"/>
          </w:tcPr>
          <w:p w14:paraId="215ECE6E" w14:textId="77777777" w:rsidR="00927CD4" w:rsidRPr="0081767E" w:rsidRDefault="00927CD4" w:rsidP="00CA7536">
            <w:pPr>
              <w:pStyle w:val="ae"/>
              <w:rPr>
                <w:sz w:val="22"/>
                <w:lang w:val="en-US"/>
              </w:rPr>
            </w:pPr>
            <w:r w:rsidRPr="00B43FAA">
              <w:rPr>
                <w:sz w:val="22"/>
                <w:lang w:val="en-US"/>
              </w:rPr>
              <w:t>0.2532</w:t>
            </w:r>
          </w:p>
        </w:tc>
        <w:tc>
          <w:tcPr>
            <w:tcW w:w="581" w:type="pct"/>
          </w:tcPr>
          <w:p w14:paraId="4D220716" w14:textId="77777777" w:rsidR="00927CD4" w:rsidRPr="0081767E" w:rsidRDefault="00927CD4" w:rsidP="00CA7536">
            <w:pPr>
              <w:pStyle w:val="ae"/>
              <w:rPr>
                <w:sz w:val="22"/>
                <w:lang w:val="en-US"/>
              </w:rPr>
            </w:pPr>
            <w:r w:rsidRPr="00BD3405">
              <w:rPr>
                <w:sz w:val="22"/>
                <w:lang w:val="en-US"/>
              </w:rPr>
              <w:t xml:space="preserve">0.1145  </w:t>
            </w:r>
          </w:p>
        </w:tc>
        <w:tc>
          <w:tcPr>
            <w:tcW w:w="581" w:type="pct"/>
          </w:tcPr>
          <w:p w14:paraId="2D76A884" w14:textId="77777777" w:rsidR="00927CD4" w:rsidRDefault="00927CD4" w:rsidP="00CA7536">
            <w:pPr>
              <w:pStyle w:val="ae"/>
              <w:rPr>
                <w:sz w:val="22"/>
                <w:lang w:val="en-US"/>
              </w:rPr>
            </w:pPr>
            <w:r w:rsidRPr="00731B40">
              <w:rPr>
                <w:sz w:val="22"/>
                <w:lang w:val="en-US"/>
              </w:rPr>
              <w:t>0.2230</w:t>
            </w:r>
          </w:p>
        </w:tc>
        <w:tc>
          <w:tcPr>
            <w:tcW w:w="581" w:type="pct"/>
          </w:tcPr>
          <w:p w14:paraId="3C2B9B68" w14:textId="77777777" w:rsidR="00927CD4" w:rsidRDefault="00927CD4" w:rsidP="00CA7536">
            <w:pPr>
              <w:pStyle w:val="ae"/>
              <w:rPr>
                <w:sz w:val="22"/>
                <w:lang w:val="en-US"/>
              </w:rPr>
            </w:pPr>
            <w:r w:rsidRPr="0016722C">
              <w:rPr>
                <w:sz w:val="22"/>
                <w:lang w:val="en-US"/>
              </w:rPr>
              <w:t>0.2448</w:t>
            </w:r>
          </w:p>
        </w:tc>
        <w:tc>
          <w:tcPr>
            <w:tcW w:w="578" w:type="pct"/>
          </w:tcPr>
          <w:p w14:paraId="6FF5BB3F" w14:textId="77777777" w:rsidR="00927CD4" w:rsidRDefault="00927CD4" w:rsidP="00CA7536">
            <w:pPr>
              <w:pStyle w:val="ae"/>
              <w:rPr>
                <w:sz w:val="22"/>
                <w:lang w:val="en-US"/>
              </w:rPr>
            </w:pPr>
            <w:r w:rsidRPr="0016722C">
              <w:rPr>
                <w:sz w:val="22"/>
                <w:lang w:val="en-US"/>
              </w:rPr>
              <w:t>0.2167</w:t>
            </w:r>
          </w:p>
        </w:tc>
      </w:tr>
      <w:tr w:rsidR="00927CD4" w14:paraId="556D6336" w14:textId="77777777" w:rsidTr="00CA7536">
        <w:trPr>
          <w:trHeight w:val="885"/>
          <w:jc w:val="center"/>
        </w:trPr>
        <w:tc>
          <w:tcPr>
            <w:tcW w:w="1521" w:type="pct"/>
          </w:tcPr>
          <w:p w14:paraId="1CC2FDB6" w14:textId="77777777" w:rsidR="00927CD4" w:rsidRDefault="00CF4558" w:rsidP="00CA7536">
            <w:pPr>
              <w:ind w:firstLine="0"/>
              <w:rPr>
                <w:rFonts w:eastAsia="Calibri" w:cs="Times New Roman"/>
                <w:iCs/>
              </w:rPr>
            </w:pPr>
            <m:oMath>
              <m:sSup>
                <m:sSupPr>
                  <m:ctrlPr>
                    <w:rPr>
                      <w:rFonts w:ascii="Cambria Math" w:hAnsi="Cambria Math"/>
                      <w:i/>
                      <w:iCs/>
                    </w:rPr>
                  </m:ctrlPr>
                </m:sSupPr>
                <m:e>
                  <m:r>
                    <w:rPr>
                      <w:rFonts w:ascii="Cambria Math" w:hAnsi="Cambria Math"/>
                    </w:rPr>
                    <m:t>R</m:t>
                  </m:r>
                </m:e>
                <m:sup>
                  <m:r>
                    <w:rPr>
                      <w:rFonts w:ascii="Cambria Math" w:hAnsi="Cambria Math"/>
                    </w:rPr>
                    <m:t>2</m:t>
                  </m:r>
                </m:sup>
              </m:sSup>
            </m:oMath>
            <w:r w:rsidR="00927CD4">
              <w:rPr>
                <w:rFonts w:eastAsiaTheme="minorEastAsia"/>
                <w:i/>
                <w:iCs/>
                <w:lang w:val="en-US"/>
              </w:rPr>
              <w:t xml:space="preserve"> between</w:t>
            </w:r>
          </w:p>
        </w:tc>
        <w:tc>
          <w:tcPr>
            <w:tcW w:w="577" w:type="pct"/>
          </w:tcPr>
          <w:p w14:paraId="7F8BF373" w14:textId="77777777" w:rsidR="00927CD4" w:rsidRPr="00D67C02" w:rsidRDefault="00927CD4" w:rsidP="00CA7536">
            <w:pPr>
              <w:pStyle w:val="ae"/>
              <w:rPr>
                <w:sz w:val="22"/>
              </w:rPr>
            </w:pPr>
            <w:r w:rsidRPr="00AA31AE">
              <w:rPr>
                <w:sz w:val="22"/>
              </w:rPr>
              <w:t>0.3141</w:t>
            </w:r>
          </w:p>
        </w:tc>
        <w:tc>
          <w:tcPr>
            <w:tcW w:w="581" w:type="pct"/>
          </w:tcPr>
          <w:p w14:paraId="370775CB" w14:textId="77777777" w:rsidR="00927CD4" w:rsidRPr="0075042B" w:rsidRDefault="00927CD4" w:rsidP="00CA7536">
            <w:pPr>
              <w:pStyle w:val="ae"/>
              <w:rPr>
                <w:sz w:val="22"/>
                <w:lang w:val="en-US"/>
              </w:rPr>
            </w:pPr>
            <w:r w:rsidRPr="00B43FAA">
              <w:rPr>
                <w:sz w:val="22"/>
                <w:lang w:val="en-US"/>
              </w:rPr>
              <w:t>0.2458</w:t>
            </w:r>
          </w:p>
        </w:tc>
        <w:tc>
          <w:tcPr>
            <w:tcW w:w="581" w:type="pct"/>
          </w:tcPr>
          <w:p w14:paraId="343EBFB1" w14:textId="77777777" w:rsidR="00927CD4" w:rsidRPr="0081767E" w:rsidRDefault="00927CD4" w:rsidP="00CA7536">
            <w:pPr>
              <w:pStyle w:val="ae"/>
              <w:rPr>
                <w:sz w:val="22"/>
                <w:lang w:val="en-US"/>
              </w:rPr>
            </w:pPr>
            <w:r w:rsidRPr="00BD3405">
              <w:rPr>
                <w:sz w:val="22"/>
                <w:lang w:val="en-US"/>
              </w:rPr>
              <w:t>0.3723</w:t>
            </w:r>
          </w:p>
        </w:tc>
        <w:tc>
          <w:tcPr>
            <w:tcW w:w="581" w:type="pct"/>
          </w:tcPr>
          <w:p w14:paraId="664CC60F" w14:textId="77777777" w:rsidR="00927CD4" w:rsidRDefault="00927CD4" w:rsidP="00CA7536">
            <w:pPr>
              <w:pStyle w:val="ae"/>
              <w:rPr>
                <w:sz w:val="22"/>
                <w:lang w:val="en-US"/>
              </w:rPr>
            </w:pPr>
            <w:r w:rsidRPr="00731B40">
              <w:rPr>
                <w:sz w:val="22"/>
                <w:lang w:val="en-US"/>
              </w:rPr>
              <w:t>0.0403</w:t>
            </w:r>
          </w:p>
        </w:tc>
        <w:tc>
          <w:tcPr>
            <w:tcW w:w="581" w:type="pct"/>
          </w:tcPr>
          <w:p w14:paraId="2A5728B5" w14:textId="77777777" w:rsidR="00927CD4" w:rsidRDefault="00927CD4" w:rsidP="00CA7536">
            <w:pPr>
              <w:pStyle w:val="ae"/>
              <w:rPr>
                <w:sz w:val="22"/>
                <w:lang w:val="en-US"/>
              </w:rPr>
            </w:pPr>
            <w:r w:rsidRPr="0016722C">
              <w:rPr>
                <w:sz w:val="22"/>
                <w:lang w:val="en-US"/>
              </w:rPr>
              <w:t>0.0301</w:t>
            </w:r>
          </w:p>
        </w:tc>
        <w:tc>
          <w:tcPr>
            <w:tcW w:w="578" w:type="pct"/>
          </w:tcPr>
          <w:p w14:paraId="6CC179DF" w14:textId="77777777" w:rsidR="00927CD4" w:rsidRDefault="00927CD4" w:rsidP="00CA7536">
            <w:pPr>
              <w:pStyle w:val="ae"/>
              <w:rPr>
                <w:sz w:val="22"/>
                <w:lang w:val="en-US"/>
              </w:rPr>
            </w:pPr>
            <w:r w:rsidRPr="0016722C">
              <w:rPr>
                <w:sz w:val="22"/>
                <w:lang w:val="en-US"/>
              </w:rPr>
              <w:t>0.0846</w:t>
            </w:r>
          </w:p>
        </w:tc>
      </w:tr>
      <w:tr w:rsidR="00927CD4" w14:paraId="26BB0398" w14:textId="77777777" w:rsidTr="00CA7536">
        <w:trPr>
          <w:trHeight w:val="885"/>
          <w:jc w:val="center"/>
        </w:trPr>
        <w:tc>
          <w:tcPr>
            <w:tcW w:w="1521" w:type="pct"/>
          </w:tcPr>
          <w:p w14:paraId="6083EA8D" w14:textId="77777777" w:rsidR="00927CD4" w:rsidRDefault="00CF4558" w:rsidP="00CA7536">
            <w:pPr>
              <w:ind w:firstLine="0"/>
              <w:rPr>
                <w:rFonts w:eastAsia="Calibri" w:cs="Times New Roman"/>
                <w:iCs/>
              </w:rPr>
            </w:pPr>
            <m:oMath>
              <m:sSup>
                <m:sSupPr>
                  <m:ctrlPr>
                    <w:rPr>
                      <w:rFonts w:ascii="Cambria Math" w:hAnsi="Cambria Math"/>
                      <w:i/>
                      <w:iCs/>
                    </w:rPr>
                  </m:ctrlPr>
                </m:sSupPr>
                <m:e>
                  <m:r>
                    <w:rPr>
                      <w:rFonts w:ascii="Cambria Math" w:hAnsi="Cambria Math"/>
                    </w:rPr>
                    <m:t>R</m:t>
                  </m:r>
                </m:e>
                <m:sup>
                  <m:r>
                    <w:rPr>
                      <w:rFonts w:ascii="Cambria Math" w:hAnsi="Cambria Math"/>
                    </w:rPr>
                    <m:t>2</m:t>
                  </m:r>
                </m:sup>
              </m:sSup>
            </m:oMath>
            <w:r w:rsidR="00927CD4">
              <w:rPr>
                <w:rFonts w:eastAsiaTheme="minorEastAsia"/>
                <w:i/>
                <w:iCs/>
                <w:lang w:val="en-US"/>
              </w:rPr>
              <w:t xml:space="preserve"> overall</w:t>
            </w:r>
          </w:p>
        </w:tc>
        <w:tc>
          <w:tcPr>
            <w:tcW w:w="577" w:type="pct"/>
          </w:tcPr>
          <w:p w14:paraId="3FCA1E8E" w14:textId="77777777" w:rsidR="00927CD4" w:rsidRPr="00D67C02" w:rsidRDefault="00927CD4" w:rsidP="00CA7536">
            <w:pPr>
              <w:pStyle w:val="ae"/>
              <w:rPr>
                <w:sz w:val="22"/>
              </w:rPr>
            </w:pPr>
            <w:r w:rsidRPr="00AA31AE">
              <w:rPr>
                <w:sz w:val="22"/>
              </w:rPr>
              <w:t>0.1243</w:t>
            </w:r>
          </w:p>
        </w:tc>
        <w:tc>
          <w:tcPr>
            <w:tcW w:w="581" w:type="pct"/>
          </w:tcPr>
          <w:p w14:paraId="480306AD" w14:textId="77777777" w:rsidR="00927CD4" w:rsidRPr="0075042B" w:rsidRDefault="00927CD4" w:rsidP="00CA7536">
            <w:pPr>
              <w:pStyle w:val="ae"/>
              <w:rPr>
                <w:sz w:val="22"/>
                <w:lang w:val="en-US"/>
              </w:rPr>
            </w:pPr>
            <w:r w:rsidRPr="00B43FAA">
              <w:rPr>
                <w:sz w:val="22"/>
                <w:lang w:val="en-US"/>
              </w:rPr>
              <w:t>0.2268</w:t>
            </w:r>
          </w:p>
        </w:tc>
        <w:tc>
          <w:tcPr>
            <w:tcW w:w="581" w:type="pct"/>
          </w:tcPr>
          <w:p w14:paraId="3723F390" w14:textId="77777777" w:rsidR="00927CD4" w:rsidRPr="0081767E" w:rsidRDefault="00927CD4" w:rsidP="00CA7536">
            <w:pPr>
              <w:pStyle w:val="ae"/>
              <w:rPr>
                <w:sz w:val="22"/>
                <w:lang w:val="en-US"/>
              </w:rPr>
            </w:pPr>
            <w:r w:rsidRPr="00BD3405">
              <w:rPr>
                <w:sz w:val="22"/>
                <w:lang w:val="en-US"/>
              </w:rPr>
              <w:t>0.1395</w:t>
            </w:r>
          </w:p>
        </w:tc>
        <w:tc>
          <w:tcPr>
            <w:tcW w:w="581" w:type="pct"/>
          </w:tcPr>
          <w:p w14:paraId="7943B78C" w14:textId="77777777" w:rsidR="00927CD4" w:rsidRDefault="00927CD4" w:rsidP="00CA7536">
            <w:pPr>
              <w:pStyle w:val="ae"/>
              <w:rPr>
                <w:sz w:val="22"/>
                <w:lang w:val="en-US"/>
              </w:rPr>
            </w:pPr>
            <w:r w:rsidRPr="00731B40">
              <w:rPr>
                <w:sz w:val="22"/>
                <w:lang w:val="en-US"/>
              </w:rPr>
              <w:t>0.1494</w:t>
            </w:r>
          </w:p>
        </w:tc>
        <w:tc>
          <w:tcPr>
            <w:tcW w:w="581" w:type="pct"/>
          </w:tcPr>
          <w:p w14:paraId="35E566B4" w14:textId="77777777" w:rsidR="00927CD4" w:rsidRDefault="00927CD4" w:rsidP="00CA7536">
            <w:pPr>
              <w:pStyle w:val="ae"/>
              <w:rPr>
                <w:sz w:val="22"/>
                <w:lang w:val="en-US"/>
              </w:rPr>
            </w:pPr>
            <w:r w:rsidRPr="0016722C">
              <w:rPr>
                <w:sz w:val="22"/>
                <w:lang w:val="en-US"/>
              </w:rPr>
              <w:t>0.1536</w:t>
            </w:r>
          </w:p>
        </w:tc>
        <w:tc>
          <w:tcPr>
            <w:tcW w:w="578" w:type="pct"/>
          </w:tcPr>
          <w:p w14:paraId="3CA1D026" w14:textId="77777777" w:rsidR="00927CD4" w:rsidRDefault="00927CD4" w:rsidP="00CA7536">
            <w:pPr>
              <w:pStyle w:val="ae"/>
              <w:rPr>
                <w:sz w:val="22"/>
                <w:lang w:val="en-US"/>
              </w:rPr>
            </w:pPr>
            <w:r w:rsidRPr="0016722C">
              <w:rPr>
                <w:sz w:val="22"/>
                <w:lang w:val="en-US"/>
              </w:rPr>
              <w:t>0.1932</w:t>
            </w:r>
          </w:p>
        </w:tc>
      </w:tr>
      <w:tr w:rsidR="00927CD4" w14:paraId="1718E565" w14:textId="77777777" w:rsidTr="00CA7536">
        <w:trPr>
          <w:trHeight w:val="885"/>
          <w:jc w:val="center"/>
        </w:trPr>
        <w:tc>
          <w:tcPr>
            <w:tcW w:w="1521" w:type="pct"/>
          </w:tcPr>
          <w:p w14:paraId="6F85A420" w14:textId="77777777" w:rsidR="00927CD4" w:rsidRPr="0081767E" w:rsidRDefault="00927CD4" w:rsidP="00CA7536">
            <w:pPr>
              <w:ind w:firstLine="0"/>
              <w:rPr>
                <w:i/>
                <w:iCs/>
                <w:lang w:val="en-US"/>
              </w:rPr>
            </w:pPr>
            <w:r w:rsidRPr="0081767E">
              <w:rPr>
                <w:i/>
                <w:iCs/>
                <w:lang w:val="en-US"/>
              </w:rPr>
              <w:t>P-value</w:t>
            </w:r>
          </w:p>
        </w:tc>
        <w:tc>
          <w:tcPr>
            <w:tcW w:w="577" w:type="pct"/>
          </w:tcPr>
          <w:p w14:paraId="74F64B85" w14:textId="77777777" w:rsidR="00927CD4" w:rsidRPr="0081767E" w:rsidRDefault="00927CD4" w:rsidP="00CA7536">
            <w:pPr>
              <w:pStyle w:val="ae"/>
              <w:rPr>
                <w:sz w:val="22"/>
                <w:lang w:val="en-US"/>
              </w:rPr>
            </w:pPr>
            <w:r w:rsidRPr="00AA31AE">
              <w:rPr>
                <w:sz w:val="22"/>
                <w:lang w:val="en-US"/>
              </w:rPr>
              <w:t>0.0000</w:t>
            </w:r>
          </w:p>
        </w:tc>
        <w:tc>
          <w:tcPr>
            <w:tcW w:w="581" w:type="pct"/>
          </w:tcPr>
          <w:p w14:paraId="27BC1CBD" w14:textId="77777777" w:rsidR="00927CD4" w:rsidRPr="0081767E" w:rsidRDefault="00927CD4" w:rsidP="00CA7536">
            <w:pPr>
              <w:pStyle w:val="ae"/>
              <w:rPr>
                <w:sz w:val="22"/>
                <w:lang w:val="en-US"/>
              </w:rPr>
            </w:pPr>
            <w:r w:rsidRPr="00942E06">
              <w:rPr>
                <w:sz w:val="22"/>
                <w:lang w:val="en-US"/>
              </w:rPr>
              <w:t>0.0000</w:t>
            </w:r>
          </w:p>
        </w:tc>
        <w:tc>
          <w:tcPr>
            <w:tcW w:w="581" w:type="pct"/>
          </w:tcPr>
          <w:p w14:paraId="76A73607" w14:textId="77777777" w:rsidR="00927CD4" w:rsidRPr="0081767E" w:rsidRDefault="00927CD4" w:rsidP="00CA7536">
            <w:pPr>
              <w:pStyle w:val="ae"/>
              <w:rPr>
                <w:sz w:val="22"/>
                <w:lang w:val="en-US"/>
              </w:rPr>
            </w:pPr>
            <w:r w:rsidRPr="00942E06">
              <w:rPr>
                <w:sz w:val="22"/>
                <w:lang w:val="en-US"/>
              </w:rPr>
              <w:t>0.000</w:t>
            </w:r>
            <w:r>
              <w:rPr>
                <w:sz w:val="22"/>
                <w:lang w:val="en-US"/>
              </w:rPr>
              <w:t>0</w:t>
            </w:r>
          </w:p>
        </w:tc>
        <w:tc>
          <w:tcPr>
            <w:tcW w:w="581" w:type="pct"/>
          </w:tcPr>
          <w:p w14:paraId="07D0B3AA" w14:textId="77777777" w:rsidR="00927CD4" w:rsidRDefault="00927CD4" w:rsidP="00CA7536">
            <w:pPr>
              <w:pStyle w:val="ae"/>
              <w:rPr>
                <w:sz w:val="22"/>
                <w:lang w:val="en-US"/>
              </w:rPr>
            </w:pPr>
            <w:r w:rsidRPr="0022105D">
              <w:rPr>
                <w:sz w:val="22"/>
                <w:lang w:val="en-US"/>
              </w:rPr>
              <w:t>0.0000</w:t>
            </w:r>
          </w:p>
        </w:tc>
        <w:tc>
          <w:tcPr>
            <w:tcW w:w="581" w:type="pct"/>
          </w:tcPr>
          <w:p w14:paraId="6C8943D1" w14:textId="77777777" w:rsidR="00927CD4" w:rsidRPr="000E6712" w:rsidRDefault="00927CD4" w:rsidP="00CA7536">
            <w:pPr>
              <w:pStyle w:val="ae"/>
              <w:rPr>
                <w:sz w:val="22"/>
              </w:rPr>
            </w:pPr>
            <w:r w:rsidRPr="0016722C">
              <w:rPr>
                <w:sz w:val="22"/>
              </w:rPr>
              <w:t>0.0000</w:t>
            </w:r>
          </w:p>
        </w:tc>
        <w:tc>
          <w:tcPr>
            <w:tcW w:w="578" w:type="pct"/>
          </w:tcPr>
          <w:p w14:paraId="68FB9891" w14:textId="77777777" w:rsidR="00927CD4" w:rsidRDefault="00927CD4" w:rsidP="00CA7536">
            <w:pPr>
              <w:pStyle w:val="ae"/>
              <w:rPr>
                <w:sz w:val="22"/>
                <w:lang w:val="en-US"/>
              </w:rPr>
            </w:pPr>
            <w:r w:rsidRPr="008176C1">
              <w:rPr>
                <w:sz w:val="22"/>
                <w:lang w:val="en-US"/>
              </w:rPr>
              <w:t>0.0000</w:t>
            </w:r>
          </w:p>
        </w:tc>
      </w:tr>
      <w:tr w:rsidR="00927CD4" w:rsidRPr="008176C1" w14:paraId="0F90C853" w14:textId="77777777" w:rsidTr="00CA7536">
        <w:trPr>
          <w:trHeight w:val="885"/>
          <w:jc w:val="center"/>
        </w:trPr>
        <w:tc>
          <w:tcPr>
            <w:tcW w:w="1521" w:type="pct"/>
          </w:tcPr>
          <w:p w14:paraId="31250AB1" w14:textId="77777777" w:rsidR="00927CD4" w:rsidRPr="0081767E" w:rsidRDefault="00927CD4" w:rsidP="00CA7536">
            <w:pPr>
              <w:ind w:firstLine="0"/>
              <w:rPr>
                <w:i/>
                <w:iCs/>
                <w:lang w:val="en-US"/>
              </w:rPr>
            </w:pPr>
            <w:r w:rsidRPr="0081767E">
              <w:rPr>
                <w:i/>
                <w:iCs/>
                <w:lang w:val="en-US"/>
              </w:rPr>
              <w:t>N</w:t>
            </w:r>
          </w:p>
        </w:tc>
        <w:tc>
          <w:tcPr>
            <w:tcW w:w="577" w:type="pct"/>
          </w:tcPr>
          <w:p w14:paraId="7517E836" w14:textId="77777777" w:rsidR="00927CD4" w:rsidRPr="0011728B" w:rsidRDefault="00927CD4" w:rsidP="00CA7536">
            <w:pPr>
              <w:pStyle w:val="ae"/>
              <w:rPr>
                <w:sz w:val="22"/>
              </w:rPr>
            </w:pPr>
            <w:r>
              <w:rPr>
                <w:sz w:val="22"/>
              </w:rPr>
              <w:t>43</w:t>
            </w:r>
          </w:p>
        </w:tc>
        <w:tc>
          <w:tcPr>
            <w:tcW w:w="581" w:type="pct"/>
          </w:tcPr>
          <w:p w14:paraId="31345D7F" w14:textId="77777777" w:rsidR="00927CD4" w:rsidRPr="00942E06" w:rsidRDefault="00927CD4" w:rsidP="00CA7536">
            <w:pPr>
              <w:pStyle w:val="ae"/>
              <w:rPr>
                <w:sz w:val="22"/>
              </w:rPr>
            </w:pPr>
            <w:r>
              <w:rPr>
                <w:sz w:val="22"/>
              </w:rPr>
              <w:t>43</w:t>
            </w:r>
          </w:p>
        </w:tc>
        <w:tc>
          <w:tcPr>
            <w:tcW w:w="581" w:type="pct"/>
          </w:tcPr>
          <w:p w14:paraId="40F3B0F8" w14:textId="77777777" w:rsidR="00927CD4" w:rsidRPr="00942E06" w:rsidRDefault="00927CD4" w:rsidP="00CA7536">
            <w:pPr>
              <w:pStyle w:val="ae"/>
              <w:rPr>
                <w:sz w:val="22"/>
              </w:rPr>
            </w:pPr>
            <w:r>
              <w:rPr>
                <w:sz w:val="22"/>
              </w:rPr>
              <w:t>43</w:t>
            </w:r>
          </w:p>
        </w:tc>
        <w:tc>
          <w:tcPr>
            <w:tcW w:w="581" w:type="pct"/>
          </w:tcPr>
          <w:p w14:paraId="5FD90025" w14:textId="77777777" w:rsidR="00927CD4" w:rsidRPr="0022105D" w:rsidRDefault="00927CD4" w:rsidP="00CA7536">
            <w:pPr>
              <w:pStyle w:val="ae"/>
              <w:rPr>
                <w:sz w:val="22"/>
              </w:rPr>
            </w:pPr>
            <w:r>
              <w:rPr>
                <w:sz w:val="22"/>
              </w:rPr>
              <w:t>77</w:t>
            </w:r>
          </w:p>
        </w:tc>
        <w:tc>
          <w:tcPr>
            <w:tcW w:w="581" w:type="pct"/>
          </w:tcPr>
          <w:p w14:paraId="22E7746B" w14:textId="77777777" w:rsidR="00927CD4" w:rsidRPr="000E6712" w:rsidRDefault="00927CD4" w:rsidP="00CA7536">
            <w:pPr>
              <w:pStyle w:val="ae"/>
              <w:rPr>
                <w:sz w:val="22"/>
              </w:rPr>
            </w:pPr>
            <w:r>
              <w:rPr>
                <w:sz w:val="22"/>
              </w:rPr>
              <w:t>77</w:t>
            </w:r>
          </w:p>
        </w:tc>
        <w:tc>
          <w:tcPr>
            <w:tcW w:w="578" w:type="pct"/>
          </w:tcPr>
          <w:p w14:paraId="2469F2B5" w14:textId="77777777" w:rsidR="00927CD4" w:rsidRPr="008176C1" w:rsidRDefault="00927CD4" w:rsidP="00CA7536">
            <w:pPr>
              <w:pStyle w:val="ae"/>
              <w:rPr>
                <w:sz w:val="22"/>
              </w:rPr>
            </w:pPr>
            <w:r>
              <w:rPr>
                <w:sz w:val="22"/>
              </w:rPr>
              <w:t>77</w:t>
            </w:r>
          </w:p>
        </w:tc>
      </w:tr>
      <w:tr w:rsidR="00927CD4" w14:paraId="548F57A1" w14:textId="77777777" w:rsidTr="00CA7536">
        <w:trPr>
          <w:trHeight w:val="885"/>
          <w:jc w:val="center"/>
        </w:trPr>
        <w:tc>
          <w:tcPr>
            <w:tcW w:w="1521" w:type="pct"/>
          </w:tcPr>
          <w:p w14:paraId="4061BEF7" w14:textId="77777777" w:rsidR="00927CD4" w:rsidRPr="0081767E" w:rsidRDefault="00927CD4" w:rsidP="00CA7536">
            <w:pPr>
              <w:ind w:firstLine="0"/>
              <w:rPr>
                <w:i/>
                <w:iCs/>
                <w:lang w:val="en-US"/>
              </w:rPr>
            </w:pPr>
            <w:r w:rsidRPr="0081767E">
              <w:rPr>
                <w:i/>
                <w:iCs/>
              </w:rPr>
              <w:t>Тип модели(сквозная</w:t>
            </w:r>
            <w:r w:rsidRPr="0081767E">
              <w:rPr>
                <w:i/>
                <w:iCs/>
                <w:lang w:val="en-US"/>
              </w:rPr>
              <w:t>/fe/re)</w:t>
            </w:r>
          </w:p>
        </w:tc>
        <w:tc>
          <w:tcPr>
            <w:tcW w:w="577" w:type="pct"/>
          </w:tcPr>
          <w:p w14:paraId="00E7E705" w14:textId="77777777" w:rsidR="00927CD4" w:rsidRPr="0081767E" w:rsidRDefault="00927CD4" w:rsidP="00CA7536">
            <w:pPr>
              <w:pStyle w:val="ae"/>
              <w:rPr>
                <w:sz w:val="22"/>
                <w:lang w:val="en-US"/>
              </w:rPr>
            </w:pPr>
            <w:r>
              <w:rPr>
                <w:sz w:val="22"/>
                <w:lang w:val="en-US"/>
              </w:rPr>
              <w:t>re</w:t>
            </w:r>
          </w:p>
        </w:tc>
        <w:tc>
          <w:tcPr>
            <w:tcW w:w="581" w:type="pct"/>
          </w:tcPr>
          <w:p w14:paraId="5B9663C3" w14:textId="77777777" w:rsidR="00927CD4" w:rsidRPr="0081767E" w:rsidRDefault="00927CD4" w:rsidP="00CA7536">
            <w:pPr>
              <w:pStyle w:val="ae"/>
              <w:rPr>
                <w:sz w:val="22"/>
                <w:lang w:val="en-US"/>
              </w:rPr>
            </w:pPr>
            <w:r>
              <w:rPr>
                <w:sz w:val="22"/>
                <w:lang w:val="en-US"/>
              </w:rPr>
              <w:t>re</w:t>
            </w:r>
          </w:p>
        </w:tc>
        <w:tc>
          <w:tcPr>
            <w:tcW w:w="581" w:type="pct"/>
          </w:tcPr>
          <w:p w14:paraId="337E0B7B" w14:textId="77777777" w:rsidR="00927CD4" w:rsidRPr="0081767E" w:rsidRDefault="00927CD4" w:rsidP="00CA7536">
            <w:pPr>
              <w:pStyle w:val="ae"/>
              <w:rPr>
                <w:sz w:val="22"/>
                <w:lang w:val="en-US"/>
              </w:rPr>
            </w:pPr>
            <w:r>
              <w:rPr>
                <w:sz w:val="22"/>
                <w:lang w:val="en-US"/>
              </w:rPr>
              <w:t>re</w:t>
            </w:r>
          </w:p>
        </w:tc>
        <w:tc>
          <w:tcPr>
            <w:tcW w:w="581" w:type="pct"/>
          </w:tcPr>
          <w:p w14:paraId="058B323F" w14:textId="77777777" w:rsidR="00927CD4" w:rsidRDefault="00927CD4" w:rsidP="00CA7536">
            <w:pPr>
              <w:pStyle w:val="ae"/>
              <w:rPr>
                <w:sz w:val="22"/>
                <w:lang w:val="en-US"/>
              </w:rPr>
            </w:pPr>
            <w:r>
              <w:rPr>
                <w:sz w:val="22"/>
                <w:lang w:val="en-US"/>
              </w:rPr>
              <w:t>re</w:t>
            </w:r>
          </w:p>
        </w:tc>
        <w:tc>
          <w:tcPr>
            <w:tcW w:w="581" w:type="pct"/>
          </w:tcPr>
          <w:p w14:paraId="48135614" w14:textId="77777777" w:rsidR="00927CD4" w:rsidRDefault="00927CD4" w:rsidP="00CA7536">
            <w:pPr>
              <w:pStyle w:val="ae"/>
              <w:rPr>
                <w:sz w:val="22"/>
                <w:lang w:val="en-US"/>
              </w:rPr>
            </w:pPr>
            <w:r>
              <w:rPr>
                <w:sz w:val="22"/>
                <w:lang w:val="en-US"/>
              </w:rPr>
              <w:t>re</w:t>
            </w:r>
          </w:p>
        </w:tc>
        <w:tc>
          <w:tcPr>
            <w:tcW w:w="578" w:type="pct"/>
          </w:tcPr>
          <w:p w14:paraId="28DA2A23" w14:textId="77777777" w:rsidR="00927CD4" w:rsidRDefault="00927CD4" w:rsidP="00CA7536">
            <w:pPr>
              <w:pStyle w:val="ae"/>
              <w:rPr>
                <w:sz w:val="22"/>
                <w:lang w:val="en-US"/>
              </w:rPr>
            </w:pPr>
            <w:r>
              <w:rPr>
                <w:sz w:val="22"/>
                <w:lang w:val="en-US"/>
              </w:rPr>
              <w:t>re</w:t>
            </w:r>
          </w:p>
        </w:tc>
      </w:tr>
    </w:tbl>
    <w:p w14:paraId="1A21B04E" w14:textId="77777777" w:rsidR="00927CD4" w:rsidRDefault="00927CD4" w:rsidP="00927CD4">
      <w:pPr>
        <w:ind w:firstLine="0"/>
      </w:pPr>
    </w:p>
    <w:p w14:paraId="19755AA2" w14:textId="15FD5B2D" w:rsidR="00927CD4" w:rsidRDefault="00927CD4" w:rsidP="00927CD4">
      <w:r>
        <w:t>Для российского рынка снова оказался значима переменная, отвечающая за размер компании с положительным знаком, то есть негативная реакция на «плохой сюрприз» будет слабее для компаний с капитализацией ниже среднего. Это аналогично можно объяснить тем, что компании с низкой капитализацией обычно молодые и небольшие, и платят дивиденды меньшего размера, чем, например, гиганты из нефтегазовой отрасли, в связи с чем реакция на их дивиденды не столь выраженная.</w:t>
      </w:r>
    </w:p>
    <w:p w14:paraId="4622B877" w14:textId="77777777" w:rsidR="00927CD4" w:rsidRDefault="00927CD4" w:rsidP="00927CD4">
      <w:r>
        <w:t xml:space="preserve">Для случая «плохого сюрприза» по российскому рынку вновь был получен положительный коэффициент при переменной </w:t>
      </w:r>
      <w:r>
        <w:rPr>
          <w:lang w:val="en-US"/>
        </w:rPr>
        <w:t xml:space="preserve">div_yield: </w:t>
      </w:r>
      <w:r>
        <w:t xml:space="preserve">можно заключить, что чем больше дивидендная доходность у акций, тем лучше будет реакция рынка на объявление дивидендов, независимо от того, будет это объявление «плохим» или «хорошим» сюрпризом. В то же время по китайской выборке был получен противоположный результат, то есть чем больше у акций дивидендная доходность, тем хуже будет реакция на «негативный сюрприз». Данный результат подтверждает выдвинутую гипотзу «эффекта клиента». </w:t>
      </w:r>
    </w:p>
    <w:p w14:paraId="3D0B8F3D" w14:textId="77777777" w:rsidR="00927CD4" w:rsidRDefault="00927CD4" w:rsidP="00927CD4">
      <w:r>
        <w:t>Противоположные результаты по росийской и китайской выборкам можно объяснить разницей в средней дивидендной доходности для обеих. Исходя из описательной статистики, среднее значение ожидаемой дивидедндной доходности в российской выборке составляет 7,25% против 1,7% в китайской выборке. Средняя дивидендная доходность в России в течение наблюдаемого периода была одной из самых высоких в мире, а в 2019 г. стала лидером среди всех стран. Вполне возможно, именно поэтому реакция на негативный сюрприз в России снижается по мере увеличения дивидендной доходности, поскольку даже с учетом неоправдавшихся ожиданий инвесторов они все равно получают неплохой дивидедндый доход.</w:t>
      </w:r>
    </w:p>
    <w:p w14:paraId="7F82E11C" w14:textId="77777777" w:rsidR="00927CD4" w:rsidRDefault="00927CD4" w:rsidP="00927CD4">
      <w:r>
        <w:t xml:space="preserve">Коэффициент при </w:t>
      </w:r>
      <w:r>
        <w:rPr>
          <w:lang w:val="en-US"/>
        </w:rPr>
        <w:t xml:space="preserve">P_BV </w:t>
      </w:r>
      <w:r>
        <w:t xml:space="preserve">для России по-прежнему остается негативным, то есть чем больше у компании возможности роста (измеренные через </w:t>
      </w:r>
      <w:r>
        <w:rPr>
          <w:lang w:val="en-US"/>
        </w:rPr>
        <w:t xml:space="preserve">P_BV), </w:t>
      </w:r>
      <w:r>
        <w:t xml:space="preserve">тем хуже ценовая реакция на любые объявления дивидендов, независимо от того, выше они или ниже консенсуса. </w:t>
      </w:r>
    </w:p>
    <w:p w14:paraId="5B02FA16" w14:textId="77777777" w:rsidR="00927CD4" w:rsidRDefault="00927CD4" w:rsidP="00927CD4">
      <w:r>
        <w:t xml:space="preserve">Коэффициент при </w:t>
      </w:r>
      <w:r>
        <w:rPr>
          <w:lang w:val="en-US"/>
        </w:rPr>
        <w:t xml:space="preserve">DPS_surprise, </w:t>
      </w:r>
      <w:r>
        <w:t>отражающий величину негативного дивидендного сюрприза, взятого по модулю, получился отрицательным для Китая на 1%-м уровне значимости. Данный результат подвтерждает гипотезу о том, что чем больше дивиденд расходится с прогнозом, тем больше информации он содержит для инвесторов, и тем негативнее реагирует рынок. На российском рынке данная переменная оказаалсь незначима.</w:t>
      </w:r>
    </w:p>
    <w:p w14:paraId="1C411535" w14:textId="77777777" w:rsidR="00927CD4" w:rsidRDefault="00927CD4" w:rsidP="00927CD4">
      <w:r>
        <w:t xml:space="preserve">Коэффициент при </w:t>
      </w:r>
      <w:r>
        <w:rPr>
          <w:lang w:val="en-US"/>
        </w:rPr>
        <w:t xml:space="preserve">EPS_surprise, </w:t>
      </w:r>
      <w:r>
        <w:t>отражающий ошибку прогноза</w:t>
      </w:r>
      <w:r>
        <w:rPr>
          <w:lang w:val="en-US"/>
        </w:rPr>
        <w:t xml:space="preserve"> </w:t>
      </w:r>
      <w:r>
        <w:t>по ранее объявленной прибыли, взятой по модулю, вопреки ожиданиям, оказался положительным, то есть реакция рынка на негативный дивидедный сюрприз будет лучше для компаний с большой ошибкой прогноза. Можно предположить, что в компаниях с большой ошибкой прогноза прибыли имеет место большая информационная ассиметрия, и следовательно, неопределенность инвесторов в отношении будущих денежных потоках таких компаний. Объявления дивидендов, даже если они меньше консесуса, служат дополнительным источником информации для акционеров таких компаний, и поэтому вызывают менее негативную реакцию, чем в случае крупных фирм с меньшей информационной ассиметрией.</w:t>
      </w:r>
    </w:p>
    <w:p w14:paraId="07D7455C" w14:textId="77777777" w:rsidR="00927CD4" w:rsidRDefault="00927CD4" w:rsidP="00927CD4">
      <w:r>
        <w:t xml:space="preserve">В китайской выборке также оказалась значимой переменная </w:t>
      </w:r>
      <w:r>
        <w:rPr>
          <w:lang w:val="en-US"/>
        </w:rPr>
        <w:t xml:space="preserve">state_control, </w:t>
      </w:r>
      <w:r>
        <w:t xml:space="preserve">которая отвечает за факт контроля государства над компанией (доля голосующих акций&gt; </w:t>
      </w:r>
      <w:r>
        <w:rPr>
          <w:lang w:val="en-US"/>
        </w:rPr>
        <w:t>50%)</w:t>
      </w:r>
      <w:r>
        <w:t xml:space="preserve"> с коэффициентом -0,034 на 10%-ом уровне значимости. Это позволяет принять гипотезу о том, что реакция на дивидедные сюрпризы будет более выраженной для госкомпаний. В Китае государственные компании в среднем платят дивиденды больше, чем частные </w:t>
      </w:r>
      <w:r w:rsidRPr="00F536D3">
        <w:t>(</w:t>
      </w:r>
      <w:r>
        <w:t>Ванг Х. и др.,</w:t>
      </w:r>
      <w:r w:rsidRPr="00F536D3">
        <w:t xml:space="preserve"> 2010</w:t>
      </w:r>
      <w:r>
        <w:t>, Вэй Д. и др</w:t>
      </w:r>
      <w:r>
        <w:rPr>
          <w:lang w:val="en-US"/>
        </w:rPr>
        <w:t>.,</w:t>
      </w:r>
      <w:r>
        <w:t xml:space="preserve"> 2004</w:t>
      </w:r>
      <w:r w:rsidRPr="00F536D3">
        <w:t>)</w:t>
      </w:r>
      <w:r>
        <w:rPr>
          <w:lang w:val="en-US"/>
        </w:rPr>
        <w:t xml:space="preserve">, </w:t>
      </w:r>
      <w:r>
        <w:t>поэтому в силу «эффекта клиента», скорее всего, акционеры таких компаний рассчитывают на высокую дивидендную доходность, и не получив ее на том уровне, который ожидался, сильно разочаровываются, что и отражается в доходности акций.</w:t>
      </w:r>
    </w:p>
    <w:p w14:paraId="688C8940" w14:textId="77777777" w:rsidR="00927CD4" w:rsidRDefault="00927CD4" w:rsidP="00927CD4">
      <w:r>
        <w:t xml:space="preserve">На выборке китайских компаний также оказалась значимой переменная </w:t>
      </w:r>
      <w:r>
        <w:rPr>
          <w:lang w:val="en-US"/>
        </w:rPr>
        <w:t>Low_volatility</w:t>
      </w:r>
      <w:r>
        <w:t xml:space="preserve"> с положительным коэффициентом 0,43 на 10%-м уровне значимости. Это говорит о том, что в среднем при прочих равных во времена, когда на рынке наблюдается волатильность ниже среднего, инвесторы недооценивают событие с объявлением дивидендов (</w:t>
      </w:r>
      <w:r>
        <w:rPr>
          <w:lang w:val="en-US"/>
        </w:rPr>
        <w:t xml:space="preserve">“underreact”) </w:t>
      </w:r>
      <w:r>
        <w:t>ниже прогноза и наблюдается менее выраженная негативная реакция. Это соотносится с моделью Veronesi (1999), в рамках которой степень реакции рынка на то или иное событие связывается со степенью неопределенности на рынке, которую можно измерить волатильностью доходности рыночного индекса.</w:t>
      </w:r>
    </w:p>
    <w:p w14:paraId="727A4A3E" w14:textId="77777777" w:rsidR="00927CD4" w:rsidRDefault="00927CD4" w:rsidP="00927CD4"/>
    <w:p w14:paraId="587F1F3D" w14:textId="3BF4958E" w:rsidR="00927CD4" w:rsidRDefault="00927CD4" w:rsidP="00927CD4">
      <w:r>
        <w:t>В таблицах 15 и 16 представлены результаты регрессионного анализа относительно выдвинутых гипотез только в отношении тех факторов, которые оказались значимы хотя бы для одного из рынков.</w:t>
      </w:r>
    </w:p>
    <w:p w14:paraId="2799C261" w14:textId="77777777" w:rsidR="00927CD4" w:rsidRPr="00927CD4" w:rsidRDefault="00927CD4" w:rsidP="00927CD4"/>
    <w:p w14:paraId="4AC0C006" w14:textId="77777777" w:rsidR="00AE3F9C" w:rsidRDefault="00AE3F9C" w:rsidP="00AE3F9C">
      <w:pPr>
        <w:pStyle w:val="a"/>
      </w:pPr>
      <w:r>
        <w:t>Сравнение результатов для негативного дивидендного сюрприза (</w:t>
      </w:r>
      <w:r w:rsidRPr="00D03D5D">
        <w:t xml:space="preserve">объявленный дивиденд </w:t>
      </w:r>
      <w:r>
        <w:t>ниже</w:t>
      </w:r>
      <w:r w:rsidRPr="00D03D5D">
        <w:t xml:space="preserve"> прогноз</w:t>
      </w:r>
      <w:r>
        <w:t>а</w:t>
      </w:r>
      <w:r w:rsidRPr="00D03D5D">
        <w:t xml:space="preserve"> более чем на 5%)</w:t>
      </w:r>
    </w:p>
    <w:tbl>
      <w:tblPr>
        <w:tblStyle w:val="ad"/>
        <w:tblW w:w="0" w:type="auto"/>
        <w:tblLook w:val="04A0" w:firstRow="1" w:lastRow="0" w:firstColumn="1" w:lastColumn="0" w:noHBand="0" w:noVBand="1"/>
      </w:tblPr>
      <w:tblGrid>
        <w:gridCol w:w="2350"/>
        <w:gridCol w:w="2358"/>
        <w:gridCol w:w="2361"/>
        <w:gridCol w:w="2361"/>
      </w:tblGrid>
      <w:tr w:rsidR="00AE3F9C" w14:paraId="76842C04" w14:textId="77777777" w:rsidTr="00232BEF">
        <w:tc>
          <w:tcPr>
            <w:tcW w:w="2392" w:type="dxa"/>
          </w:tcPr>
          <w:p w14:paraId="5F939153" w14:textId="77777777" w:rsidR="00AE3F9C" w:rsidRDefault="00AE3F9C" w:rsidP="00232BEF">
            <w:pPr>
              <w:pStyle w:val="ac"/>
            </w:pPr>
            <w:r>
              <w:t>Фактор</w:t>
            </w:r>
          </w:p>
        </w:tc>
        <w:tc>
          <w:tcPr>
            <w:tcW w:w="2393" w:type="dxa"/>
          </w:tcPr>
          <w:p w14:paraId="3B3B139D" w14:textId="77777777" w:rsidR="00AE3F9C" w:rsidRPr="00774AD9" w:rsidRDefault="00AE3F9C" w:rsidP="00232BEF">
            <w:pPr>
              <w:pStyle w:val="ac"/>
              <w:rPr>
                <w:lang w:val="en-US"/>
              </w:rPr>
            </w:pPr>
            <w:r>
              <w:t>Гипотеза</w:t>
            </w:r>
          </w:p>
        </w:tc>
        <w:tc>
          <w:tcPr>
            <w:tcW w:w="2393" w:type="dxa"/>
          </w:tcPr>
          <w:p w14:paraId="646C4E8A" w14:textId="77777777" w:rsidR="00AE3F9C" w:rsidRPr="00774AD9" w:rsidRDefault="00AE3F9C" w:rsidP="00232BEF">
            <w:pPr>
              <w:pStyle w:val="ac"/>
            </w:pPr>
            <w:r>
              <w:t>Эмпирический результат (Россия)</w:t>
            </w:r>
            <w:r>
              <w:rPr>
                <w:lang w:val="en-US"/>
              </w:rPr>
              <w:t xml:space="preserve"> </w:t>
            </w:r>
          </w:p>
        </w:tc>
        <w:tc>
          <w:tcPr>
            <w:tcW w:w="2393" w:type="dxa"/>
          </w:tcPr>
          <w:p w14:paraId="2A0E028A" w14:textId="77777777" w:rsidR="00AE3F9C" w:rsidRDefault="00AE3F9C" w:rsidP="00232BEF">
            <w:pPr>
              <w:pStyle w:val="ac"/>
            </w:pPr>
            <w:r>
              <w:t>Эмпирический результат (Китай)</w:t>
            </w:r>
          </w:p>
        </w:tc>
      </w:tr>
      <w:tr w:rsidR="00AE3F9C" w14:paraId="6790FC7C" w14:textId="77777777" w:rsidTr="00232BEF">
        <w:tc>
          <w:tcPr>
            <w:tcW w:w="9571" w:type="dxa"/>
            <w:gridSpan w:val="4"/>
          </w:tcPr>
          <w:p w14:paraId="47998505" w14:textId="77777777" w:rsidR="00AE3F9C" w:rsidRPr="00831B91" w:rsidRDefault="00AE3F9C" w:rsidP="00232BEF">
            <w:pPr>
              <w:pStyle w:val="ae"/>
              <w:jc w:val="center"/>
              <w:rPr>
                <w:b/>
                <w:bCs/>
                <w:sz w:val="24"/>
                <w:szCs w:val="24"/>
              </w:rPr>
            </w:pPr>
            <w:r w:rsidRPr="00831B91">
              <w:rPr>
                <w:b/>
                <w:bCs/>
                <w:sz w:val="24"/>
                <w:szCs w:val="24"/>
              </w:rPr>
              <w:t>Сигнальная теория</w:t>
            </w:r>
          </w:p>
        </w:tc>
      </w:tr>
      <w:tr w:rsidR="00927CD4" w14:paraId="51C63149" w14:textId="77777777" w:rsidTr="00232BEF">
        <w:tc>
          <w:tcPr>
            <w:tcW w:w="2392" w:type="dxa"/>
          </w:tcPr>
          <w:p w14:paraId="0BBF76AD" w14:textId="353B4288" w:rsidR="00927CD4" w:rsidRPr="005C1A19" w:rsidRDefault="00927CD4" w:rsidP="00927CD4">
            <w:pPr>
              <w:pStyle w:val="ae"/>
            </w:pPr>
            <w:r>
              <w:t xml:space="preserve">Размер компании </w:t>
            </w:r>
          </w:p>
        </w:tc>
        <w:tc>
          <w:tcPr>
            <w:tcW w:w="2393" w:type="dxa"/>
          </w:tcPr>
          <w:p w14:paraId="4B387AA7" w14:textId="3D7427E9" w:rsidR="00927CD4" w:rsidRPr="001B200E" w:rsidRDefault="00927CD4" w:rsidP="00927CD4">
            <w:pPr>
              <w:pStyle w:val="ae"/>
            </w:pPr>
            <w:r>
              <w:t>Чем меньше компания, тем сильнее реакция</w:t>
            </w:r>
          </w:p>
        </w:tc>
        <w:tc>
          <w:tcPr>
            <w:tcW w:w="2393" w:type="dxa"/>
          </w:tcPr>
          <w:p w14:paraId="50C62E29" w14:textId="2C2BDA95" w:rsidR="00927CD4" w:rsidRPr="001B200E" w:rsidRDefault="00927CD4" w:rsidP="00927CD4">
            <w:pPr>
              <w:pStyle w:val="ae"/>
            </w:pPr>
            <w:r>
              <w:t>Чем меньше компания, тем слабее реакция</w:t>
            </w:r>
          </w:p>
        </w:tc>
        <w:tc>
          <w:tcPr>
            <w:tcW w:w="2393" w:type="dxa"/>
          </w:tcPr>
          <w:p w14:paraId="5DE5BE66" w14:textId="296D3DCD" w:rsidR="00927CD4" w:rsidRDefault="00927CD4" w:rsidP="00927CD4">
            <w:pPr>
              <w:pStyle w:val="ae"/>
            </w:pPr>
            <w:r>
              <w:t>Чем меньше компания, тем слабее реакция</w:t>
            </w:r>
          </w:p>
        </w:tc>
      </w:tr>
      <w:tr w:rsidR="00AE3F9C" w14:paraId="201AC659" w14:textId="77777777" w:rsidTr="00232BEF">
        <w:tc>
          <w:tcPr>
            <w:tcW w:w="2392" w:type="dxa"/>
          </w:tcPr>
          <w:p w14:paraId="403321ED" w14:textId="77777777" w:rsidR="00AE3F9C" w:rsidRPr="005C1A19" w:rsidRDefault="00AE3F9C" w:rsidP="00232BEF">
            <w:pPr>
              <w:pStyle w:val="ae"/>
            </w:pPr>
            <w:r w:rsidRPr="005C1A19">
              <w:t>Величина дивидендного «сюрприза», взятая по модулю</w:t>
            </w:r>
          </w:p>
        </w:tc>
        <w:tc>
          <w:tcPr>
            <w:tcW w:w="2393" w:type="dxa"/>
          </w:tcPr>
          <w:p w14:paraId="04A944C3" w14:textId="77777777" w:rsidR="00AE3F9C" w:rsidRPr="001B200E" w:rsidRDefault="00AE3F9C" w:rsidP="00232BEF">
            <w:pPr>
              <w:pStyle w:val="ae"/>
            </w:pPr>
            <w:r w:rsidRPr="001B200E">
              <w:t>Чем больше негативный сюрприз, тем хуже реакция</w:t>
            </w:r>
          </w:p>
        </w:tc>
        <w:tc>
          <w:tcPr>
            <w:tcW w:w="2393" w:type="dxa"/>
          </w:tcPr>
          <w:p w14:paraId="6CBFA123" w14:textId="77777777" w:rsidR="00AE3F9C" w:rsidRPr="001B200E" w:rsidRDefault="00AE3F9C" w:rsidP="00232BEF">
            <w:pPr>
              <w:pStyle w:val="ae"/>
            </w:pPr>
            <w:r w:rsidRPr="001B200E">
              <w:t>Не получено значимых результатов</w:t>
            </w:r>
          </w:p>
        </w:tc>
        <w:tc>
          <w:tcPr>
            <w:tcW w:w="2393" w:type="dxa"/>
          </w:tcPr>
          <w:p w14:paraId="0E95B3AE" w14:textId="77777777" w:rsidR="00AE3F9C" w:rsidRPr="001B200E" w:rsidRDefault="00AE3F9C" w:rsidP="00232BEF">
            <w:pPr>
              <w:pStyle w:val="ae"/>
            </w:pPr>
            <w:r>
              <w:t>Гипотеза п</w:t>
            </w:r>
            <w:r w:rsidRPr="001B200E">
              <w:t>одтвердилась</w:t>
            </w:r>
          </w:p>
        </w:tc>
      </w:tr>
      <w:tr w:rsidR="00AE3F9C" w14:paraId="0BB40430" w14:textId="77777777" w:rsidTr="00232BEF">
        <w:tc>
          <w:tcPr>
            <w:tcW w:w="2392" w:type="dxa"/>
          </w:tcPr>
          <w:p w14:paraId="3E37F749" w14:textId="77777777" w:rsidR="00AE3F9C" w:rsidRPr="005C1A19" w:rsidRDefault="00AE3F9C" w:rsidP="00232BEF">
            <w:pPr>
              <w:pStyle w:val="ae"/>
            </w:pPr>
            <w:r w:rsidRPr="005C1A19">
              <w:t>Величина ошибки прогноза по прибыли, взятая по модулю</w:t>
            </w:r>
          </w:p>
        </w:tc>
        <w:tc>
          <w:tcPr>
            <w:tcW w:w="2393" w:type="dxa"/>
          </w:tcPr>
          <w:p w14:paraId="041672C8" w14:textId="77777777" w:rsidR="00AE3F9C" w:rsidRPr="001B200E" w:rsidRDefault="00AE3F9C" w:rsidP="00232BEF">
            <w:pPr>
              <w:pStyle w:val="ae"/>
            </w:pPr>
            <w:r>
              <w:t>Чем больше ошибка прогноза прибыли, тем хуже реакция</w:t>
            </w:r>
          </w:p>
        </w:tc>
        <w:tc>
          <w:tcPr>
            <w:tcW w:w="2393" w:type="dxa"/>
          </w:tcPr>
          <w:p w14:paraId="6C3E0C2A" w14:textId="77777777" w:rsidR="00AE3F9C" w:rsidRPr="001B200E" w:rsidRDefault="00AE3F9C" w:rsidP="00232BEF">
            <w:pPr>
              <w:pStyle w:val="ae"/>
            </w:pPr>
            <w:r w:rsidRPr="001B200E">
              <w:t>незначима</w:t>
            </w:r>
          </w:p>
        </w:tc>
        <w:tc>
          <w:tcPr>
            <w:tcW w:w="2393" w:type="dxa"/>
          </w:tcPr>
          <w:p w14:paraId="2365993A" w14:textId="77777777" w:rsidR="00AE3F9C" w:rsidRPr="001B200E" w:rsidRDefault="00AE3F9C" w:rsidP="00232BEF">
            <w:pPr>
              <w:pStyle w:val="ae"/>
            </w:pPr>
            <w:r>
              <w:t>Чем больше ошибка прогноза прибыли, тем лучше реакция</w:t>
            </w:r>
          </w:p>
        </w:tc>
      </w:tr>
      <w:tr w:rsidR="00AE3F9C" w14:paraId="7BE29444" w14:textId="77777777" w:rsidTr="00232BEF">
        <w:tc>
          <w:tcPr>
            <w:tcW w:w="9571" w:type="dxa"/>
            <w:gridSpan w:val="4"/>
          </w:tcPr>
          <w:p w14:paraId="14116F2C" w14:textId="77777777" w:rsidR="00AE3F9C" w:rsidRDefault="00AE3F9C" w:rsidP="00232BEF">
            <w:pPr>
              <w:pStyle w:val="ae"/>
              <w:jc w:val="center"/>
              <w:rPr>
                <w:sz w:val="24"/>
                <w:szCs w:val="24"/>
              </w:rPr>
            </w:pPr>
            <w:r w:rsidRPr="00C233BB">
              <w:rPr>
                <w:b/>
                <w:bCs/>
                <w:sz w:val="24"/>
                <w:szCs w:val="24"/>
              </w:rPr>
              <w:t>Теория свободного денежного потока</w:t>
            </w:r>
          </w:p>
        </w:tc>
      </w:tr>
      <w:tr w:rsidR="00AE3F9C" w14:paraId="35006561" w14:textId="77777777" w:rsidTr="00232BEF">
        <w:tc>
          <w:tcPr>
            <w:tcW w:w="2392" w:type="dxa"/>
          </w:tcPr>
          <w:p w14:paraId="3E5EF821" w14:textId="77777777" w:rsidR="00AE3F9C" w:rsidRPr="00DE7E80" w:rsidRDefault="00AE3F9C" w:rsidP="00232BEF">
            <w:pPr>
              <w:pStyle w:val="ae"/>
            </w:pPr>
            <w:r w:rsidRPr="00DE7E80">
              <w:t>P_BV</w:t>
            </w:r>
          </w:p>
        </w:tc>
        <w:tc>
          <w:tcPr>
            <w:tcW w:w="2393" w:type="dxa"/>
          </w:tcPr>
          <w:p w14:paraId="5C61D48A" w14:textId="77777777" w:rsidR="00AE3F9C" w:rsidRPr="00DE7E80" w:rsidRDefault="00AE3F9C" w:rsidP="00232BEF">
            <w:pPr>
              <w:pStyle w:val="ae"/>
            </w:pPr>
            <w:r w:rsidRPr="00DE7E80">
              <w:t>Чем больше P_BV, тем лучше реакция</w:t>
            </w:r>
          </w:p>
        </w:tc>
        <w:tc>
          <w:tcPr>
            <w:tcW w:w="2393" w:type="dxa"/>
          </w:tcPr>
          <w:p w14:paraId="3023A812" w14:textId="77777777" w:rsidR="00AE3F9C" w:rsidRPr="00DE7E80" w:rsidRDefault="00AE3F9C" w:rsidP="00232BEF">
            <w:pPr>
              <w:pStyle w:val="ae"/>
            </w:pPr>
            <w:r w:rsidRPr="00DE7E80">
              <w:t>Чем больше P_BV, тем хуже реакция</w:t>
            </w:r>
          </w:p>
        </w:tc>
        <w:tc>
          <w:tcPr>
            <w:tcW w:w="2393" w:type="dxa"/>
          </w:tcPr>
          <w:p w14:paraId="62F390A1" w14:textId="77777777" w:rsidR="00AE3F9C" w:rsidRPr="00DE7E80" w:rsidRDefault="00AE3F9C" w:rsidP="00232BEF">
            <w:pPr>
              <w:pStyle w:val="ae"/>
            </w:pPr>
            <w:r w:rsidRPr="00DE7E80">
              <w:t>незначима</w:t>
            </w:r>
          </w:p>
        </w:tc>
      </w:tr>
      <w:tr w:rsidR="00AE3F9C" w14:paraId="43E63F5B" w14:textId="77777777" w:rsidTr="00232BEF">
        <w:tc>
          <w:tcPr>
            <w:tcW w:w="9571" w:type="dxa"/>
            <w:gridSpan w:val="4"/>
          </w:tcPr>
          <w:p w14:paraId="6B3DFB80" w14:textId="77777777" w:rsidR="00AE3F9C" w:rsidRPr="00017002" w:rsidRDefault="00AE3F9C" w:rsidP="00232BEF">
            <w:pPr>
              <w:pStyle w:val="ae"/>
              <w:jc w:val="center"/>
              <w:rPr>
                <w:sz w:val="24"/>
                <w:szCs w:val="24"/>
              </w:rPr>
            </w:pPr>
            <w:r w:rsidRPr="00017002">
              <w:rPr>
                <w:b/>
                <w:bCs/>
                <w:sz w:val="24"/>
                <w:szCs w:val="24"/>
              </w:rPr>
              <w:t>Теория «эффекта клиента»</w:t>
            </w:r>
          </w:p>
        </w:tc>
      </w:tr>
      <w:tr w:rsidR="00AE3F9C" w14:paraId="2ACF8E35" w14:textId="77777777" w:rsidTr="00232BEF">
        <w:tc>
          <w:tcPr>
            <w:tcW w:w="2392" w:type="dxa"/>
          </w:tcPr>
          <w:p w14:paraId="73196896" w14:textId="77777777" w:rsidR="00AE3F9C" w:rsidRPr="00DE7E80" w:rsidRDefault="00AE3F9C" w:rsidP="00232BEF">
            <w:pPr>
              <w:pStyle w:val="ae"/>
            </w:pPr>
            <w:r w:rsidRPr="00DE7E80">
              <w:t>Ожидаемая дивидендная доходность</w:t>
            </w:r>
          </w:p>
        </w:tc>
        <w:tc>
          <w:tcPr>
            <w:tcW w:w="2393" w:type="dxa"/>
          </w:tcPr>
          <w:p w14:paraId="30CE3D3A" w14:textId="01784FE3" w:rsidR="00AE3F9C" w:rsidRPr="00DE7E80" w:rsidRDefault="00AE3F9C" w:rsidP="00232BEF">
            <w:pPr>
              <w:pStyle w:val="ae"/>
            </w:pPr>
            <w:r w:rsidRPr="00DE7E80">
              <w:t xml:space="preserve">Чем больше ожидаемая </w:t>
            </w:r>
            <w:r w:rsidR="002965E1" w:rsidRPr="00DE7E80">
              <w:t>дивидендная</w:t>
            </w:r>
            <w:r w:rsidRPr="00DE7E80">
              <w:t xml:space="preserve"> доходность, тем хуже реакция</w:t>
            </w:r>
          </w:p>
        </w:tc>
        <w:tc>
          <w:tcPr>
            <w:tcW w:w="2393" w:type="dxa"/>
          </w:tcPr>
          <w:p w14:paraId="730FA1EC" w14:textId="3ED32564" w:rsidR="00AE3F9C" w:rsidRPr="00DE7E80" w:rsidRDefault="00AE3F9C" w:rsidP="00232BEF">
            <w:pPr>
              <w:pStyle w:val="ae"/>
            </w:pPr>
            <w:r w:rsidRPr="00DE7E80">
              <w:t xml:space="preserve">Чем больше ожидаемая </w:t>
            </w:r>
            <w:r w:rsidR="002965E1" w:rsidRPr="00DE7E80">
              <w:t>дивидендная</w:t>
            </w:r>
            <w:r w:rsidRPr="00DE7E80">
              <w:t xml:space="preserve"> доходность, тем лучше реакция</w:t>
            </w:r>
          </w:p>
        </w:tc>
        <w:tc>
          <w:tcPr>
            <w:tcW w:w="2393" w:type="dxa"/>
          </w:tcPr>
          <w:p w14:paraId="39C3E25B" w14:textId="77777777" w:rsidR="00AE3F9C" w:rsidRPr="00DE7E80" w:rsidRDefault="00AE3F9C" w:rsidP="00232BEF">
            <w:pPr>
              <w:pStyle w:val="ae"/>
            </w:pPr>
            <w:r w:rsidRPr="00DE7E80">
              <w:t>Гипотеза подтвердилась</w:t>
            </w:r>
          </w:p>
        </w:tc>
      </w:tr>
      <w:tr w:rsidR="00AE3F9C" w14:paraId="50EBDA24" w14:textId="77777777" w:rsidTr="00232BEF">
        <w:tc>
          <w:tcPr>
            <w:tcW w:w="9571" w:type="dxa"/>
            <w:gridSpan w:val="4"/>
          </w:tcPr>
          <w:p w14:paraId="778F563A" w14:textId="77777777" w:rsidR="00AE3F9C" w:rsidRPr="009217DB" w:rsidRDefault="00AE3F9C" w:rsidP="00232BEF">
            <w:pPr>
              <w:pStyle w:val="ae"/>
              <w:jc w:val="center"/>
              <w:rPr>
                <w:b/>
                <w:bCs/>
                <w:sz w:val="24"/>
                <w:szCs w:val="24"/>
              </w:rPr>
            </w:pPr>
            <w:r w:rsidRPr="00831B91">
              <w:rPr>
                <w:b/>
                <w:bCs/>
                <w:sz w:val="24"/>
                <w:szCs w:val="24"/>
              </w:rPr>
              <w:t>Теория зависимости от контекста («f</w:t>
            </w:r>
            <w:r w:rsidRPr="00831B91">
              <w:rPr>
                <w:b/>
                <w:bCs/>
                <w:sz w:val="24"/>
                <w:szCs w:val="24"/>
                <w:lang w:val="en-US"/>
              </w:rPr>
              <w:t>rame</w:t>
            </w:r>
            <w:r w:rsidRPr="009217DB">
              <w:rPr>
                <w:b/>
                <w:bCs/>
                <w:sz w:val="24"/>
                <w:szCs w:val="24"/>
              </w:rPr>
              <w:t xml:space="preserve"> </w:t>
            </w:r>
            <w:r w:rsidRPr="00831B91">
              <w:rPr>
                <w:b/>
                <w:bCs/>
                <w:sz w:val="24"/>
                <w:szCs w:val="24"/>
                <w:lang w:val="en-US"/>
              </w:rPr>
              <w:t>dependence</w:t>
            </w:r>
            <w:r w:rsidRPr="00831B91">
              <w:rPr>
                <w:b/>
                <w:bCs/>
                <w:sz w:val="24"/>
                <w:szCs w:val="24"/>
              </w:rPr>
              <w:t>»</w:t>
            </w:r>
            <w:r w:rsidRPr="009217DB">
              <w:rPr>
                <w:b/>
                <w:bCs/>
                <w:sz w:val="24"/>
                <w:szCs w:val="24"/>
              </w:rPr>
              <w:t>)</w:t>
            </w:r>
          </w:p>
        </w:tc>
      </w:tr>
      <w:tr w:rsidR="00AE3F9C" w14:paraId="3C817CDC" w14:textId="77777777" w:rsidTr="00232BEF">
        <w:tc>
          <w:tcPr>
            <w:tcW w:w="2392" w:type="dxa"/>
          </w:tcPr>
          <w:p w14:paraId="031C86A7" w14:textId="77777777" w:rsidR="00AE3F9C" w:rsidRPr="00DE7E80" w:rsidRDefault="00AE3F9C" w:rsidP="00232BEF">
            <w:pPr>
              <w:pStyle w:val="ae"/>
            </w:pPr>
            <w:r w:rsidRPr="00DE7E80">
              <w:t>Волатильность рынка ниже среднего накануне объявления (бинарная переменная)</w:t>
            </w:r>
          </w:p>
        </w:tc>
        <w:tc>
          <w:tcPr>
            <w:tcW w:w="2393" w:type="dxa"/>
          </w:tcPr>
          <w:p w14:paraId="78665389" w14:textId="77777777" w:rsidR="00AE3F9C" w:rsidRPr="00DE7E80" w:rsidRDefault="00AE3F9C" w:rsidP="00232BEF">
            <w:pPr>
              <w:pStyle w:val="ae"/>
            </w:pPr>
            <w:r w:rsidRPr="00DE7E80">
              <w:t xml:space="preserve">Во времена низкой волатильности </w:t>
            </w:r>
            <w:r>
              <w:t xml:space="preserve">на рынке </w:t>
            </w:r>
            <w:r w:rsidRPr="00DE7E80">
              <w:t>негативная реакция будет меньше</w:t>
            </w:r>
          </w:p>
        </w:tc>
        <w:tc>
          <w:tcPr>
            <w:tcW w:w="2393" w:type="dxa"/>
          </w:tcPr>
          <w:p w14:paraId="089FA8AF" w14:textId="77777777" w:rsidR="00AE3F9C" w:rsidRPr="00DE7E80" w:rsidRDefault="00AE3F9C" w:rsidP="00232BEF">
            <w:pPr>
              <w:pStyle w:val="ae"/>
            </w:pPr>
            <w:r w:rsidRPr="00DE7E80">
              <w:t>незначима</w:t>
            </w:r>
          </w:p>
        </w:tc>
        <w:tc>
          <w:tcPr>
            <w:tcW w:w="2393" w:type="dxa"/>
          </w:tcPr>
          <w:p w14:paraId="7016F9FE" w14:textId="77777777" w:rsidR="00AE3F9C" w:rsidRPr="00DE7E80" w:rsidRDefault="00AE3F9C" w:rsidP="00232BEF">
            <w:pPr>
              <w:pStyle w:val="ae"/>
            </w:pPr>
            <w:r w:rsidRPr="00DE7E80">
              <w:t>Гипотеза подтвердилась</w:t>
            </w:r>
          </w:p>
        </w:tc>
      </w:tr>
      <w:tr w:rsidR="00AE3F9C" w14:paraId="6575DA3C" w14:textId="77777777" w:rsidTr="00232BEF">
        <w:tc>
          <w:tcPr>
            <w:tcW w:w="9571" w:type="dxa"/>
            <w:gridSpan w:val="4"/>
          </w:tcPr>
          <w:p w14:paraId="4E9FD9DD" w14:textId="77777777" w:rsidR="00AE3F9C" w:rsidRDefault="00AE3F9C" w:rsidP="00232BEF">
            <w:pPr>
              <w:pStyle w:val="ae"/>
              <w:jc w:val="center"/>
              <w:rPr>
                <w:sz w:val="24"/>
                <w:szCs w:val="24"/>
              </w:rPr>
            </w:pPr>
            <w:r w:rsidRPr="004C0AD5">
              <w:rPr>
                <w:rFonts w:cs="Times New Roman"/>
                <w:b/>
                <w:sz w:val="24"/>
                <w:szCs w:val="24"/>
              </w:rPr>
              <w:t>Фактор государственного контроля</w:t>
            </w:r>
          </w:p>
        </w:tc>
      </w:tr>
      <w:tr w:rsidR="00AE3F9C" w14:paraId="57B61841" w14:textId="77777777" w:rsidTr="00232BEF">
        <w:tc>
          <w:tcPr>
            <w:tcW w:w="2392" w:type="dxa"/>
          </w:tcPr>
          <w:p w14:paraId="75421FA9" w14:textId="77777777" w:rsidR="00AE3F9C" w:rsidRPr="00DE7E80" w:rsidRDefault="00AE3F9C" w:rsidP="00232BEF">
            <w:pPr>
              <w:pStyle w:val="ae"/>
            </w:pPr>
            <w:r w:rsidRPr="00DE7E80">
              <w:t xml:space="preserve"> Доля голосующих акций у государства &gt;50% (бинарная переменная)</w:t>
            </w:r>
          </w:p>
        </w:tc>
        <w:tc>
          <w:tcPr>
            <w:tcW w:w="2393" w:type="dxa"/>
          </w:tcPr>
          <w:p w14:paraId="04C59DDE" w14:textId="77777777" w:rsidR="00AE3F9C" w:rsidRPr="00DE7E80" w:rsidRDefault="00AE3F9C" w:rsidP="00232BEF">
            <w:pPr>
              <w:pStyle w:val="ae"/>
            </w:pPr>
            <w:r w:rsidRPr="00DE7E80">
              <w:t>Для компаний, подконтрольных государству, негативная реакция будет более выраженной</w:t>
            </w:r>
          </w:p>
        </w:tc>
        <w:tc>
          <w:tcPr>
            <w:tcW w:w="2393" w:type="dxa"/>
          </w:tcPr>
          <w:p w14:paraId="2C4610B6" w14:textId="77777777" w:rsidR="00AE3F9C" w:rsidRPr="00DE7E80" w:rsidRDefault="00AE3F9C" w:rsidP="00232BEF">
            <w:pPr>
              <w:pStyle w:val="ae"/>
            </w:pPr>
            <w:r w:rsidRPr="00DE7E80">
              <w:t>незначима</w:t>
            </w:r>
          </w:p>
        </w:tc>
        <w:tc>
          <w:tcPr>
            <w:tcW w:w="2393" w:type="dxa"/>
          </w:tcPr>
          <w:p w14:paraId="16FBDF66" w14:textId="77777777" w:rsidR="00AE3F9C" w:rsidRPr="00DE7E80" w:rsidRDefault="00AE3F9C" w:rsidP="00232BEF">
            <w:pPr>
              <w:pStyle w:val="ae"/>
            </w:pPr>
            <w:r w:rsidRPr="00DE7E80">
              <w:t>Гипотеза подтвердилась</w:t>
            </w:r>
          </w:p>
        </w:tc>
      </w:tr>
    </w:tbl>
    <w:p w14:paraId="7FCD6B66" w14:textId="77777777" w:rsidR="00AE3F9C" w:rsidRDefault="00AE3F9C" w:rsidP="00AE3F9C">
      <w:pPr>
        <w:pStyle w:val="30"/>
      </w:pPr>
    </w:p>
    <w:p w14:paraId="35DFF4EF" w14:textId="77777777" w:rsidR="00AE3F9C" w:rsidRDefault="00AE3F9C" w:rsidP="00AE3F9C">
      <w:pPr>
        <w:pStyle w:val="a"/>
      </w:pPr>
      <w:r>
        <w:t>Сравнение результатов для позитивного дивидендного сюрприза (</w:t>
      </w:r>
      <w:r w:rsidRPr="00D03D5D">
        <w:t xml:space="preserve">объявленный дивиденд </w:t>
      </w:r>
      <w:r>
        <w:t>выше</w:t>
      </w:r>
      <w:r w:rsidRPr="00D03D5D">
        <w:t xml:space="preserve"> прогноз</w:t>
      </w:r>
      <w:r>
        <w:t>а</w:t>
      </w:r>
      <w:r w:rsidRPr="00D03D5D">
        <w:t xml:space="preserve"> более чем на 5%)</w:t>
      </w:r>
    </w:p>
    <w:tbl>
      <w:tblPr>
        <w:tblStyle w:val="ad"/>
        <w:tblW w:w="0" w:type="auto"/>
        <w:tblLook w:val="04A0" w:firstRow="1" w:lastRow="0" w:firstColumn="1" w:lastColumn="0" w:noHBand="0" w:noVBand="1"/>
      </w:tblPr>
      <w:tblGrid>
        <w:gridCol w:w="2352"/>
        <w:gridCol w:w="2346"/>
        <w:gridCol w:w="2366"/>
        <w:gridCol w:w="2366"/>
      </w:tblGrid>
      <w:tr w:rsidR="00AE3F9C" w14:paraId="3A958B63" w14:textId="77777777" w:rsidTr="00232BEF">
        <w:tc>
          <w:tcPr>
            <w:tcW w:w="2392" w:type="dxa"/>
          </w:tcPr>
          <w:p w14:paraId="6BC43C27" w14:textId="77777777" w:rsidR="00AE3F9C" w:rsidRDefault="00AE3F9C" w:rsidP="00232BEF">
            <w:pPr>
              <w:pStyle w:val="30"/>
            </w:pPr>
          </w:p>
        </w:tc>
        <w:tc>
          <w:tcPr>
            <w:tcW w:w="2393" w:type="dxa"/>
          </w:tcPr>
          <w:p w14:paraId="6244A15F" w14:textId="77777777" w:rsidR="00AE3F9C" w:rsidRPr="00774AD9" w:rsidRDefault="00AE3F9C" w:rsidP="00232BEF">
            <w:pPr>
              <w:pStyle w:val="30"/>
              <w:rPr>
                <w:lang w:val="en-US"/>
              </w:rPr>
            </w:pPr>
            <w:r>
              <w:t>Гипотеза</w:t>
            </w:r>
          </w:p>
        </w:tc>
        <w:tc>
          <w:tcPr>
            <w:tcW w:w="2393" w:type="dxa"/>
          </w:tcPr>
          <w:p w14:paraId="7DEFA76E" w14:textId="77777777" w:rsidR="00AE3F9C" w:rsidRPr="00774AD9" w:rsidRDefault="00AE3F9C" w:rsidP="00232BEF">
            <w:pPr>
              <w:pStyle w:val="30"/>
            </w:pPr>
            <w:r>
              <w:t>Эмпирический результат (Россия)</w:t>
            </w:r>
            <w:r>
              <w:rPr>
                <w:lang w:val="en-US"/>
              </w:rPr>
              <w:t xml:space="preserve"> </w:t>
            </w:r>
          </w:p>
        </w:tc>
        <w:tc>
          <w:tcPr>
            <w:tcW w:w="2393" w:type="dxa"/>
          </w:tcPr>
          <w:p w14:paraId="6DF712B5" w14:textId="77777777" w:rsidR="00AE3F9C" w:rsidRDefault="00AE3F9C" w:rsidP="00232BEF">
            <w:pPr>
              <w:pStyle w:val="30"/>
            </w:pPr>
            <w:r>
              <w:t>Эмпирический результат (Китай)</w:t>
            </w:r>
          </w:p>
        </w:tc>
      </w:tr>
      <w:tr w:rsidR="00AE3F9C" w14:paraId="2A65FBB8" w14:textId="77777777" w:rsidTr="00232BEF">
        <w:tc>
          <w:tcPr>
            <w:tcW w:w="9571" w:type="dxa"/>
            <w:gridSpan w:val="4"/>
          </w:tcPr>
          <w:p w14:paraId="16112285" w14:textId="77777777" w:rsidR="00AE3F9C" w:rsidRPr="00E76BF3" w:rsidRDefault="00AE3F9C" w:rsidP="00232BEF">
            <w:pPr>
              <w:pStyle w:val="30"/>
              <w:jc w:val="center"/>
            </w:pPr>
            <w:r>
              <w:t>Теория эффекта клиента («</w:t>
            </w:r>
            <w:r w:rsidRPr="00831B91">
              <w:t>clientele effect</w:t>
            </w:r>
            <w:r>
              <w:t>»)</w:t>
            </w:r>
          </w:p>
        </w:tc>
      </w:tr>
      <w:tr w:rsidR="00AE3F9C" w14:paraId="6942E108" w14:textId="77777777" w:rsidTr="00232BEF">
        <w:tc>
          <w:tcPr>
            <w:tcW w:w="2392" w:type="dxa"/>
          </w:tcPr>
          <w:p w14:paraId="25768C8D" w14:textId="77777777" w:rsidR="00AE3F9C" w:rsidRPr="00831B91" w:rsidRDefault="00AE3F9C" w:rsidP="00232BEF">
            <w:pPr>
              <w:pStyle w:val="ae"/>
              <w:rPr>
                <w:sz w:val="22"/>
              </w:rPr>
            </w:pPr>
            <w:r w:rsidRPr="00831B91">
              <w:rPr>
                <w:sz w:val="22"/>
              </w:rPr>
              <w:t xml:space="preserve">Ожидаемая дивидендная доходность </w:t>
            </w:r>
          </w:p>
        </w:tc>
        <w:tc>
          <w:tcPr>
            <w:tcW w:w="2393" w:type="dxa"/>
          </w:tcPr>
          <w:p w14:paraId="4FFAB45F" w14:textId="77777777" w:rsidR="00AE3F9C" w:rsidRPr="00831B91" w:rsidRDefault="00AE3F9C" w:rsidP="00232BEF">
            <w:pPr>
              <w:pStyle w:val="ae"/>
              <w:rPr>
                <w:sz w:val="22"/>
              </w:rPr>
            </w:pPr>
            <w:r w:rsidRPr="00DE7E80">
              <w:t xml:space="preserve">Чем больше ожидаемая дивидедная доходность, тем </w:t>
            </w:r>
            <w:r>
              <w:t>лучше</w:t>
            </w:r>
            <w:r w:rsidRPr="00DE7E80">
              <w:t xml:space="preserve"> реакция</w:t>
            </w:r>
          </w:p>
        </w:tc>
        <w:tc>
          <w:tcPr>
            <w:tcW w:w="2393" w:type="dxa"/>
          </w:tcPr>
          <w:p w14:paraId="5FE66E5C" w14:textId="77777777" w:rsidR="00AE3F9C" w:rsidRPr="00831B91" w:rsidRDefault="00AE3F9C" w:rsidP="00232BEF">
            <w:pPr>
              <w:pStyle w:val="ae"/>
              <w:rPr>
                <w:sz w:val="22"/>
              </w:rPr>
            </w:pPr>
            <w:r w:rsidRPr="00DE7E80">
              <w:t>Гипотеза подтвердилась</w:t>
            </w:r>
          </w:p>
        </w:tc>
        <w:tc>
          <w:tcPr>
            <w:tcW w:w="2393" w:type="dxa"/>
          </w:tcPr>
          <w:p w14:paraId="2624B510" w14:textId="77777777" w:rsidR="00AE3F9C" w:rsidRPr="00831B91" w:rsidRDefault="00AE3F9C" w:rsidP="00232BEF">
            <w:pPr>
              <w:pStyle w:val="ae"/>
              <w:rPr>
                <w:sz w:val="22"/>
              </w:rPr>
            </w:pPr>
            <w:r w:rsidRPr="00831B91">
              <w:rPr>
                <w:sz w:val="22"/>
              </w:rPr>
              <w:t>незначима</w:t>
            </w:r>
          </w:p>
        </w:tc>
      </w:tr>
      <w:tr w:rsidR="00AE3F9C" w14:paraId="6A71CD22" w14:textId="77777777" w:rsidTr="00232BEF">
        <w:tc>
          <w:tcPr>
            <w:tcW w:w="9571" w:type="dxa"/>
            <w:gridSpan w:val="4"/>
          </w:tcPr>
          <w:p w14:paraId="45BFCEEA" w14:textId="77777777" w:rsidR="00AE3F9C" w:rsidRDefault="00AE3F9C" w:rsidP="00232BEF">
            <w:pPr>
              <w:pStyle w:val="30"/>
              <w:jc w:val="center"/>
            </w:pPr>
            <w:r>
              <w:t>Теория свободного денежного потока</w:t>
            </w:r>
          </w:p>
        </w:tc>
      </w:tr>
      <w:tr w:rsidR="00AE3F9C" w14:paraId="004BB68F" w14:textId="77777777" w:rsidTr="00232BEF">
        <w:tc>
          <w:tcPr>
            <w:tcW w:w="2392" w:type="dxa"/>
          </w:tcPr>
          <w:p w14:paraId="2AD7814C" w14:textId="77777777" w:rsidR="00AE3F9C" w:rsidRPr="00831B91" w:rsidRDefault="00AE3F9C" w:rsidP="00232BEF">
            <w:pPr>
              <w:pStyle w:val="ae"/>
              <w:rPr>
                <w:sz w:val="22"/>
                <w:lang w:val="en-US"/>
              </w:rPr>
            </w:pPr>
            <w:r w:rsidRPr="00831B91">
              <w:rPr>
                <w:sz w:val="22"/>
                <w:lang w:val="en-US"/>
              </w:rPr>
              <w:t>P/BV</w:t>
            </w:r>
          </w:p>
        </w:tc>
        <w:tc>
          <w:tcPr>
            <w:tcW w:w="2393" w:type="dxa"/>
          </w:tcPr>
          <w:p w14:paraId="28880253" w14:textId="77777777" w:rsidR="00AE3F9C" w:rsidRPr="009217DB" w:rsidRDefault="00AE3F9C" w:rsidP="00232BEF">
            <w:pPr>
              <w:pStyle w:val="ae"/>
              <w:rPr>
                <w:sz w:val="22"/>
              </w:rPr>
            </w:pPr>
            <w:r w:rsidRPr="00DE7E80">
              <w:t xml:space="preserve">Чем больше P_BV, тем </w:t>
            </w:r>
            <w:r>
              <w:t>хуже</w:t>
            </w:r>
            <w:r w:rsidRPr="00DE7E80">
              <w:t xml:space="preserve"> реакция</w:t>
            </w:r>
          </w:p>
        </w:tc>
        <w:tc>
          <w:tcPr>
            <w:tcW w:w="2393" w:type="dxa"/>
          </w:tcPr>
          <w:p w14:paraId="04CDE919" w14:textId="77777777" w:rsidR="00AE3F9C" w:rsidRPr="00831B91" w:rsidRDefault="00AE3F9C" w:rsidP="00232BEF">
            <w:pPr>
              <w:pStyle w:val="ae"/>
              <w:rPr>
                <w:sz w:val="22"/>
                <w:lang w:val="en-US"/>
              </w:rPr>
            </w:pPr>
            <w:r w:rsidRPr="00DE7E80">
              <w:t>Гипотеза подтвердилась</w:t>
            </w:r>
          </w:p>
        </w:tc>
        <w:tc>
          <w:tcPr>
            <w:tcW w:w="2393" w:type="dxa"/>
          </w:tcPr>
          <w:p w14:paraId="6A74075F" w14:textId="77777777" w:rsidR="00AE3F9C" w:rsidRPr="009217DB" w:rsidRDefault="00AE3F9C" w:rsidP="00232BEF">
            <w:pPr>
              <w:pStyle w:val="ae"/>
              <w:rPr>
                <w:sz w:val="22"/>
              </w:rPr>
            </w:pPr>
            <w:r w:rsidRPr="00DE7E80">
              <w:t xml:space="preserve">Чем больше P_BV, тем </w:t>
            </w:r>
            <w:r>
              <w:t>лучше</w:t>
            </w:r>
            <w:r w:rsidRPr="00DE7E80">
              <w:t xml:space="preserve"> реакция</w:t>
            </w:r>
          </w:p>
        </w:tc>
      </w:tr>
      <w:tr w:rsidR="00AE3F9C" w14:paraId="7352BD98" w14:textId="77777777" w:rsidTr="00232BEF">
        <w:tc>
          <w:tcPr>
            <w:tcW w:w="9571" w:type="dxa"/>
            <w:gridSpan w:val="4"/>
          </w:tcPr>
          <w:p w14:paraId="73A746C4" w14:textId="77777777" w:rsidR="00AE3F9C" w:rsidRPr="00831B91" w:rsidRDefault="00AE3F9C" w:rsidP="00232BEF">
            <w:pPr>
              <w:pStyle w:val="30"/>
              <w:jc w:val="center"/>
              <w:rPr>
                <w:szCs w:val="22"/>
              </w:rPr>
            </w:pPr>
            <w:r w:rsidRPr="00831B91">
              <w:t>Теория зависимости от контекста («frame dependence»)</w:t>
            </w:r>
          </w:p>
        </w:tc>
      </w:tr>
      <w:tr w:rsidR="00AE3F9C" w14:paraId="44313027" w14:textId="77777777" w:rsidTr="00232BEF">
        <w:tc>
          <w:tcPr>
            <w:tcW w:w="2392" w:type="dxa"/>
          </w:tcPr>
          <w:p w14:paraId="48406A20" w14:textId="77777777" w:rsidR="00AE3F9C" w:rsidRPr="009217DB" w:rsidRDefault="00AE3F9C" w:rsidP="00232BEF">
            <w:pPr>
              <w:pStyle w:val="ae"/>
              <w:rPr>
                <w:sz w:val="22"/>
              </w:rPr>
            </w:pPr>
            <w:r>
              <w:t>Доходность</w:t>
            </w:r>
            <w:r w:rsidRPr="00DE7E80">
              <w:t xml:space="preserve"> рынка ниже среднего накануне объявления (бинарная переменная)</w:t>
            </w:r>
          </w:p>
        </w:tc>
        <w:tc>
          <w:tcPr>
            <w:tcW w:w="2393" w:type="dxa"/>
          </w:tcPr>
          <w:p w14:paraId="6A343BD8" w14:textId="77777777" w:rsidR="00AE3F9C" w:rsidRPr="009217DB" w:rsidRDefault="00AE3F9C" w:rsidP="00232BEF">
            <w:pPr>
              <w:pStyle w:val="ae"/>
              <w:rPr>
                <w:sz w:val="22"/>
              </w:rPr>
            </w:pPr>
            <w:r w:rsidRPr="00DE7E80">
              <w:t xml:space="preserve">Во времена низкой </w:t>
            </w:r>
            <w:r>
              <w:t>доходности</w:t>
            </w:r>
            <w:r w:rsidRPr="00DE7E80">
              <w:t xml:space="preserve"> </w:t>
            </w:r>
            <w:r>
              <w:t xml:space="preserve">на рынке </w:t>
            </w:r>
            <w:r w:rsidRPr="00DE7E80">
              <w:t xml:space="preserve">реакция будет </w:t>
            </w:r>
            <w:r>
              <w:t>лучше</w:t>
            </w:r>
          </w:p>
        </w:tc>
        <w:tc>
          <w:tcPr>
            <w:tcW w:w="2393" w:type="dxa"/>
          </w:tcPr>
          <w:p w14:paraId="70E8AEB9" w14:textId="77777777" w:rsidR="00AE3F9C" w:rsidRPr="00831B91" w:rsidRDefault="00AE3F9C" w:rsidP="00232BEF">
            <w:pPr>
              <w:pStyle w:val="ae"/>
              <w:rPr>
                <w:sz w:val="22"/>
              </w:rPr>
            </w:pPr>
            <w:r w:rsidRPr="00DE7E80">
              <w:t xml:space="preserve">Во времена низкой </w:t>
            </w:r>
            <w:r>
              <w:t>доходности</w:t>
            </w:r>
            <w:r w:rsidRPr="00DE7E80">
              <w:t xml:space="preserve"> </w:t>
            </w:r>
            <w:r>
              <w:t xml:space="preserve">на рынке </w:t>
            </w:r>
            <w:r w:rsidRPr="00DE7E80">
              <w:t xml:space="preserve">реакция будет </w:t>
            </w:r>
            <w:r>
              <w:t>хуже</w:t>
            </w:r>
          </w:p>
        </w:tc>
        <w:tc>
          <w:tcPr>
            <w:tcW w:w="2393" w:type="dxa"/>
          </w:tcPr>
          <w:p w14:paraId="2983E692" w14:textId="77777777" w:rsidR="00AE3F9C" w:rsidRPr="00831B91" w:rsidRDefault="00AE3F9C" w:rsidP="00232BEF">
            <w:pPr>
              <w:pStyle w:val="ae"/>
              <w:rPr>
                <w:sz w:val="22"/>
              </w:rPr>
            </w:pPr>
            <w:r w:rsidRPr="00831B91">
              <w:rPr>
                <w:sz w:val="22"/>
              </w:rPr>
              <w:t>незначима</w:t>
            </w:r>
          </w:p>
        </w:tc>
      </w:tr>
      <w:tr w:rsidR="00AE3F9C" w14:paraId="069D6A2F" w14:textId="77777777" w:rsidTr="00232BEF">
        <w:tc>
          <w:tcPr>
            <w:tcW w:w="2392" w:type="dxa"/>
          </w:tcPr>
          <w:p w14:paraId="2E111C17" w14:textId="77777777" w:rsidR="00AE3F9C" w:rsidRPr="009217DB" w:rsidRDefault="00AE3F9C" w:rsidP="00232BEF">
            <w:pPr>
              <w:pStyle w:val="ae"/>
              <w:rPr>
                <w:sz w:val="22"/>
              </w:rPr>
            </w:pPr>
            <w:r>
              <w:t>Доходность</w:t>
            </w:r>
            <w:r w:rsidRPr="00DE7E80">
              <w:t xml:space="preserve"> рынка </w:t>
            </w:r>
            <w:r>
              <w:t xml:space="preserve">выше </w:t>
            </w:r>
            <w:r w:rsidRPr="00DE7E80">
              <w:t>среднего накануне объявления (бинарная переменная)</w:t>
            </w:r>
          </w:p>
        </w:tc>
        <w:tc>
          <w:tcPr>
            <w:tcW w:w="2393" w:type="dxa"/>
          </w:tcPr>
          <w:p w14:paraId="616F629D" w14:textId="77777777" w:rsidR="00AE3F9C" w:rsidRPr="005C1A19" w:rsidRDefault="00AE3F9C" w:rsidP="00232BEF">
            <w:pPr>
              <w:pStyle w:val="ae"/>
            </w:pPr>
            <w:r w:rsidRPr="005C1A19">
              <w:t>Не было выдвинуто гипотезы</w:t>
            </w:r>
          </w:p>
        </w:tc>
        <w:tc>
          <w:tcPr>
            <w:tcW w:w="2393" w:type="dxa"/>
          </w:tcPr>
          <w:p w14:paraId="09270D16" w14:textId="77777777" w:rsidR="00AE3F9C" w:rsidRPr="00831B91" w:rsidRDefault="00AE3F9C" w:rsidP="00232BEF">
            <w:pPr>
              <w:pStyle w:val="ae"/>
              <w:rPr>
                <w:sz w:val="22"/>
              </w:rPr>
            </w:pPr>
            <w:r w:rsidRPr="00DE7E80">
              <w:t xml:space="preserve">Во времена </w:t>
            </w:r>
            <w:r>
              <w:t>высокой доходности</w:t>
            </w:r>
            <w:r w:rsidRPr="00DE7E80">
              <w:t xml:space="preserve"> </w:t>
            </w:r>
            <w:r>
              <w:t xml:space="preserve">на рынке </w:t>
            </w:r>
            <w:r w:rsidRPr="00DE7E80">
              <w:t xml:space="preserve">реакция будет </w:t>
            </w:r>
            <w:r>
              <w:t>хуже</w:t>
            </w:r>
          </w:p>
        </w:tc>
        <w:tc>
          <w:tcPr>
            <w:tcW w:w="2393" w:type="dxa"/>
          </w:tcPr>
          <w:p w14:paraId="3A2DB59F" w14:textId="6879DE83" w:rsidR="00AE3F9C" w:rsidRPr="00831B91" w:rsidRDefault="00580669" w:rsidP="00232BEF">
            <w:pPr>
              <w:pStyle w:val="ae"/>
              <w:rPr>
                <w:sz w:val="22"/>
              </w:rPr>
            </w:pPr>
            <w:r w:rsidRPr="00580669">
              <w:rPr>
                <w:sz w:val="22"/>
              </w:rPr>
              <w:t>незначима</w:t>
            </w:r>
          </w:p>
        </w:tc>
      </w:tr>
    </w:tbl>
    <w:p w14:paraId="34E4DB60" w14:textId="6A642B2F" w:rsidR="00AE3F9C" w:rsidRDefault="00AE3F9C" w:rsidP="00AE3F9C"/>
    <w:p w14:paraId="1FD99E4A" w14:textId="77777777" w:rsidR="00AE3F9C" w:rsidRPr="00AE3F9C" w:rsidRDefault="00AE3F9C" w:rsidP="00AE3F9C"/>
    <w:p w14:paraId="44447F65" w14:textId="185FF63F" w:rsidR="00E24216" w:rsidRDefault="00E24216" w:rsidP="00687FFA">
      <w:pPr>
        <w:ind w:firstLine="0"/>
      </w:pPr>
    </w:p>
    <w:p w14:paraId="34768C2E" w14:textId="42ECA185" w:rsidR="00B11F88" w:rsidRDefault="00B11F88" w:rsidP="00687FFA">
      <w:pPr>
        <w:ind w:firstLine="0"/>
      </w:pPr>
    </w:p>
    <w:p w14:paraId="0AFD38DF" w14:textId="2F7B766A" w:rsidR="00B11F88" w:rsidRDefault="00B11F88" w:rsidP="00687FFA">
      <w:pPr>
        <w:ind w:firstLine="0"/>
      </w:pPr>
    </w:p>
    <w:p w14:paraId="44DD91D4" w14:textId="78DCB6A3" w:rsidR="0080545E" w:rsidRDefault="0080545E" w:rsidP="0080545E">
      <w:pPr>
        <w:pStyle w:val="1"/>
      </w:pPr>
      <w:bookmarkStart w:id="42" w:name="_Toc104840373"/>
      <w:r>
        <w:t>ЗАКЛЮЧЕНИЕ</w:t>
      </w:r>
      <w:bookmarkEnd w:id="42"/>
    </w:p>
    <w:p w14:paraId="03304EB5" w14:textId="77777777" w:rsidR="0080545E" w:rsidRDefault="0080545E" w:rsidP="0080545E">
      <w:pPr>
        <w:ind w:firstLine="0"/>
      </w:pPr>
    </w:p>
    <w:p w14:paraId="2745B4BD" w14:textId="445FF00C" w:rsidR="00A502E2" w:rsidRDefault="0080545E" w:rsidP="00A502E2">
      <w:r>
        <w:t>Данное исследование было нацелено на о</w:t>
      </w:r>
      <w:r w:rsidRPr="006E4AA0">
        <w:t>це</w:t>
      </w:r>
      <w:r>
        <w:t>нку</w:t>
      </w:r>
      <w:r w:rsidRPr="006E4AA0">
        <w:t xml:space="preserve"> направлени</w:t>
      </w:r>
      <w:r>
        <w:t>я</w:t>
      </w:r>
      <w:r w:rsidR="004D1F22">
        <w:t xml:space="preserve"> и факторов </w:t>
      </w:r>
      <w:r w:rsidRPr="006E4AA0">
        <w:t>реакции развивающихся рынков России и Китая на объявления с «дивидендным сюрпризом»</w:t>
      </w:r>
      <w:r w:rsidR="00A502E2">
        <w:t>. Проведенная работа</w:t>
      </w:r>
      <w:r w:rsidR="00F92960">
        <w:t xml:space="preserve">, во-первых, </w:t>
      </w:r>
      <w:r w:rsidR="009B36A0">
        <w:t>привносит вклад</w:t>
      </w:r>
      <w:r w:rsidR="00F92960">
        <w:t xml:space="preserve"> </w:t>
      </w:r>
      <w:r w:rsidR="009B36A0">
        <w:t xml:space="preserve">в </w:t>
      </w:r>
      <w:r w:rsidR="00F92960">
        <w:t xml:space="preserve">существующую </w:t>
      </w:r>
      <w:r w:rsidR="009B36A0">
        <w:t>дискуссию</w:t>
      </w:r>
      <w:r w:rsidR="00F92960">
        <w:t xml:space="preserve"> в области </w:t>
      </w:r>
      <w:r w:rsidR="00E138E9">
        <w:t>финансов</w:t>
      </w:r>
      <w:r w:rsidR="00623E8E">
        <w:t>, поскольку в не</w:t>
      </w:r>
      <w:r w:rsidR="00A502E2">
        <w:t>й</w:t>
      </w:r>
      <w:r w:rsidR="00623E8E">
        <w:t xml:space="preserve"> тестируется сигнальная роль дивидендов на развивающихся фондовых рынках Китая и России, а также</w:t>
      </w:r>
      <w:r w:rsidR="00CE2BC7">
        <w:t xml:space="preserve"> приводится свидетельство в пользу неэффективности этих двух рынков. Кроме того, реакция рынка на новости о дивидендах дополнительно рассматривается с точки зрения поведенческ</w:t>
      </w:r>
      <w:r w:rsidR="00D47828">
        <w:t xml:space="preserve">их теорий (теории «эффекта клиентской базы» и «зависимости от контекста»), </w:t>
      </w:r>
      <w:r w:rsidR="00A502E2">
        <w:t>расширяя знания о поведении инвесторов на развивающихся рынках</w:t>
      </w:r>
      <w:r w:rsidR="00D47828">
        <w:t xml:space="preserve">. </w:t>
      </w:r>
      <w:r w:rsidR="00FD5766">
        <w:t xml:space="preserve">Во-вторых, результаты данного исследования </w:t>
      </w:r>
      <w:r w:rsidR="00E138E9">
        <w:t>позволят расширить инструментарий компаний при выборе стратегии распределения денежного потока, максимизирующей ценность для акционеров</w:t>
      </w:r>
      <w:r w:rsidR="00A502E2">
        <w:t>. Наконец, выводы данного исследования могут быть полезны инвесторам, в том числе спекулирующим на краткосрочных движениях рынка.</w:t>
      </w:r>
    </w:p>
    <w:p w14:paraId="6F481D50" w14:textId="56BAEE9B" w:rsidR="0080545E" w:rsidRDefault="0080545E" w:rsidP="00A502E2">
      <w:r>
        <w:t xml:space="preserve">В ходе </w:t>
      </w:r>
      <w:r w:rsidR="00193273">
        <w:t>применения методологии анализа событий («</w:t>
      </w:r>
      <w:r>
        <w:rPr>
          <w:lang w:val="en-US"/>
        </w:rPr>
        <w:t>event study</w:t>
      </w:r>
      <w:r w:rsidR="00193273">
        <w:t>»)</w:t>
      </w:r>
      <w:r>
        <w:rPr>
          <w:lang w:val="en-US"/>
        </w:rPr>
        <w:t xml:space="preserve"> </w:t>
      </w:r>
      <w:r>
        <w:t xml:space="preserve">на выборке объявлений были получены статистически значимые результаты, подтверждающие сигнальную гипотезу на обоих рынках: рынок положительно реагировал на объявления с «позитивным» дивидендным сюрпризом (накопленная средняя избыточная доходность </w:t>
      </w:r>
      <w:r>
        <w:rPr>
          <w:lang w:val="en-US"/>
        </w:rPr>
        <w:t xml:space="preserve">CAAR </w:t>
      </w:r>
      <w:r>
        <w:t>была положительной в последний день в окне события) и отрицательно реагировал на объявления с «негативным» дивидедным сюрпризом (</w:t>
      </w:r>
      <w:r>
        <w:rPr>
          <w:lang w:val="en-US"/>
        </w:rPr>
        <w:t xml:space="preserve">CAAR </w:t>
      </w:r>
      <w:r>
        <w:t xml:space="preserve">была отрицательной в последний день в окне события). При этом на обоих рынках были зафиксированы статистически значимые значения </w:t>
      </w:r>
      <w:r w:rsidR="00A502E2">
        <w:t xml:space="preserve">сверхдоходности акций </w:t>
      </w:r>
      <w:r w:rsidR="00596722">
        <w:t xml:space="preserve">накауне дня </w:t>
      </w:r>
      <w:r>
        <w:t>объявления, что может говорить о распространении инсайдерской информации – одного из признаков неэффективного рынка.</w:t>
      </w:r>
    </w:p>
    <w:p w14:paraId="3C9982AC" w14:textId="407BACD6" w:rsidR="0080545E" w:rsidRPr="00B56FF9" w:rsidRDefault="0080545E" w:rsidP="0080545E">
      <w:r>
        <w:t xml:space="preserve">В ходе анализа </w:t>
      </w:r>
      <w:r w:rsidR="00B553B7">
        <w:t xml:space="preserve">в разрезе отраслей </w:t>
      </w:r>
      <w:r>
        <w:t xml:space="preserve">было выявлено, что на отечественном рынке сильнее чем в среднем по выборке на дивидедные сюрпризы реагировали инвесторы в отраслях </w:t>
      </w:r>
      <w:r>
        <w:rPr>
          <w:lang w:val="en-US"/>
        </w:rPr>
        <w:t xml:space="preserve">Materials </w:t>
      </w:r>
      <w:r>
        <w:t xml:space="preserve">и </w:t>
      </w:r>
      <w:r>
        <w:rPr>
          <w:lang w:val="en-US"/>
        </w:rPr>
        <w:t xml:space="preserve">Energy, </w:t>
      </w:r>
      <w:r>
        <w:t xml:space="preserve">представители которых традиционно считаются «дойными коровами» в силу высокой дивидендной доходности. На рынке Китая более сильная реакция чем в среднем была зафиксирована в отраслях </w:t>
      </w:r>
      <w:r>
        <w:rPr>
          <w:lang w:val="en-US"/>
        </w:rPr>
        <w:t xml:space="preserve">Energy </w:t>
      </w:r>
      <w:r>
        <w:t xml:space="preserve">и </w:t>
      </w:r>
      <w:r>
        <w:rPr>
          <w:lang w:val="en-US"/>
        </w:rPr>
        <w:t xml:space="preserve">Real Estate, </w:t>
      </w:r>
      <w:r>
        <w:t xml:space="preserve">которые наряду с финансовым сектором, считаются отраслями с самой наиболее высокой дивидендной доходностью в Китае. Также была зафикисирована более сильная пололжительная реакция на новость о позитивном сюрпризе в секторе </w:t>
      </w:r>
      <w:r>
        <w:rPr>
          <w:lang w:val="en-US"/>
        </w:rPr>
        <w:t xml:space="preserve">IT, </w:t>
      </w:r>
      <w:r>
        <w:t>вероятно, потому что представители этого сектора больше испытывают потребность в сигнале: они относительно невелики (если оценивать по величине активов), имеют риски, связанные с разработкой инноваций, а также попали под высокие тарифы на экспорт в период торговой войны.</w:t>
      </w:r>
    </w:p>
    <w:p w14:paraId="6836CD95" w14:textId="77777777" w:rsidR="0080545E" w:rsidRDefault="0080545E" w:rsidP="0080545E">
      <w:r>
        <w:t>Полученные результаты частично совпали с результатами предыдущих исследований. Различия в результатах были интепретированы исходя из особенностей периода наблюдения 2016–2019 гг.: в России – внедрение нормы выплат дивидендов для госкомпаний в размере 50% от чистой прибыли</w:t>
      </w:r>
      <w:r>
        <w:rPr>
          <w:lang w:val="en-US"/>
        </w:rPr>
        <w:t>;</w:t>
      </w:r>
      <w:r>
        <w:t xml:space="preserve"> давление со стороны санкций и нарастающей политической напряженности. В Китае в этот период начал действовать дифференцированный налог на дивиденды, а также развернулась торговая война с США, ударившая по многим секторам экономики страны.</w:t>
      </w:r>
    </w:p>
    <w:p w14:paraId="14A972A6" w14:textId="77777777" w:rsidR="000D489D" w:rsidRDefault="0080545E" w:rsidP="000D489D">
      <w:r>
        <w:t xml:space="preserve">Можно заключить, что на обоих рынках различие фактического дивиденда от консенсус-прогноза аналитиков является значимым сигналом, что может служить стимулом для руководства публичных компаний отслеживать такие прогнозы и учитывать их при принятии решений о распределении денежного потока. </w:t>
      </w:r>
      <w:r w:rsidR="00027A7C">
        <w:t>Д</w:t>
      </w:r>
      <w:r w:rsidR="005E426C">
        <w:t>ля инвесторов информация о наличии сверхдоходностей акций вокруг объявления с дивидендным сюрпризом открывает возможности использовать неэффективность китайского и российского рынков в своих интересах и выиграть на краткосрочных движениях цен.</w:t>
      </w:r>
    </w:p>
    <w:p w14:paraId="2720CEF5" w14:textId="755DFAB9" w:rsidR="00502C6F" w:rsidRDefault="0080545E" w:rsidP="00502C6F">
      <w:r>
        <w:t>Помимо этого, руководству компани</w:t>
      </w:r>
      <w:r w:rsidR="001250EE">
        <w:t>й и инвесторам</w:t>
      </w:r>
      <w:r>
        <w:t xml:space="preserve"> рекомендуется обращать внимание и на другие специфические факторы, влияние которых было протестировано в ходе регрессионного анализа. Так, например, реакция на дивидендные сюрпризы для обоих рынков будет более выраженной для компаний с капитализацией выше среднего и менее выраженной – для компаний с капитализацией ниже среднего.  </w:t>
      </w:r>
      <w:r w:rsidR="00EE06BD">
        <w:t>Также имеет значение ожидаемая дивидендная доходность акций: при ее увеличении в России реакция на любые объявления дивидендов будет улучшаться, в то время как в Китае она будет лучше только для новости с позитивным сюрпризом, а для новости с негативным – реакция будет хуже</w:t>
      </w:r>
      <w:r w:rsidR="00116F56">
        <w:t xml:space="preserve">, что можно связать с проявлением эффекта «клиентской базы». С восприятием новости о дивидендах также тесно </w:t>
      </w:r>
      <w:r w:rsidR="00502C6F">
        <w:t>взаимосвязан показатель</w:t>
      </w:r>
      <w:r w:rsidR="00116F56">
        <w:t xml:space="preserve"> </w:t>
      </w:r>
      <w:r w:rsidR="00116F56">
        <w:rPr>
          <w:lang w:val="en-US"/>
        </w:rPr>
        <w:t xml:space="preserve">P/BV, </w:t>
      </w:r>
      <w:r w:rsidR="00116F56">
        <w:t>выступающий как прокси возможностей роста: в России при увеличении этого показателя рынок реа</w:t>
      </w:r>
      <w:r w:rsidR="00502C6F">
        <w:t>гирует хуже на любой дивидендый сюрприз</w:t>
      </w:r>
      <w:r w:rsidR="00502C6F" w:rsidRPr="00502C6F">
        <w:t>, судя по всему</w:t>
      </w:r>
      <w:r w:rsidR="00502C6F">
        <w:t>, предполагая, что распределенные средства компания могла бы инвестировать в сво</w:t>
      </w:r>
      <w:r w:rsidR="00885F20">
        <w:t>е развитие</w:t>
      </w:r>
      <w:r w:rsidR="00502C6F">
        <w:t xml:space="preserve">. В то же время в Китае, наоборот, рынок в среднем лучше воспринимает новость о дивидендах при возрастании </w:t>
      </w:r>
      <w:r w:rsidR="00502C6F">
        <w:rPr>
          <w:lang w:val="en-US"/>
        </w:rPr>
        <w:t xml:space="preserve">P/BV </w:t>
      </w:r>
      <w:r w:rsidR="00502C6F">
        <w:t xml:space="preserve">у компании. Это можно объяснить особенностями выборки: большая часть компаний принадлежит к ИТ-сектору, который широко представлен на Шэньчжэньской бирже, поддерживающей стартапы и инновационные компании. Представители ИТ имеют высокий </w:t>
      </w:r>
      <w:r w:rsidR="00502C6F">
        <w:rPr>
          <w:lang w:val="en-US"/>
        </w:rPr>
        <w:t xml:space="preserve">P/BV </w:t>
      </w:r>
      <w:r w:rsidR="00502C6F">
        <w:t xml:space="preserve">(выше, чем во всех остальных секторах выборки), и при этом испытывают большую потребность в сигнале, подтверждающем их финансовые перспективы. Поэтому китайский рынок склонен воспринимать новость о дивидендах свыше консенсуса в </w:t>
      </w:r>
      <w:r w:rsidR="001250EE">
        <w:t xml:space="preserve">высоко оцененных </w:t>
      </w:r>
      <w:r w:rsidR="00502C6F">
        <w:t xml:space="preserve">компаниях с более выраженным оптимизмом. </w:t>
      </w:r>
    </w:p>
    <w:p w14:paraId="31E6DEEC" w14:textId="77777777" w:rsidR="007909A4" w:rsidRDefault="00885F20" w:rsidP="007909A4">
      <w:r>
        <w:t>Кроме того, руководству компаний следует учитывать общее настроение на рынке перед объявлением о дивидендах,</w:t>
      </w:r>
      <w:r w:rsidR="00DC5CCC">
        <w:t xml:space="preserve"> поскольку решения инвесторов могут быть подвержены влиянию «контекста»</w:t>
      </w:r>
      <w:r>
        <w:t xml:space="preserve">. Было обнаружено, что в России в периоды подъема рынка или, наоборот, его просадки ниже среднего уровня, инвесторы склонны </w:t>
      </w:r>
      <w:r w:rsidR="00730260">
        <w:t>хуже</w:t>
      </w:r>
      <w:r>
        <w:t xml:space="preserve"> реагировать на дивидендные сюрпризы, вероятно, в связи с более высокой неопределенностью</w:t>
      </w:r>
      <w:r w:rsidR="00DC5CCC">
        <w:t xml:space="preserve">, которая закладывается в ставки дисконтирования денежных потоков компаний, согласно модели </w:t>
      </w:r>
      <w:r w:rsidR="00DC5CCC">
        <w:rPr>
          <w:lang w:val="en-US"/>
        </w:rPr>
        <w:t>Veronesi (1999)</w:t>
      </w:r>
      <w:r w:rsidR="00730260">
        <w:t>. Похожий вывод был сделан и для китайского рынка, на котором в периоды</w:t>
      </w:r>
      <w:r w:rsidR="00DC5CCC">
        <w:t xml:space="preserve"> волатильности на рынке ниже среднего, то есть в услових относительной определенности, </w:t>
      </w:r>
      <w:r w:rsidR="00730260">
        <w:t xml:space="preserve">рынок склонен </w:t>
      </w:r>
      <w:r w:rsidR="00DC5CCC">
        <w:t xml:space="preserve">реагировать лучше на дивидендные сюрпризы, в том числе негативные, </w:t>
      </w:r>
      <w:r w:rsidR="00730260">
        <w:t>чем компания может воспользоваться при необходимости объявления дивиденда ниже ожидаемого.</w:t>
      </w:r>
    </w:p>
    <w:p w14:paraId="142C2FBC" w14:textId="77846B12" w:rsidR="0080545E" w:rsidRDefault="0080545E" w:rsidP="007909A4">
      <w:r>
        <w:t>Таким образом, результаты данного исследования не только вн</w:t>
      </w:r>
      <w:r w:rsidR="00C9192F">
        <w:t>осят</w:t>
      </w:r>
      <w:r>
        <w:t xml:space="preserve"> вклад в область знаний, посвященных ценовой реакции на дивиденды на развивающихся рынках, но и могут быть использованы менеджментом при принятии дивидендных решений. Используя данные о взаимосвязи различных факторов с реакцией рынка, компании могут более точно прогнозировать, какой именно будет реакция на тот или иной дивидендный сюрприз, исходя из своих собственных особенностей и состояния рынка в целом.</w:t>
      </w:r>
      <w:r w:rsidR="000D489D">
        <w:t xml:space="preserve"> </w:t>
      </w:r>
      <w:r w:rsidR="00336AA5">
        <w:t>Инвесторы же могут совершать выгодные сделки по купле-продажи акций вокруг объявления, используя краткосрочные изменения в цене.</w:t>
      </w:r>
    </w:p>
    <w:p w14:paraId="7E2FF445" w14:textId="77777777" w:rsidR="0080545E" w:rsidRDefault="0080545E" w:rsidP="0080545E">
      <w:r>
        <w:t>Из ограничения исследования следует отметить, что для формирования китайской выборки были использованы данные по компаниям, залистингованным на Шэньчжэньской бирже. Однако в Китае есть и другие две биржи – Шанхайская и Гонконгская, которые достаточно сильно отличаются от Шэньчжэньской по составу компаний. Для более полной картины по китайскому рынку имеет смысл провести аналогичное исследование и для этих бирж тоже.</w:t>
      </w:r>
    </w:p>
    <w:p w14:paraId="10BAE505" w14:textId="41F0E830" w:rsidR="0080545E" w:rsidRDefault="0080545E" w:rsidP="0080545E">
      <w:r>
        <w:t xml:space="preserve">Также ограничением выступает период исследования – на полученные результаты достаточно сильно могли повлиять события, происходящие на рынках в это время, поэтому полученные результаты нельзя назвать </w:t>
      </w:r>
      <w:r w:rsidR="00336AA5">
        <w:t xml:space="preserve">абсолютно </w:t>
      </w:r>
      <w:r>
        <w:t xml:space="preserve">универсальными для любого периода. </w:t>
      </w:r>
    </w:p>
    <w:p w14:paraId="6CF09E4C" w14:textId="77777777" w:rsidR="0080545E" w:rsidRPr="0073466A" w:rsidRDefault="0080545E" w:rsidP="0080545E">
      <w:r>
        <w:t>В будущем для продолжения дискуссии на тему ценовой реакции развивающихся рынков на дивидедные «сюрпризы» имеет смысл рассмотреть также переменные, отвечающие за структуру собственности компании. Так, например, можно выявить взаимосвязь реакции на дивиденды с долей в собственности компании институциональных инвесторов, менеджеров-инсайдеров, иностранных собственников. Это потенциально может позволить рассмотреть реакцию рынка на дивидедные сюрпризы в контексте проблем корпоративного управления, а также определить группы «клиентуры» дивидендного дохода в рамках теории «эффекта базы клиента».</w:t>
      </w:r>
    </w:p>
    <w:bookmarkStart w:id="43" w:name="_Toc104840374" w:displacedByCustomXml="next"/>
    <w:sdt>
      <w:sdtPr>
        <w:rPr>
          <w:b w:val="0"/>
          <w:caps w:val="0"/>
          <w:sz w:val="24"/>
        </w:rPr>
        <w:id w:val="-896429468"/>
        <w:docPartObj>
          <w:docPartGallery w:val="Bibliographies"/>
          <w:docPartUnique/>
        </w:docPartObj>
      </w:sdtPr>
      <w:sdtEndPr/>
      <w:sdtContent>
        <w:p w14:paraId="3BB3D483" w14:textId="402C675D" w:rsidR="000D56E7" w:rsidRDefault="000D56E7">
          <w:pPr>
            <w:pStyle w:val="1"/>
          </w:pPr>
          <w:r>
            <w:t>Список литературы</w:t>
          </w:r>
          <w:bookmarkEnd w:id="43"/>
        </w:p>
        <w:sdt>
          <w:sdtPr>
            <w:id w:val="111145805"/>
            <w:bibliography/>
          </w:sdtPr>
          <w:sdtEndPr/>
          <w:sdtContent>
            <w:p w14:paraId="7CEC8678" w14:textId="540B8657" w:rsidR="000D56E7" w:rsidRDefault="000D56E7">
              <w:r>
                <w:fldChar w:fldCharType="begin"/>
              </w:r>
              <w:r>
                <w:instrText>BIBLIOGRAPHY</w:instrText>
              </w:r>
              <w:r w:rsidR="00CF4558">
                <w:fldChar w:fldCharType="separate"/>
              </w:r>
              <w:r>
                <w:rPr>
                  <w:b/>
                  <w:bCs/>
                </w:rPr>
                <w:fldChar w:fldCharType="end"/>
              </w:r>
            </w:p>
          </w:sdtContent>
        </w:sdt>
      </w:sdtContent>
    </w:sdt>
    <w:p w14:paraId="73C0E516" w14:textId="77777777" w:rsidR="003D54E3" w:rsidRPr="00EC20D3" w:rsidRDefault="003D54E3" w:rsidP="00EC20D3">
      <w:pPr>
        <w:pStyle w:val="af7"/>
        <w:numPr>
          <w:ilvl w:val="0"/>
          <w:numId w:val="32"/>
        </w:numPr>
        <w:spacing w:line="360" w:lineRule="auto"/>
        <w:rPr>
          <w:rFonts w:ascii="Times New Roman" w:eastAsia="Times New Roman" w:hAnsi="Times New Roman" w:cs="Times New Roman"/>
          <w:iCs/>
          <w:color w:val="000000"/>
          <w:sz w:val="24"/>
          <w:szCs w:val="24"/>
        </w:rPr>
      </w:pPr>
      <w:r w:rsidRPr="00EC20D3">
        <w:rPr>
          <w:rFonts w:ascii="Times New Roman" w:hAnsi="Times New Roman" w:cs="Times New Roman"/>
          <w:color w:val="222222"/>
          <w:sz w:val="24"/>
          <w:szCs w:val="24"/>
          <w:shd w:val="clear" w:color="auto" w:fill="FFFFFF"/>
        </w:rPr>
        <w:t xml:space="preserve">Абрамов А. Е. и др. Особенности и риски дивидендной политики российских акционерных обществ //Экономическое развитие России. – 2021. – Т. 28. – №. 8. – С. </w:t>
      </w:r>
      <w:proofErr w:type="gramStart"/>
      <w:r w:rsidRPr="00EC20D3">
        <w:rPr>
          <w:rFonts w:ascii="Times New Roman" w:hAnsi="Times New Roman" w:cs="Times New Roman"/>
          <w:color w:val="222222"/>
          <w:sz w:val="24"/>
          <w:szCs w:val="24"/>
          <w:shd w:val="clear" w:color="auto" w:fill="FFFFFF"/>
        </w:rPr>
        <w:t>37-46</w:t>
      </w:r>
      <w:proofErr w:type="gramEnd"/>
      <w:r w:rsidRPr="00EC20D3">
        <w:rPr>
          <w:rFonts w:ascii="Times New Roman" w:hAnsi="Times New Roman" w:cs="Times New Roman"/>
          <w:color w:val="222222"/>
          <w:sz w:val="24"/>
          <w:szCs w:val="24"/>
          <w:shd w:val="clear" w:color="auto" w:fill="FFFFFF"/>
        </w:rPr>
        <w:t>.</w:t>
      </w:r>
    </w:p>
    <w:p w14:paraId="11AFF0F9" w14:textId="242B24D7" w:rsidR="00B0020B" w:rsidRPr="00EC20D3" w:rsidRDefault="00B0020B" w:rsidP="00EC20D3">
      <w:pPr>
        <w:pStyle w:val="af7"/>
        <w:numPr>
          <w:ilvl w:val="0"/>
          <w:numId w:val="32"/>
        </w:numPr>
        <w:pBdr>
          <w:top w:val="nil"/>
          <w:left w:val="nil"/>
          <w:bottom w:val="nil"/>
          <w:right w:val="nil"/>
          <w:between w:val="nil"/>
        </w:pBdr>
        <w:spacing w:line="360" w:lineRule="auto"/>
        <w:rPr>
          <w:rFonts w:ascii="Times New Roman" w:hAnsi="Times New Roman" w:cs="Times New Roman"/>
          <w:iCs/>
          <w:color w:val="000000"/>
          <w:sz w:val="24"/>
          <w:szCs w:val="24"/>
        </w:rPr>
      </w:pPr>
      <w:r w:rsidRPr="00EC20D3">
        <w:rPr>
          <w:rFonts w:ascii="Times New Roman" w:eastAsia="Times New Roman" w:hAnsi="Times New Roman" w:cs="Times New Roman"/>
          <w:iCs/>
          <w:color w:val="000000"/>
          <w:sz w:val="24"/>
          <w:szCs w:val="24"/>
        </w:rPr>
        <w:t xml:space="preserve">Аналитический обзор «Дивидендные выплаты российских компаний за </w:t>
      </w:r>
      <w:proofErr w:type="gramStart"/>
      <w:r w:rsidRPr="00EC20D3">
        <w:rPr>
          <w:rFonts w:ascii="Times New Roman" w:eastAsia="Times New Roman" w:hAnsi="Times New Roman" w:cs="Times New Roman"/>
          <w:iCs/>
          <w:color w:val="000000"/>
          <w:sz w:val="24"/>
          <w:szCs w:val="24"/>
        </w:rPr>
        <w:t>2013-2018</w:t>
      </w:r>
      <w:proofErr w:type="gramEnd"/>
      <w:r w:rsidRPr="00EC20D3">
        <w:rPr>
          <w:rFonts w:ascii="Times New Roman" w:eastAsia="Times New Roman" w:hAnsi="Times New Roman" w:cs="Times New Roman"/>
          <w:iCs/>
          <w:color w:val="000000"/>
          <w:sz w:val="24"/>
          <w:szCs w:val="24"/>
        </w:rPr>
        <w:t xml:space="preserve"> гг.» [Электронный ресурс]. –  Национальное рейтинговое агентство, 2019. - Режим доступа:  </w:t>
      </w:r>
      <w:r w:rsidRPr="00EC20D3">
        <w:rPr>
          <w:rFonts w:ascii="Times New Roman" w:eastAsia="Times New Roman" w:hAnsi="Times New Roman" w:cs="Times New Roman"/>
          <w:iCs/>
          <w:color w:val="000000"/>
          <w:sz w:val="24"/>
          <w:szCs w:val="24"/>
        </w:rPr>
        <w:br/>
        <w:t xml:space="preserve">https://www.ra-national.ru/ru/node/63468. – Загл. с экрана. (дата обращения: 20.04.2022)  </w:t>
      </w:r>
    </w:p>
    <w:p w14:paraId="2783B232" w14:textId="70A4FE3E" w:rsidR="000B46BF" w:rsidRPr="00EC20D3" w:rsidRDefault="000B46BF" w:rsidP="00EC20D3">
      <w:pPr>
        <w:pStyle w:val="af7"/>
        <w:numPr>
          <w:ilvl w:val="0"/>
          <w:numId w:val="32"/>
        </w:numPr>
        <w:spacing w:line="360" w:lineRule="auto"/>
        <w:rPr>
          <w:rFonts w:ascii="Times New Roman" w:eastAsia="Times New Roman" w:hAnsi="Times New Roman" w:cs="Times New Roman"/>
          <w:iCs/>
          <w:color w:val="000000"/>
          <w:sz w:val="24"/>
          <w:szCs w:val="24"/>
        </w:rPr>
      </w:pPr>
      <w:r w:rsidRPr="00EC20D3">
        <w:rPr>
          <w:rFonts w:ascii="Times New Roman" w:eastAsia="Times New Roman" w:hAnsi="Times New Roman" w:cs="Times New Roman"/>
          <w:iCs/>
          <w:color w:val="000000"/>
          <w:sz w:val="24"/>
          <w:szCs w:val="24"/>
        </w:rPr>
        <w:t xml:space="preserve">Аналитический обзор «Дивидендные выплаты российских компаний за </w:t>
      </w:r>
      <w:proofErr w:type="gramStart"/>
      <w:r w:rsidRPr="00EC20D3">
        <w:rPr>
          <w:rFonts w:ascii="Times New Roman" w:eastAsia="Times New Roman" w:hAnsi="Times New Roman" w:cs="Times New Roman"/>
          <w:iCs/>
          <w:color w:val="000000"/>
          <w:sz w:val="24"/>
          <w:szCs w:val="24"/>
        </w:rPr>
        <w:t>2013-2018</w:t>
      </w:r>
      <w:proofErr w:type="gramEnd"/>
      <w:r w:rsidRPr="00EC20D3">
        <w:rPr>
          <w:rFonts w:ascii="Times New Roman" w:eastAsia="Times New Roman" w:hAnsi="Times New Roman" w:cs="Times New Roman"/>
          <w:iCs/>
          <w:color w:val="000000"/>
          <w:sz w:val="24"/>
          <w:szCs w:val="24"/>
        </w:rPr>
        <w:t xml:space="preserve"> гг.», Н</w:t>
      </w:r>
      <w:r w:rsidR="00B0020B" w:rsidRPr="00EC20D3">
        <w:rPr>
          <w:rFonts w:ascii="Times New Roman" w:eastAsia="Times New Roman" w:hAnsi="Times New Roman" w:cs="Times New Roman"/>
          <w:iCs/>
          <w:color w:val="000000"/>
          <w:sz w:val="24"/>
          <w:szCs w:val="24"/>
        </w:rPr>
        <w:t>ациональное</w:t>
      </w:r>
    </w:p>
    <w:p w14:paraId="0257EAC8" w14:textId="77777777" w:rsidR="000B46BF" w:rsidRPr="00EC20D3" w:rsidRDefault="000B46BF" w:rsidP="00EC20D3">
      <w:pPr>
        <w:pStyle w:val="afd"/>
        <w:numPr>
          <w:ilvl w:val="0"/>
          <w:numId w:val="32"/>
        </w:numPr>
        <w:spacing w:line="360" w:lineRule="auto"/>
        <w:rPr>
          <w:sz w:val="24"/>
        </w:rPr>
      </w:pPr>
      <w:r w:rsidRPr="00EC20D3">
        <w:rPr>
          <w:sz w:val="24"/>
        </w:rPr>
        <w:t>Березинец И. В. и др. Реакция российского рынка акций на дивидендные" сюрпризы": эмпирическое исследование //Российский журнал менеджмента. – 2016. – Т. 14. – №. 2. – С. 29-48.</w:t>
      </w:r>
    </w:p>
    <w:p w14:paraId="20E3A28F" w14:textId="14995A3C" w:rsidR="000B46BF" w:rsidRPr="00EC20D3" w:rsidRDefault="000B46BF" w:rsidP="00EC20D3">
      <w:pPr>
        <w:pStyle w:val="af7"/>
        <w:numPr>
          <w:ilvl w:val="0"/>
          <w:numId w:val="32"/>
        </w:numPr>
        <w:spacing w:line="360" w:lineRule="auto"/>
        <w:rPr>
          <w:rFonts w:ascii="Times New Roman" w:hAnsi="Times New Roman" w:cs="Times New Roman"/>
          <w:iCs/>
          <w:sz w:val="24"/>
          <w:szCs w:val="24"/>
        </w:rPr>
      </w:pPr>
      <w:r w:rsidRPr="00EC20D3">
        <w:rPr>
          <w:rFonts w:ascii="Times New Roman" w:hAnsi="Times New Roman" w:cs="Times New Roman"/>
          <w:iCs/>
          <w:sz w:val="24"/>
          <w:szCs w:val="24"/>
        </w:rPr>
        <w:t xml:space="preserve">Березинец И. В. и др. Реакция российского фондового рынка на объявления о выплате дивидендов: эмпирическое исследование //Вестник Санкт-Петербургского университета. Менеджмент. – 2015. – №. 1. – С. </w:t>
      </w:r>
      <w:proofErr w:type="gramStart"/>
      <w:r w:rsidRPr="00EC20D3">
        <w:rPr>
          <w:rFonts w:ascii="Times New Roman" w:hAnsi="Times New Roman" w:cs="Times New Roman"/>
          <w:iCs/>
          <w:sz w:val="24"/>
          <w:szCs w:val="24"/>
        </w:rPr>
        <w:t>44-90</w:t>
      </w:r>
      <w:proofErr w:type="gramEnd"/>
      <w:r w:rsidRPr="00EC20D3">
        <w:rPr>
          <w:rFonts w:ascii="Times New Roman" w:hAnsi="Times New Roman" w:cs="Times New Roman"/>
          <w:iCs/>
          <w:sz w:val="24"/>
          <w:szCs w:val="24"/>
        </w:rPr>
        <w:t>.</w:t>
      </w:r>
    </w:p>
    <w:p w14:paraId="57E005C2" w14:textId="41480742" w:rsidR="000B46BF" w:rsidRPr="00EC20D3" w:rsidRDefault="000B46BF" w:rsidP="00EC20D3">
      <w:pPr>
        <w:pStyle w:val="af7"/>
        <w:numPr>
          <w:ilvl w:val="0"/>
          <w:numId w:val="32"/>
        </w:numPr>
        <w:pBdr>
          <w:top w:val="nil"/>
          <w:left w:val="nil"/>
          <w:bottom w:val="nil"/>
          <w:right w:val="nil"/>
          <w:between w:val="nil"/>
        </w:pBdr>
        <w:spacing w:line="360" w:lineRule="auto"/>
        <w:rPr>
          <w:rFonts w:ascii="Times New Roman" w:hAnsi="Times New Roman" w:cs="Times New Roman"/>
          <w:iCs/>
          <w:color w:val="000000"/>
          <w:sz w:val="24"/>
          <w:szCs w:val="24"/>
        </w:rPr>
      </w:pPr>
      <w:r w:rsidRPr="00EC20D3">
        <w:rPr>
          <w:rFonts w:ascii="Times New Roman" w:eastAsia="Times New Roman" w:hAnsi="Times New Roman" w:cs="Times New Roman"/>
          <w:iCs/>
          <w:color w:val="000000"/>
          <w:sz w:val="24"/>
          <w:szCs w:val="24"/>
        </w:rPr>
        <w:t xml:space="preserve">Как публичные компании платят дивиденды [Электронный ресурс]. –  Журнал «Тинькофф», 2018. - Режим доступа:  </w:t>
      </w:r>
      <w:r w:rsidRPr="00EC20D3">
        <w:rPr>
          <w:rFonts w:ascii="Times New Roman" w:eastAsia="Times New Roman" w:hAnsi="Times New Roman" w:cs="Times New Roman"/>
          <w:iCs/>
          <w:color w:val="000000"/>
          <w:sz w:val="24"/>
          <w:szCs w:val="24"/>
        </w:rPr>
        <w:br/>
        <w:t xml:space="preserve">https://journal.tinkoff.ru/news/50percent/. – Загл. с экрана. (дата обращения: </w:t>
      </w:r>
      <w:r w:rsidR="00B0020B" w:rsidRPr="00EC20D3">
        <w:rPr>
          <w:rFonts w:ascii="Times New Roman" w:eastAsia="Times New Roman" w:hAnsi="Times New Roman" w:cs="Times New Roman"/>
          <w:iCs/>
          <w:color w:val="000000"/>
          <w:sz w:val="24"/>
          <w:szCs w:val="24"/>
        </w:rPr>
        <w:t>20.04.</w:t>
      </w:r>
      <w:r w:rsidRPr="00EC20D3">
        <w:rPr>
          <w:rFonts w:ascii="Times New Roman" w:eastAsia="Times New Roman" w:hAnsi="Times New Roman" w:cs="Times New Roman"/>
          <w:iCs/>
          <w:color w:val="000000"/>
          <w:sz w:val="24"/>
          <w:szCs w:val="24"/>
        </w:rPr>
        <w:t xml:space="preserve">2021)  </w:t>
      </w:r>
    </w:p>
    <w:p w14:paraId="4849D66B" w14:textId="77777777" w:rsidR="000B46BF" w:rsidRPr="00EC20D3" w:rsidRDefault="000B46BF" w:rsidP="00EC20D3">
      <w:pPr>
        <w:pStyle w:val="af7"/>
        <w:numPr>
          <w:ilvl w:val="0"/>
          <w:numId w:val="32"/>
        </w:numPr>
        <w:spacing w:line="360" w:lineRule="auto"/>
        <w:rPr>
          <w:rFonts w:ascii="Times New Roman" w:hAnsi="Times New Roman" w:cs="Times New Roman"/>
          <w:iCs/>
          <w:sz w:val="24"/>
          <w:szCs w:val="24"/>
        </w:rPr>
      </w:pPr>
      <w:r w:rsidRPr="00EC20D3">
        <w:rPr>
          <w:rFonts w:ascii="Times New Roman" w:hAnsi="Times New Roman" w:cs="Times New Roman"/>
          <w:iCs/>
          <w:sz w:val="24"/>
          <w:szCs w:val="24"/>
        </w:rPr>
        <w:t xml:space="preserve">Теплова </w:t>
      </w:r>
      <w:proofErr w:type="gramStart"/>
      <w:r w:rsidRPr="00EC20D3">
        <w:rPr>
          <w:rFonts w:ascii="Times New Roman" w:hAnsi="Times New Roman" w:cs="Times New Roman"/>
          <w:iCs/>
          <w:sz w:val="24"/>
          <w:szCs w:val="24"/>
        </w:rPr>
        <w:t>Т.В.</w:t>
      </w:r>
      <w:proofErr w:type="gramEnd"/>
      <w:r w:rsidRPr="00EC20D3">
        <w:rPr>
          <w:rFonts w:ascii="Times New Roman" w:hAnsi="Times New Roman" w:cs="Times New Roman"/>
          <w:iCs/>
          <w:sz w:val="24"/>
          <w:szCs w:val="24"/>
        </w:rPr>
        <w:t xml:space="preserve"> Влияние дивидендных выплат на рыночную оценку российских компаний: эмпирическое исследование методом событийного анализа на российских и зарубежных торговых // Аудит и финансовый анализ. 2008. Вып. 2.С. 1–15.</w:t>
      </w:r>
    </w:p>
    <w:p w14:paraId="4926FCAE" w14:textId="30377F01" w:rsidR="000B46BF" w:rsidRPr="00EC20D3" w:rsidRDefault="000B46BF" w:rsidP="00EC20D3">
      <w:pPr>
        <w:pStyle w:val="afd"/>
        <w:numPr>
          <w:ilvl w:val="0"/>
          <w:numId w:val="32"/>
        </w:numPr>
        <w:spacing w:line="360" w:lineRule="auto"/>
        <w:rPr>
          <w:sz w:val="24"/>
        </w:rPr>
      </w:pPr>
      <w:r w:rsidRPr="00EC20D3">
        <w:rPr>
          <w:sz w:val="24"/>
        </w:rPr>
        <w:t>Теплова Т.В. Реакция цен акций на объявления денежных дивидендов: сигнализирование на российском рынке до и после кризиса // Финансовый менеджмент.2011. No 1. С. 13–25.</w:t>
      </w:r>
    </w:p>
    <w:p w14:paraId="7C3F2B6D" w14:textId="77777777" w:rsidR="000B46BF" w:rsidRPr="00EC20D3" w:rsidRDefault="000B46BF" w:rsidP="00EC20D3">
      <w:pPr>
        <w:pStyle w:val="afd"/>
        <w:numPr>
          <w:ilvl w:val="0"/>
          <w:numId w:val="32"/>
        </w:numPr>
        <w:spacing w:line="360" w:lineRule="auto"/>
        <w:rPr>
          <w:sz w:val="24"/>
        </w:rPr>
      </w:pPr>
      <w:r w:rsidRPr="00EC20D3">
        <w:rPr>
          <w:sz w:val="24"/>
        </w:rPr>
        <w:t>Aharony J., Swary I. Quarterly dividend and earnings announcements and stockholders' returns: An empirical analysis //The Journal of finance. – 1980. – Т. 35. – №. 1. – С. 1-12.</w:t>
      </w:r>
    </w:p>
    <w:p w14:paraId="1E71DD6D" w14:textId="77777777" w:rsidR="000B46BF" w:rsidRPr="00EC20D3" w:rsidRDefault="000B46BF" w:rsidP="00EC20D3">
      <w:pPr>
        <w:pStyle w:val="af7"/>
        <w:numPr>
          <w:ilvl w:val="0"/>
          <w:numId w:val="32"/>
        </w:numPr>
        <w:spacing w:line="360" w:lineRule="auto"/>
        <w:rPr>
          <w:rFonts w:ascii="Times New Roman" w:hAnsi="Times New Roman" w:cs="Times New Roman"/>
          <w:sz w:val="24"/>
          <w:szCs w:val="24"/>
        </w:rPr>
      </w:pPr>
      <w:r w:rsidRPr="00EC20D3">
        <w:rPr>
          <w:rFonts w:ascii="Times New Roman" w:hAnsi="Times New Roman" w:cs="Times New Roman"/>
          <w:sz w:val="24"/>
          <w:szCs w:val="24"/>
          <w:lang w:val="en-US"/>
        </w:rPr>
        <w:t xml:space="preserve">Amihud Y., Murgia M. Dividends, taxes, and </w:t>
      </w:r>
      <w:proofErr w:type="gramStart"/>
      <w:r w:rsidRPr="00EC20D3">
        <w:rPr>
          <w:rFonts w:ascii="Times New Roman" w:hAnsi="Times New Roman" w:cs="Times New Roman"/>
          <w:sz w:val="24"/>
          <w:szCs w:val="24"/>
          <w:lang w:val="en-US"/>
        </w:rPr>
        <w:t>signaling:</w:t>
      </w:r>
      <w:proofErr w:type="gramEnd"/>
      <w:r w:rsidRPr="00EC20D3">
        <w:rPr>
          <w:rFonts w:ascii="Times New Roman" w:hAnsi="Times New Roman" w:cs="Times New Roman"/>
          <w:sz w:val="24"/>
          <w:szCs w:val="24"/>
          <w:lang w:val="en-US"/>
        </w:rPr>
        <w:t xml:space="preserve"> evidence from Germany //The Journal of Finance. – 1997. – </w:t>
      </w:r>
      <w:r w:rsidRPr="00EC20D3">
        <w:rPr>
          <w:rFonts w:ascii="Times New Roman" w:hAnsi="Times New Roman" w:cs="Times New Roman"/>
          <w:sz w:val="24"/>
          <w:szCs w:val="24"/>
        </w:rPr>
        <w:t>Т</w:t>
      </w:r>
      <w:r w:rsidRPr="00EC20D3">
        <w:rPr>
          <w:rFonts w:ascii="Times New Roman" w:hAnsi="Times New Roman" w:cs="Times New Roman"/>
          <w:sz w:val="24"/>
          <w:szCs w:val="24"/>
          <w:lang w:val="en-US"/>
        </w:rPr>
        <w:t xml:space="preserve">. 52. – №. </w:t>
      </w:r>
      <w:r w:rsidRPr="00EC20D3">
        <w:rPr>
          <w:rFonts w:ascii="Times New Roman" w:hAnsi="Times New Roman" w:cs="Times New Roman"/>
          <w:sz w:val="24"/>
          <w:szCs w:val="24"/>
        </w:rPr>
        <w:t xml:space="preserve">1. – С. </w:t>
      </w:r>
      <w:proofErr w:type="gramStart"/>
      <w:r w:rsidRPr="00EC20D3">
        <w:rPr>
          <w:rFonts w:ascii="Times New Roman" w:hAnsi="Times New Roman" w:cs="Times New Roman"/>
          <w:sz w:val="24"/>
          <w:szCs w:val="24"/>
        </w:rPr>
        <w:t>397-408</w:t>
      </w:r>
      <w:proofErr w:type="gramEnd"/>
      <w:r w:rsidRPr="00EC20D3">
        <w:rPr>
          <w:rFonts w:ascii="Times New Roman" w:hAnsi="Times New Roman" w:cs="Times New Roman"/>
          <w:sz w:val="24"/>
          <w:szCs w:val="24"/>
        </w:rPr>
        <w:t>.</w:t>
      </w:r>
    </w:p>
    <w:p w14:paraId="11485693" w14:textId="77777777" w:rsidR="000B46BF" w:rsidRPr="00EC20D3" w:rsidRDefault="000B46BF" w:rsidP="00EC20D3">
      <w:pPr>
        <w:pStyle w:val="afd"/>
        <w:numPr>
          <w:ilvl w:val="0"/>
          <w:numId w:val="32"/>
        </w:numPr>
        <w:spacing w:line="360" w:lineRule="auto"/>
        <w:rPr>
          <w:sz w:val="24"/>
        </w:rPr>
      </w:pPr>
      <w:r w:rsidRPr="00EC20D3">
        <w:rPr>
          <w:sz w:val="24"/>
        </w:rPr>
        <w:t>Andres C. et al. The information content of dividend surprises: Evidence from Germany //Journal of Business Finance &amp; Accounting. – 2013. – Т. 40. – №. 5-6. – С. 620-645.</w:t>
      </w:r>
    </w:p>
    <w:p w14:paraId="1F2DECD1" w14:textId="77777777" w:rsidR="000B46BF" w:rsidRPr="00EC20D3" w:rsidRDefault="000B46BF" w:rsidP="00EC20D3">
      <w:pPr>
        <w:pStyle w:val="af7"/>
        <w:numPr>
          <w:ilvl w:val="0"/>
          <w:numId w:val="32"/>
        </w:numPr>
        <w:spacing w:line="360" w:lineRule="auto"/>
        <w:rPr>
          <w:rFonts w:ascii="Times New Roman" w:hAnsi="Times New Roman" w:cs="Times New Roman"/>
          <w:sz w:val="24"/>
          <w:szCs w:val="24"/>
        </w:rPr>
      </w:pPr>
      <w:r w:rsidRPr="00EC20D3">
        <w:rPr>
          <w:rFonts w:ascii="Times New Roman" w:hAnsi="Times New Roman" w:cs="Times New Roman"/>
          <w:sz w:val="24"/>
          <w:szCs w:val="24"/>
          <w:lang w:val="en-US"/>
        </w:rPr>
        <w:t xml:space="preserve">Bajaj M., Vijh A. M. Dividend clienteles and the information content of dividend changes //Journal of Financial Economics. – 1990. – </w:t>
      </w:r>
      <w:r w:rsidRPr="00EC20D3">
        <w:rPr>
          <w:rFonts w:ascii="Times New Roman" w:hAnsi="Times New Roman" w:cs="Times New Roman"/>
          <w:sz w:val="24"/>
          <w:szCs w:val="24"/>
        </w:rPr>
        <w:t>Т</w:t>
      </w:r>
      <w:r w:rsidRPr="00EC20D3">
        <w:rPr>
          <w:rFonts w:ascii="Times New Roman" w:hAnsi="Times New Roman" w:cs="Times New Roman"/>
          <w:sz w:val="24"/>
          <w:szCs w:val="24"/>
          <w:lang w:val="en-US"/>
        </w:rPr>
        <w:t xml:space="preserve">. 26. – №. </w:t>
      </w:r>
      <w:r w:rsidRPr="00EC20D3">
        <w:rPr>
          <w:rFonts w:ascii="Times New Roman" w:hAnsi="Times New Roman" w:cs="Times New Roman"/>
          <w:sz w:val="24"/>
          <w:szCs w:val="24"/>
        </w:rPr>
        <w:t xml:space="preserve">2. – С. </w:t>
      </w:r>
      <w:proofErr w:type="gramStart"/>
      <w:r w:rsidRPr="00EC20D3">
        <w:rPr>
          <w:rFonts w:ascii="Times New Roman" w:hAnsi="Times New Roman" w:cs="Times New Roman"/>
          <w:sz w:val="24"/>
          <w:szCs w:val="24"/>
        </w:rPr>
        <w:t>193-219</w:t>
      </w:r>
      <w:proofErr w:type="gramEnd"/>
      <w:r w:rsidRPr="00EC20D3">
        <w:rPr>
          <w:rFonts w:ascii="Times New Roman" w:hAnsi="Times New Roman" w:cs="Times New Roman"/>
          <w:sz w:val="24"/>
          <w:szCs w:val="24"/>
        </w:rPr>
        <w:t>.</w:t>
      </w:r>
    </w:p>
    <w:p w14:paraId="3FE2D63B" w14:textId="77777777" w:rsidR="000B46BF" w:rsidRPr="00EC20D3" w:rsidRDefault="000B46BF" w:rsidP="00EC20D3">
      <w:pPr>
        <w:pStyle w:val="af7"/>
        <w:numPr>
          <w:ilvl w:val="0"/>
          <w:numId w:val="32"/>
        </w:numPr>
        <w:spacing w:line="360" w:lineRule="auto"/>
        <w:rPr>
          <w:rStyle w:val="afe"/>
          <w:sz w:val="24"/>
        </w:rPr>
      </w:pPr>
      <w:r w:rsidRPr="00EC20D3">
        <w:rPr>
          <w:rStyle w:val="afe"/>
          <w:sz w:val="24"/>
          <w:highlight w:val="white"/>
        </w:rPr>
        <w:t>Bertrand P., Dury M. E., Xiao B. A study of Chinese market efficiency, Shanghai versus Shenzhen: Evidence based on multifractional models //Mathematical Methods in Economics and Finance. – 2020. – Т. 13. – С. 19-36.</w:t>
      </w:r>
    </w:p>
    <w:p w14:paraId="7C417A22" w14:textId="77777777" w:rsidR="000B46BF" w:rsidRPr="00EC20D3" w:rsidRDefault="000B46BF" w:rsidP="00EC20D3">
      <w:pPr>
        <w:pStyle w:val="afd"/>
        <w:numPr>
          <w:ilvl w:val="0"/>
          <w:numId w:val="32"/>
        </w:numPr>
        <w:spacing w:line="360" w:lineRule="auto"/>
        <w:rPr>
          <w:sz w:val="24"/>
        </w:rPr>
      </w:pPr>
      <w:r w:rsidRPr="00EC20D3">
        <w:rPr>
          <w:sz w:val="24"/>
        </w:rPr>
        <w:t xml:space="preserve">Best R. J., Best R. W. Prior </w:t>
      </w:r>
      <w:proofErr w:type="gramStart"/>
      <w:r w:rsidRPr="00EC20D3">
        <w:rPr>
          <w:sz w:val="24"/>
        </w:rPr>
        <w:t>information</w:t>
      </w:r>
      <w:proofErr w:type="gramEnd"/>
      <w:r w:rsidRPr="00EC20D3">
        <w:rPr>
          <w:sz w:val="24"/>
        </w:rPr>
        <w:t xml:space="preserve"> and the market reaction to dividend changes //Review of Quantitative Finance and Accounting. – 2001. – Т. 17. – №. 4. – С. 361-376.</w:t>
      </w:r>
    </w:p>
    <w:p w14:paraId="76F76F59" w14:textId="6A2E7BC7" w:rsidR="000B46BF" w:rsidRPr="00EC20D3" w:rsidRDefault="000B46BF" w:rsidP="00EC20D3">
      <w:pPr>
        <w:pStyle w:val="af7"/>
        <w:numPr>
          <w:ilvl w:val="0"/>
          <w:numId w:val="32"/>
        </w:numPr>
        <w:spacing w:line="360" w:lineRule="auto"/>
        <w:rPr>
          <w:rFonts w:ascii="Times New Roman" w:hAnsi="Times New Roman" w:cs="Times New Roman"/>
          <w:color w:val="222222"/>
          <w:sz w:val="24"/>
          <w:szCs w:val="24"/>
          <w:shd w:val="clear" w:color="auto" w:fill="FFFFFF"/>
          <w:lang w:val="en-US"/>
        </w:rPr>
      </w:pPr>
      <w:r w:rsidRPr="00EC20D3">
        <w:rPr>
          <w:rFonts w:ascii="Times New Roman" w:hAnsi="Times New Roman" w:cs="Times New Roman"/>
          <w:color w:val="222222"/>
          <w:sz w:val="24"/>
          <w:szCs w:val="24"/>
          <w:shd w:val="clear" w:color="auto" w:fill="FFFFFF"/>
          <w:lang w:val="en-US"/>
        </w:rPr>
        <w:t xml:space="preserve">Bhattacharya S. Imperfect information, dividend policy, and" the bird in the hand" fallacy //The bell journal of economics. – 1979. – </w:t>
      </w:r>
      <w:r w:rsidRPr="00EC20D3">
        <w:rPr>
          <w:rFonts w:ascii="Times New Roman" w:hAnsi="Times New Roman" w:cs="Times New Roman"/>
          <w:color w:val="222222"/>
          <w:sz w:val="24"/>
          <w:szCs w:val="24"/>
          <w:shd w:val="clear" w:color="auto" w:fill="FFFFFF"/>
        </w:rPr>
        <w:t>С</w:t>
      </w:r>
      <w:r w:rsidRPr="00EC20D3">
        <w:rPr>
          <w:rFonts w:ascii="Times New Roman" w:hAnsi="Times New Roman" w:cs="Times New Roman"/>
          <w:color w:val="222222"/>
          <w:sz w:val="24"/>
          <w:szCs w:val="24"/>
          <w:shd w:val="clear" w:color="auto" w:fill="FFFFFF"/>
          <w:lang w:val="en-US"/>
        </w:rPr>
        <w:t>. 259-270.</w:t>
      </w:r>
    </w:p>
    <w:p w14:paraId="144F822C" w14:textId="494195A5" w:rsidR="00B92047" w:rsidRPr="00EC20D3" w:rsidRDefault="00B92047" w:rsidP="00EC20D3">
      <w:pPr>
        <w:pStyle w:val="af7"/>
        <w:numPr>
          <w:ilvl w:val="0"/>
          <w:numId w:val="32"/>
        </w:numPr>
        <w:spacing w:line="360" w:lineRule="auto"/>
        <w:rPr>
          <w:rFonts w:ascii="Times New Roman" w:hAnsi="Times New Roman" w:cs="Times New Roman"/>
          <w:color w:val="222222"/>
          <w:sz w:val="24"/>
          <w:szCs w:val="24"/>
          <w:shd w:val="clear" w:color="auto" w:fill="FFFFFF"/>
          <w:lang w:val="en-US"/>
        </w:rPr>
      </w:pPr>
      <w:r w:rsidRPr="00EC20D3">
        <w:rPr>
          <w:rStyle w:val="afe"/>
          <w:sz w:val="24"/>
        </w:rPr>
        <w:t xml:space="preserve">Business extent of disclosure index [Электронный ресурс]. –  The World Bank, 2021. – Режим доступа: </w:t>
      </w:r>
      <w:hyperlink r:id="rId26" w:history="1">
        <w:r w:rsidRPr="00EC20D3">
          <w:rPr>
            <w:rStyle w:val="afe"/>
            <w:sz w:val="24"/>
          </w:rPr>
          <w:t>https://data.worldbank.org/indicator/IC.BUS.DISC.XQ</w:t>
        </w:r>
      </w:hyperlink>
      <w:r w:rsidRPr="00EC20D3">
        <w:rPr>
          <w:rStyle w:val="afe"/>
          <w:sz w:val="24"/>
        </w:rPr>
        <w:t>. – Загл. с экрана. (дата обращения: 20.04.2022)</w:t>
      </w:r>
      <w:r w:rsidRPr="00EC20D3">
        <w:rPr>
          <w:rFonts w:ascii="Times New Roman" w:eastAsia="Times New Roman" w:hAnsi="Times New Roman" w:cs="Times New Roman"/>
          <w:iCs/>
          <w:color w:val="000000"/>
          <w:sz w:val="24"/>
          <w:szCs w:val="24"/>
        </w:rPr>
        <w:t xml:space="preserve">   </w:t>
      </w:r>
    </w:p>
    <w:p w14:paraId="0D77930F" w14:textId="77777777" w:rsidR="000B46BF" w:rsidRPr="00EC20D3" w:rsidRDefault="000B46BF" w:rsidP="00EC20D3">
      <w:pPr>
        <w:pStyle w:val="af7"/>
        <w:numPr>
          <w:ilvl w:val="0"/>
          <w:numId w:val="32"/>
        </w:numPr>
        <w:spacing w:line="360" w:lineRule="auto"/>
        <w:rPr>
          <w:rFonts w:ascii="Times New Roman" w:hAnsi="Times New Roman" w:cs="Times New Roman"/>
          <w:sz w:val="24"/>
          <w:szCs w:val="24"/>
        </w:rPr>
      </w:pPr>
      <w:r w:rsidRPr="00EC20D3">
        <w:rPr>
          <w:rFonts w:ascii="Times New Roman" w:hAnsi="Times New Roman" w:cs="Times New Roman"/>
          <w:sz w:val="24"/>
          <w:szCs w:val="24"/>
          <w:lang w:val="en-US"/>
        </w:rPr>
        <w:t xml:space="preserve">Chakravarty S., Sarkar A., Wu L. Information asymmetry, market segmentation and the pricing of cross-listed shares: theory and evidence from Chinese A and B shares //Journal of International Financial Markets, Institutions and Money. – 1998. – </w:t>
      </w:r>
      <w:r w:rsidRPr="00EC20D3">
        <w:rPr>
          <w:rFonts w:ascii="Times New Roman" w:hAnsi="Times New Roman" w:cs="Times New Roman"/>
          <w:sz w:val="24"/>
          <w:szCs w:val="24"/>
        </w:rPr>
        <w:t>Т</w:t>
      </w:r>
      <w:r w:rsidRPr="00EC20D3">
        <w:rPr>
          <w:rFonts w:ascii="Times New Roman" w:hAnsi="Times New Roman" w:cs="Times New Roman"/>
          <w:sz w:val="24"/>
          <w:szCs w:val="24"/>
          <w:lang w:val="en-US"/>
        </w:rPr>
        <w:t xml:space="preserve">. 8. – №. </w:t>
      </w:r>
      <w:proofErr w:type="gramStart"/>
      <w:r w:rsidRPr="00EC20D3">
        <w:rPr>
          <w:rFonts w:ascii="Times New Roman" w:hAnsi="Times New Roman" w:cs="Times New Roman"/>
          <w:sz w:val="24"/>
          <w:szCs w:val="24"/>
        </w:rPr>
        <w:t>3-4</w:t>
      </w:r>
      <w:proofErr w:type="gramEnd"/>
      <w:r w:rsidRPr="00EC20D3">
        <w:rPr>
          <w:rFonts w:ascii="Times New Roman" w:hAnsi="Times New Roman" w:cs="Times New Roman"/>
          <w:sz w:val="24"/>
          <w:szCs w:val="24"/>
        </w:rPr>
        <w:t>. – С. 325-356.</w:t>
      </w:r>
    </w:p>
    <w:p w14:paraId="3F516550" w14:textId="77777777" w:rsidR="000B46BF" w:rsidRPr="00EC20D3" w:rsidRDefault="000B46BF" w:rsidP="00EC20D3">
      <w:pPr>
        <w:pStyle w:val="af7"/>
        <w:numPr>
          <w:ilvl w:val="0"/>
          <w:numId w:val="32"/>
        </w:numPr>
        <w:spacing w:line="360" w:lineRule="auto"/>
        <w:rPr>
          <w:rFonts w:ascii="Times New Roman" w:hAnsi="Times New Roman" w:cs="Times New Roman"/>
          <w:color w:val="222222"/>
          <w:sz w:val="24"/>
          <w:szCs w:val="24"/>
          <w:shd w:val="clear" w:color="auto" w:fill="FFFFFF"/>
        </w:rPr>
      </w:pPr>
      <w:r w:rsidRPr="00EC20D3">
        <w:rPr>
          <w:rFonts w:ascii="Times New Roman" w:hAnsi="Times New Roman" w:cs="Times New Roman"/>
          <w:color w:val="222222"/>
          <w:sz w:val="24"/>
          <w:szCs w:val="24"/>
          <w:shd w:val="clear" w:color="auto" w:fill="FFFFFF"/>
          <w:lang w:val="en-US"/>
        </w:rPr>
        <w:t xml:space="preserve">Chan K., Menkveld A. J., Yang Z. Information asymmetry and asset prices: Evidence from the China foreign share discount //The Journal of Finance. – 2008. – </w:t>
      </w:r>
      <w:r w:rsidRPr="00EC20D3">
        <w:rPr>
          <w:rFonts w:ascii="Times New Roman" w:hAnsi="Times New Roman" w:cs="Times New Roman"/>
          <w:color w:val="222222"/>
          <w:sz w:val="24"/>
          <w:szCs w:val="24"/>
          <w:shd w:val="clear" w:color="auto" w:fill="FFFFFF"/>
        </w:rPr>
        <w:t>Т</w:t>
      </w:r>
      <w:r w:rsidRPr="00EC20D3">
        <w:rPr>
          <w:rFonts w:ascii="Times New Roman" w:hAnsi="Times New Roman" w:cs="Times New Roman"/>
          <w:color w:val="222222"/>
          <w:sz w:val="24"/>
          <w:szCs w:val="24"/>
          <w:shd w:val="clear" w:color="auto" w:fill="FFFFFF"/>
          <w:lang w:val="en-US"/>
        </w:rPr>
        <w:t xml:space="preserve">. 63. – №. </w:t>
      </w:r>
      <w:r w:rsidRPr="00EC20D3">
        <w:rPr>
          <w:rFonts w:ascii="Times New Roman" w:hAnsi="Times New Roman" w:cs="Times New Roman"/>
          <w:color w:val="222222"/>
          <w:sz w:val="24"/>
          <w:szCs w:val="24"/>
          <w:shd w:val="clear" w:color="auto" w:fill="FFFFFF"/>
        </w:rPr>
        <w:t xml:space="preserve">1. – С. </w:t>
      </w:r>
      <w:proofErr w:type="gramStart"/>
      <w:r w:rsidRPr="00EC20D3">
        <w:rPr>
          <w:rFonts w:ascii="Times New Roman" w:hAnsi="Times New Roman" w:cs="Times New Roman"/>
          <w:color w:val="222222"/>
          <w:sz w:val="24"/>
          <w:szCs w:val="24"/>
          <w:shd w:val="clear" w:color="auto" w:fill="FFFFFF"/>
        </w:rPr>
        <w:t>159-196</w:t>
      </w:r>
      <w:proofErr w:type="gramEnd"/>
      <w:r w:rsidRPr="00EC20D3">
        <w:rPr>
          <w:rFonts w:ascii="Times New Roman" w:hAnsi="Times New Roman" w:cs="Times New Roman"/>
          <w:color w:val="222222"/>
          <w:sz w:val="24"/>
          <w:szCs w:val="24"/>
          <w:shd w:val="clear" w:color="auto" w:fill="FFFFFF"/>
        </w:rPr>
        <w:t>.</w:t>
      </w:r>
    </w:p>
    <w:p w14:paraId="30A8971D" w14:textId="77777777" w:rsidR="000B46BF" w:rsidRPr="00EC20D3" w:rsidRDefault="000B46BF" w:rsidP="00EC20D3">
      <w:pPr>
        <w:pStyle w:val="afd"/>
        <w:numPr>
          <w:ilvl w:val="0"/>
          <w:numId w:val="32"/>
        </w:numPr>
        <w:spacing w:line="360" w:lineRule="auto"/>
        <w:rPr>
          <w:sz w:val="24"/>
        </w:rPr>
      </w:pPr>
      <w:r w:rsidRPr="00EC20D3">
        <w:rPr>
          <w:sz w:val="24"/>
        </w:rPr>
        <w:t>Chen D. H., Liu H. H., Huang C. T. The announcement effect of cash dividend changes on share prices: An empirical analysis of China //Chinese Economy. – 2009. – Т. 42. – №. 1. – С. 62-85.</w:t>
      </w:r>
    </w:p>
    <w:p w14:paraId="4EBA0056" w14:textId="77777777" w:rsidR="000B46BF" w:rsidRPr="00EC20D3" w:rsidRDefault="000B46BF" w:rsidP="00EC20D3">
      <w:pPr>
        <w:pStyle w:val="af7"/>
        <w:numPr>
          <w:ilvl w:val="0"/>
          <w:numId w:val="32"/>
        </w:numPr>
        <w:pBdr>
          <w:top w:val="nil"/>
          <w:left w:val="nil"/>
          <w:bottom w:val="nil"/>
          <w:right w:val="nil"/>
          <w:between w:val="nil"/>
        </w:pBdr>
        <w:spacing w:line="360" w:lineRule="auto"/>
        <w:rPr>
          <w:rStyle w:val="afe"/>
          <w:rFonts w:eastAsia="Arial"/>
          <w:sz w:val="24"/>
        </w:rPr>
      </w:pPr>
      <w:r w:rsidRPr="00EC20D3">
        <w:rPr>
          <w:rStyle w:val="afe"/>
          <w:rFonts w:eastAsia="Arial"/>
          <w:sz w:val="24"/>
          <w:highlight w:val="white"/>
        </w:rPr>
        <w:t>China’s Stock Market</w:t>
      </w:r>
      <w:r w:rsidRPr="00EC20D3">
        <w:rPr>
          <w:rStyle w:val="afe"/>
          <w:rFonts w:eastAsia="Arial"/>
          <w:sz w:val="24"/>
          <w:highlight w:val="white"/>
          <w:lang w:val="ru-RU"/>
        </w:rPr>
        <w:t xml:space="preserve">, </w:t>
      </w:r>
      <w:r w:rsidRPr="00EC20D3">
        <w:rPr>
          <w:rStyle w:val="afe"/>
          <w:rFonts w:eastAsia="Arial"/>
          <w:sz w:val="24"/>
          <w:highlight w:val="white"/>
        </w:rPr>
        <w:t>Including Shanghai, Shenzhen, and Hong Kong</w:t>
      </w:r>
      <w:r w:rsidRPr="00EC20D3">
        <w:rPr>
          <w:rStyle w:val="afe"/>
          <w:rFonts w:eastAsia="Arial"/>
          <w:sz w:val="24"/>
          <w:highlight w:val="white"/>
          <w:lang w:val="ru-RU"/>
        </w:rPr>
        <w:t xml:space="preserve"> </w:t>
      </w:r>
      <w:r w:rsidRPr="00EC20D3">
        <w:rPr>
          <w:rStyle w:val="afe"/>
          <w:rFonts w:eastAsia="Arial"/>
          <w:sz w:val="24"/>
          <w:highlight w:val="white"/>
        </w:rPr>
        <w:t xml:space="preserve">[Электронный ресурс]. </w:t>
      </w:r>
      <w:proofErr w:type="gramStart"/>
      <w:r w:rsidRPr="00EC20D3">
        <w:rPr>
          <w:rStyle w:val="afe"/>
          <w:rFonts w:eastAsia="Arial"/>
          <w:sz w:val="24"/>
          <w:highlight w:val="white"/>
        </w:rPr>
        <w:t>–  “</w:t>
      </w:r>
      <w:proofErr w:type="gramEnd"/>
      <w:r w:rsidRPr="00EC20D3">
        <w:rPr>
          <w:rStyle w:val="afe"/>
          <w:rFonts w:eastAsia="Arial"/>
          <w:sz w:val="24"/>
          <w:highlight w:val="white"/>
        </w:rPr>
        <w:t>The Balance”, 2022. -</w:t>
      </w:r>
      <w:r w:rsidRPr="00EC20D3">
        <w:rPr>
          <w:rFonts w:ascii="Times New Roman" w:eastAsia="Times New Roman" w:hAnsi="Times New Roman" w:cs="Times New Roman"/>
          <w:color w:val="000000"/>
          <w:sz w:val="24"/>
          <w:szCs w:val="24"/>
        </w:rPr>
        <w:t xml:space="preserve"> Режим доступа:  </w:t>
      </w:r>
      <w:r w:rsidRPr="00EC20D3">
        <w:rPr>
          <w:rFonts w:ascii="Times New Roman" w:eastAsia="Times New Roman" w:hAnsi="Times New Roman" w:cs="Times New Roman"/>
          <w:color w:val="000000"/>
          <w:sz w:val="24"/>
          <w:szCs w:val="24"/>
        </w:rPr>
        <w:br/>
      </w:r>
      <w:proofErr w:type="gramStart"/>
      <w:r w:rsidRPr="00EC20D3">
        <w:rPr>
          <w:rStyle w:val="afe"/>
          <w:rFonts w:eastAsia="Arial"/>
          <w:sz w:val="24"/>
          <w:highlight w:val="white"/>
        </w:rPr>
        <w:t>https://www.thebalance.com/china-stock-market-shanghai-shenzhen-hong-kong-3305480</w:t>
      </w:r>
      <w:r w:rsidRPr="00EC20D3">
        <w:rPr>
          <w:rStyle w:val="afe"/>
          <w:rFonts w:eastAsia="Arial"/>
          <w:sz w:val="24"/>
          <w:lang w:val="ru-RU"/>
        </w:rPr>
        <w:t xml:space="preserve"> </w:t>
      </w:r>
      <w:r w:rsidRPr="00EC20D3">
        <w:rPr>
          <w:rFonts w:ascii="Times New Roman" w:hAnsi="Times New Roman" w:cs="Times New Roman"/>
          <w:color w:val="000000"/>
          <w:sz w:val="24"/>
          <w:szCs w:val="24"/>
        </w:rPr>
        <w:t>.</w:t>
      </w:r>
      <w:proofErr w:type="gramEnd"/>
      <w:r w:rsidRPr="00EC20D3">
        <w:rPr>
          <w:rFonts w:ascii="Times New Roman" w:hAnsi="Times New Roman" w:cs="Times New Roman"/>
          <w:color w:val="000000"/>
          <w:sz w:val="24"/>
          <w:szCs w:val="24"/>
        </w:rPr>
        <w:t xml:space="preserve"> </w:t>
      </w:r>
      <w:r w:rsidRPr="00EC20D3">
        <w:rPr>
          <w:rFonts w:ascii="Times New Roman" w:eastAsia="Times New Roman" w:hAnsi="Times New Roman" w:cs="Times New Roman"/>
          <w:color w:val="000000"/>
          <w:sz w:val="24"/>
          <w:szCs w:val="24"/>
        </w:rPr>
        <w:t>– Загл. с экрана. (дата</w:t>
      </w:r>
      <w:r w:rsidRPr="00EC20D3">
        <w:rPr>
          <w:rFonts w:ascii="Times New Roman" w:hAnsi="Times New Roman" w:cs="Times New Roman"/>
          <w:color w:val="000000"/>
          <w:sz w:val="24"/>
          <w:szCs w:val="24"/>
          <w:lang w:val="en-US"/>
        </w:rPr>
        <w:t xml:space="preserve"> </w:t>
      </w:r>
      <w:r w:rsidRPr="00EC20D3">
        <w:rPr>
          <w:rFonts w:ascii="Times New Roman" w:hAnsi="Times New Roman" w:cs="Times New Roman"/>
          <w:color w:val="000000"/>
          <w:sz w:val="24"/>
          <w:szCs w:val="24"/>
        </w:rPr>
        <w:t>образения 20.04.2022)</w:t>
      </w:r>
      <w:r w:rsidRPr="00EC20D3">
        <w:rPr>
          <w:rFonts w:ascii="Times New Roman" w:eastAsia="Times New Roman" w:hAnsi="Times New Roman" w:cs="Times New Roman"/>
          <w:color w:val="000000"/>
          <w:sz w:val="24"/>
          <w:szCs w:val="24"/>
        </w:rPr>
        <w:t xml:space="preserve"> </w:t>
      </w:r>
    </w:p>
    <w:p w14:paraId="50ABC40D" w14:textId="77777777" w:rsidR="000B46BF" w:rsidRPr="00EC20D3" w:rsidRDefault="000B46BF" w:rsidP="00EC20D3">
      <w:pPr>
        <w:pStyle w:val="af7"/>
        <w:numPr>
          <w:ilvl w:val="0"/>
          <w:numId w:val="32"/>
        </w:numPr>
        <w:spacing w:line="360" w:lineRule="auto"/>
        <w:rPr>
          <w:rFonts w:ascii="Times New Roman" w:hAnsi="Times New Roman" w:cs="Times New Roman"/>
          <w:color w:val="222222"/>
          <w:sz w:val="24"/>
          <w:szCs w:val="24"/>
          <w:shd w:val="clear" w:color="auto" w:fill="FFFFFF"/>
        </w:rPr>
      </w:pPr>
      <w:r w:rsidRPr="00EC20D3">
        <w:rPr>
          <w:rFonts w:ascii="Times New Roman" w:hAnsi="Times New Roman" w:cs="Times New Roman"/>
          <w:color w:val="222222"/>
          <w:sz w:val="24"/>
          <w:szCs w:val="24"/>
          <w:shd w:val="clear" w:color="auto" w:fill="FFFFFF"/>
          <w:lang w:val="en-US"/>
        </w:rPr>
        <w:t xml:space="preserve">Daniels K., Shin T. S., Lee C. F. The information content of dividend hypothesis: A permanent income approach //International review of economics &amp; finance. – 1997. – </w:t>
      </w:r>
      <w:r w:rsidRPr="00EC20D3">
        <w:rPr>
          <w:rFonts w:ascii="Times New Roman" w:hAnsi="Times New Roman" w:cs="Times New Roman"/>
          <w:color w:val="222222"/>
          <w:sz w:val="24"/>
          <w:szCs w:val="24"/>
          <w:shd w:val="clear" w:color="auto" w:fill="FFFFFF"/>
        </w:rPr>
        <w:t>Т</w:t>
      </w:r>
      <w:r w:rsidRPr="00EC20D3">
        <w:rPr>
          <w:rFonts w:ascii="Times New Roman" w:hAnsi="Times New Roman" w:cs="Times New Roman"/>
          <w:color w:val="222222"/>
          <w:sz w:val="24"/>
          <w:szCs w:val="24"/>
          <w:shd w:val="clear" w:color="auto" w:fill="FFFFFF"/>
          <w:lang w:val="en-US"/>
        </w:rPr>
        <w:t xml:space="preserve">. 6. – №. </w:t>
      </w:r>
      <w:r w:rsidRPr="00EC20D3">
        <w:rPr>
          <w:rFonts w:ascii="Times New Roman" w:hAnsi="Times New Roman" w:cs="Times New Roman"/>
          <w:color w:val="222222"/>
          <w:sz w:val="24"/>
          <w:szCs w:val="24"/>
          <w:shd w:val="clear" w:color="auto" w:fill="FFFFFF"/>
        </w:rPr>
        <w:t xml:space="preserve">1. – С. </w:t>
      </w:r>
      <w:proofErr w:type="gramStart"/>
      <w:r w:rsidRPr="00EC20D3">
        <w:rPr>
          <w:rFonts w:ascii="Times New Roman" w:hAnsi="Times New Roman" w:cs="Times New Roman"/>
          <w:color w:val="222222"/>
          <w:sz w:val="24"/>
          <w:szCs w:val="24"/>
          <w:shd w:val="clear" w:color="auto" w:fill="FFFFFF"/>
        </w:rPr>
        <w:t>77-86</w:t>
      </w:r>
      <w:proofErr w:type="gramEnd"/>
      <w:r w:rsidRPr="00EC20D3">
        <w:rPr>
          <w:rFonts w:ascii="Times New Roman" w:hAnsi="Times New Roman" w:cs="Times New Roman"/>
          <w:color w:val="222222"/>
          <w:sz w:val="24"/>
          <w:szCs w:val="24"/>
          <w:shd w:val="clear" w:color="auto" w:fill="FFFFFF"/>
        </w:rPr>
        <w:t>.</w:t>
      </w:r>
    </w:p>
    <w:p w14:paraId="688CF445" w14:textId="77777777" w:rsidR="000B46BF" w:rsidRPr="00EC20D3" w:rsidRDefault="000B46BF" w:rsidP="00EC20D3">
      <w:pPr>
        <w:pStyle w:val="afd"/>
        <w:numPr>
          <w:ilvl w:val="0"/>
          <w:numId w:val="32"/>
        </w:numPr>
        <w:spacing w:line="360" w:lineRule="auto"/>
        <w:rPr>
          <w:sz w:val="24"/>
        </w:rPr>
      </w:pPr>
      <w:r w:rsidRPr="00EC20D3">
        <w:rPr>
          <w:sz w:val="24"/>
        </w:rPr>
        <w:t>Dhillon U., Raman K., Ramirez G. G. Analysts' Dividend Forecasts and Dividend Signaling //Available at SSRN 420782. – 2003.</w:t>
      </w:r>
    </w:p>
    <w:p w14:paraId="0283FB33" w14:textId="77777777" w:rsidR="000B46BF" w:rsidRPr="00EC20D3" w:rsidRDefault="000B46BF" w:rsidP="00EC20D3">
      <w:pPr>
        <w:pStyle w:val="af7"/>
        <w:numPr>
          <w:ilvl w:val="0"/>
          <w:numId w:val="32"/>
        </w:numPr>
        <w:pBdr>
          <w:top w:val="nil"/>
          <w:left w:val="nil"/>
          <w:bottom w:val="nil"/>
          <w:right w:val="nil"/>
          <w:between w:val="nil"/>
        </w:pBdr>
        <w:spacing w:line="360" w:lineRule="auto"/>
        <w:rPr>
          <w:rFonts w:ascii="Times New Roman" w:hAnsi="Times New Roman" w:cs="Times New Roman"/>
          <w:color w:val="000000"/>
          <w:sz w:val="24"/>
          <w:szCs w:val="24"/>
        </w:rPr>
      </w:pPr>
      <w:r w:rsidRPr="00EC20D3">
        <w:rPr>
          <w:rFonts w:ascii="Times New Roman" w:eastAsia="Times New Roman" w:hAnsi="Times New Roman" w:cs="Times New Roman"/>
          <w:color w:val="000000"/>
          <w:sz w:val="24"/>
          <w:szCs w:val="24"/>
          <w:lang w:val="en-US"/>
        </w:rPr>
        <w:t>Dividend policy and ownership structure: A study of Russian dual-class stock companies. </w:t>
      </w:r>
      <w:r w:rsidRPr="00EC20D3">
        <w:rPr>
          <w:rFonts w:ascii="Times New Roman" w:eastAsia="Times New Roman" w:hAnsi="Times New Roman" w:cs="Times New Roman"/>
          <w:color w:val="000000"/>
          <w:sz w:val="24"/>
          <w:szCs w:val="24"/>
        </w:rPr>
        <w:t>2017 Corporate Ownership &amp; Control, 15(</w:t>
      </w:r>
      <w:proofErr w:type="gramStart"/>
      <w:r w:rsidRPr="00EC20D3">
        <w:rPr>
          <w:rFonts w:ascii="Times New Roman" w:eastAsia="Times New Roman" w:hAnsi="Times New Roman" w:cs="Times New Roman"/>
          <w:color w:val="000000"/>
          <w:sz w:val="24"/>
          <w:szCs w:val="24"/>
        </w:rPr>
        <w:t>1-1</w:t>
      </w:r>
      <w:proofErr w:type="gramEnd"/>
      <w:r w:rsidRPr="00EC20D3">
        <w:rPr>
          <w:rFonts w:ascii="Times New Roman" w:eastAsia="Times New Roman" w:hAnsi="Times New Roman" w:cs="Times New Roman"/>
          <w:color w:val="000000"/>
          <w:sz w:val="24"/>
          <w:szCs w:val="24"/>
        </w:rPr>
        <w:t>), 199-212 (Berezinets I., Ilina Y., Alekseeva, L.)</w:t>
      </w:r>
      <w:r w:rsidRPr="00EC20D3">
        <w:rPr>
          <w:rFonts w:ascii="Times New Roman" w:eastAsia="Arial" w:hAnsi="Times New Roman" w:cs="Times New Roman"/>
          <w:color w:val="100506"/>
          <w:sz w:val="24"/>
          <w:szCs w:val="24"/>
        </w:rPr>
        <w:t> </w:t>
      </w:r>
    </w:p>
    <w:p w14:paraId="1C4877DF" w14:textId="77777777" w:rsidR="000B46BF" w:rsidRPr="00EC20D3" w:rsidRDefault="000B46BF" w:rsidP="00EC20D3">
      <w:pPr>
        <w:pStyle w:val="af7"/>
        <w:numPr>
          <w:ilvl w:val="0"/>
          <w:numId w:val="32"/>
        </w:numPr>
        <w:spacing w:line="360" w:lineRule="auto"/>
        <w:rPr>
          <w:rFonts w:ascii="Times New Roman" w:hAnsi="Times New Roman" w:cs="Times New Roman"/>
          <w:sz w:val="24"/>
          <w:szCs w:val="24"/>
        </w:rPr>
      </w:pPr>
      <w:r w:rsidRPr="00EC20D3">
        <w:rPr>
          <w:rFonts w:ascii="Times New Roman" w:hAnsi="Times New Roman" w:cs="Times New Roman"/>
          <w:sz w:val="24"/>
          <w:szCs w:val="24"/>
          <w:lang w:val="en-US"/>
        </w:rPr>
        <w:t xml:space="preserve">Docking D. S., Koch P. D. Sensitivity of investor reaction to market direction and volatility: dividend change announcements //Journal of Financial Research. – 2005. – </w:t>
      </w:r>
      <w:r w:rsidRPr="00EC20D3">
        <w:rPr>
          <w:rFonts w:ascii="Times New Roman" w:hAnsi="Times New Roman" w:cs="Times New Roman"/>
          <w:sz w:val="24"/>
          <w:szCs w:val="24"/>
        </w:rPr>
        <w:t>Т</w:t>
      </w:r>
      <w:r w:rsidRPr="00EC20D3">
        <w:rPr>
          <w:rFonts w:ascii="Times New Roman" w:hAnsi="Times New Roman" w:cs="Times New Roman"/>
          <w:sz w:val="24"/>
          <w:szCs w:val="24"/>
          <w:lang w:val="en-US"/>
        </w:rPr>
        <w:t xml:space="preserve">. 28. – №. </w:t>
      </w:r>
      <w:r w:rsidRPr="00EC20D3">
        <w:rPr>
          <w:rFonts w:ascii="Times New Roman" w:hAnsi="Times New Roman" w:cs="Times New Roman"/>
          <w:sz w:val="24"/>
          <w:szCs w:val="24"/>
        </w:rPr>
        <w:t xml:space="preserve">1. – С. </w:t>
      </w:r>
      <w:proofErr w:type="gramStart"/>
      <w:r w:rsidRPr="00EC20D3">
        <w:rPr>
          <w:rFonts w:ascii="Times New Roman" w:hAnsi="Times New Roman" w:cs="Times New Roman"/>
          <w:sz w:val="24"/>
          <w:szCs w:val="24"/>
        </w:rPr>
        <w:t>21-40</w:t>
      </w:r>
      <w:proofErr w:type="gramEnd"/>
      <w:r w:rsidRPr="00EC20D3">
        <w:rPr>
          <w:rFonts w:ascii="Times New Roman" w:hAnsi="Times New Roman" w:cs="Times New Roman"/>
          <w:sz w:val="24"/>
          <w:szCs w:val="24"/>
        </w:rPr>
        <w:t>.</w:t>
      </w:r>
    </w:p>
    <w:p w14:paraId="232B5D2A" w14:textId="77777777" w:rsidR="000B46BF" w:rsidRPr="00EC20D3" w:rsidRDefault="000B46BF" w:rsidP="00EC20D3">
      <w:pPr>
        <w:pStyle w:val="afd"/>
        <w:numPr>
          <w:ilvl w:val="0"/>
          <w:numId w:val="32"/>
        </w:numPr>
        <w:spacing w:line="360" w:lineRule="auto"/>
        <w:rPr>
          <w:sz w:val="24"/>
        </w:rPr>
      </w:pPr>
      <w:r w:rsidRPr="00EC20D3">
        <w:rPr>
          <w:sz w:val="24"/>
        </w:rPr>
        <w:t xml:space="preserve">Du H., Ni X., Zhang J. The ‘Ex-Dividend Day’Anomaly Under a Behavioral Dividend Clientele View: Evidence </w:t>
      </w:r>
      <w:proofErr w:type="gramStart"/>
      <w:r w:rsidRPr="00EC20D3">
        <w:rPr>
          <w:sz w:val="24"/>
        </w:rPr>
        <w:t>From</w:t>
      </w:r>
      <w:proofErr w:type="gramEnd"/>
      <w:r w:rsidRPr="00EC20D3">
        <w:rPr>
          <w:sz w:val="24"/>
        </w:rPr>
        <w:t xml:space="preserve"> China //Available at SSRN 3637553. – 2020.</w:t>
      </w:r>
    </w:p>
    <w:p w14:paraId="51A1D2BF" w14:textId="77777777" w:rsidR="000B46BF" w:rsidRPr="00EC20D3" w:rsidRDefault="000B46BF" w:rsidP="00EC20D3">
      <w:pPr>
        <w:pStyle w:val="afd"/>
        <w:numPr>
          <w:ilvl w:val="0"/>
          <w:numId w:val="32"/>
        </w:numPr>
        <w:spacing w:line="360" w:lineRule="auto"/>
        <w:rPr>
          <w:sz w:val="24"/>
        </w:rPr>
      </w:pPr>
      <w:r w:rsidRPr="00EC20D3">
        <w:rPr>
          <w:sz w:val="24"/>
        </w:rPr>
        <w:t xml:space="preserve">Du H., Ni X., Zhang J. The ‘Ex-Dividend Day’Anomaly Under a Behavioral Dividend Clientele View: Evidence </w:t>
      </w:r>
      <w:proofErr w:type="gramStart"/>
      <w:r w:rsidRPr="00EC20D3">
        <w:rPr>
          <w:sz w:val="24"/>
        </w:rPr>
        <w:t>From</w:t>
      </w:r>
      <w:proofErr w:type="gramEnd"/>
      <w:r w:rsidRPr="00EC20D3">
        <w:rPr>
          <w:sz w:val="24"/>
        </w:rPr>
        <w:t xml:space="preserve"> China //Available at SSRN 3637553. – 2020.</w:t>
      </w:r>
    </w:p>
    <w:p w14:paraId="481ED5F5" w14:textId="77777777" w:rsidR="000B46BF" w:rsidRPr="00EC20D3" w:rsidRDefault="000B46BF" w:rsidP="00EC20D3">
      <w:pPr>
        <w:pStyle w:val="af7"/>
        <w:numPr>
          <w:ilvl w:val="0"/>
          <w:numId w:val="32"/>
        </w:numPr>
        <w:spacing w:line="360" w:lineRule="auto"/>
        <w:rPr>
          <w:rFonts w:ascii="Times New Roman" w:hAnsi="Times New Roman" w:cs="Times New Roman"/>
          <w:sz w:val="24"/>
          <w:szCs w:val="24"/>
        </w:rPr>
      </w:pPr>
      <w:r w:rsidRPr="00EC20D3">
        <w:rPr>
          <w:rFonts w:ascii="Times New Roman" w:hAnsi="Times New Roman" w:cs="Times New Roman"/>
          <w:sz w:val="24"/>
          <w:szCs w:val="24"/>
          <w:lang w:val="en-US"/>
        </w:rPr>
        <w:t xml:space="preserve">Easterbrook F. H. Two agency-cost explanations of dividends //The American economic review. – 1984. – </w:t>
      </w:r>
      <w:r w:rsidRPr="00EC20D3">
        <w:rPr>
          <w:rFonts w:ascii="Times New Roman" w:hAnsi="Times New Roman" w:cs="Times New Roman"/>
          <w:sz w:val="24"/>
          <w:szCs w:val="24"/>
        </w:rPr>
        <w:t>Т</w:t>
      </w:r>
      <w:r w:rsidRPr="00EC20D3">
        <w:rPr>
          <w:rFonts w:ascii="Times New Roman" w:hAnsi="Times New Roman" w:cs="Times New Roman"/>
          <w:sz w:val="24"/>
          <w:szCs w:val="24"/>
          <w:lang w:val="en-US"/>
        </w:rPr>
        <w:t xml:space="preserve">. 74. – №. </w:t>
      </w:r>
      <w:r w:rsidRPr="00EC20D3">
        <w:rPr>
          <w:rFonts w:ascii="Times New Roman" w:hAnsi="Times New Roman" w:cs="Times New Roman"/>
          <w:sz w:val="24"/>
          <w:szCs w:val="24"/>
        </w:rPr>
        <w:t xml:space="preserve">4. – С. </w:t>
      </w:r>
      <w:proofErr w:type="gramStart"/>
      <w:r w:rsidRPr="00EC20D3">
        <w:rPr>
          <w:rFonts w:ascii="Times New Roman" w:hAnsi="Times New Roman" w:cs="Times New Roman"/>
          <w:sz w:val="24"/>
          <w:szCs w:val="24"/>
        </w:rPr>
        <w:t>650-659</w:t>
      </w:r>
      <w:proofErr w:type="gramEnd"/>
      <w:r w:rsidRPr="00EC20D3">
        <w:rPr>
          <w:rFonts w:ascii="Times New Roman" w:hAnsi="Times New Roman" w:cs="Times New Roman"/>
          <w:sz w:val="24"/>
          <w:szCs w:val="24"/>
        </w:rPr>
        <w:t>.</w:t>
      </w:r>
    </w:p>
    <w:p w14:paraId="6202F969" w14:textId="77777777" w:rsidR="000B46BF" w:rsidRPr="00EC20D3" w:rsidRDefault="000B46BF" w:rsidP="00EC20D3">
      <w:pPr>
        <w:pStyle w:val="af7"/>
        <w:numPr>
          <w:ilvl w:val="0"/>
          <w:numId w:val="32"/>
        </w:numPr>
        <w:spacing w:line="360" w:lineRule="auto"/>
        <w:rPr>
          <w:rStyle w:val="afe"/>
          <w:sz w:val="24"/>
        </w:rPr>
      </w:pPr>
      <w:r w:rsidRPr="00EC20D3">
        <w:rPr>
          <w:rStyle w:val="afe"/>
          <w:sz w:val="24"/>
          <w:highlight w:val="white"/>
        </w:rPr>
        <w:t>Elton E. J., Gruber M. J. Marginal stockholder tax rates and the clientele effect //Investments and portfolio performance. – 2011. – С. 3-9.</w:t>
      </w:r>
    </w:p>
    <w:p w14:paraId="27271015" w14:textId="77777777" w:rsidR="000B46BF" w:rsidRPr="00EC20D3" w:rsidRDefault="000B46BF" w:rsidP="00EC20D3">
      <w:pPr>
        <w:pStyle w:val="af7"/>
        <w:numPr>
          <w:ilvl w:val="0"/>
          <w:numId w:val="32"/>
        </w:numPr>
        <w:spacing w:line="360" w:lineRule="auto"/>
        <w:rPr>
          <w:rFonts w:ascii="Times New Roman" w:hAnsi="Times New Roman" w:cs="Times New Roman"/>
          <w:sz w:val="24"/>
          <w:szCs w:val="24"/>
        </w:rPr>
      </w:pPr>
      <w:r w:rsidRPr="00EC20D3">
        <w:rPr>
          <w:rFonts w:ascii="Times New Roman" w:hAnsi="Times New Roman" w:cs="Times New Roman"/>
          <w:sz w:val="24"/>
          <w:szCs w:val="24"/>
          <w:lang w:val="en-US"/>
        </w:rPr>
        <w:t xml:space="preserve">Graham J. R., Kumar A. Do dividend clienteles exist? Evidence on dividend preferences of retail investors //The Journal of Finance. – 2006. – </w:t>
      </w:r>
      <w:r w:rsidRPr="00EC20D3">
        <w:rPr>
          <w:rFonts w:ascii="Times New Roman" w:hAnsi="Times New Roman" w:cs="Times New Roman"/>
          <w:sz w:val="24"/>
          <w:szCs w:val="24"/>
        </w:rPr>
        <w:t>Т</w:t>
      </w:r>
      <w:r w:rsidRPr="00EC20D3">
        <w:rPr>
          <w:rFonts w:ascii="Times New Roman" w:hAnsi="Times New Roman" w:cs="Times New Roman"/>
          <w:sz w:val="24"/>
          <w:szCs w:val="24"/>
          <w:lang w:val="en-US"/>
        </w:rPr>
        <w:t xml:space="preserve">. 61. – №. </w:t>
      </w:r>
      <w:r w:rsidRPr="00EC20D3">
        <w:rPr>
          <w:rFonts w:ascii="Times New Roman" w:hAnsi="Times New Roman" w:cs="Times New Roman"/>
          <w:sz w:val="24"/>
          <w:szCs w:val="24"/>
        </w:rPr>
        <w:t xml:space="preserve">3. – С. </w:t>
      </w:r>
      <w:proofErr w:type="gramStart"/>
      <w:r w:rsidRPr="00EC20D3">
        <w:rPr>
          <w:rFonts w:ascii="Times New Roman" w:hAnsi="Times New Roman" w:cs="Times New Roman"/>
          <w:sz w:val="24"/>
          <w:szCs w:val="24"/>
        </w:rPr>
        <w:t>1305-1336</w:t>
      </w:r>
      <w:proofErr w:type="gramEnd"/>
      <w:r w:rsidRPr="00EC20D3">
        <w:rPr>
          <w:rFonts w:ascii="Times New Roman" w:hAnsi="Times New Roman" w:cs="Times New Roman"/>
          <w:sz w:val="24"/>
          <w:szCs w:val="24"/>
        </w:rPr>
        <w:t>.</w:t>
      </w:r>
    </w:p>
    <w:p w14:paraId="20A0AE6D" w14:textId="24FAE28B" w:rsidR="000B46BF" w:rsidRPr="00EC20D3" w:rsidRDefault="000B46BF" w:rsidP="00EC20D3">
      <w:pPr>
        <w:pStyle w:val="afd"/>
        <w:numPr>
          <w:ilvl w:val="0"/>
          <w:numId w:val="32"/>
        </w:numPr>
        <w:spacing w:line="360" w:lineRule="auto"/>
        <w:rPr>
          <w:sz w:val="24"/>
        </w:rPr>
      </w:pPr>
      <w:r w:rsidRPr="00EC20D3">
        <w:rPr>
          <w:sz w:val="24"/>
        </w:rPr>
        <w:t>Haw I. M., Kim W. S. Firm size and dividend announcement effect //Journal of Accounting, Auditing &amp; Finance. – 1991. – Т. 6. – №. 3. – С. 325-344.</w:t>
      </w:r>
    </w:p>
    <w:p w14:paraId="47D1B78D" w14:textId="537B79E2" w:rsidR="00ED2486" w:rsidRPr="00EC20D3" w:rsidRDefault="00ED2486" w:rsidP="00EC20D3">
      <w:pPr>
        <w:pStyle w:val="afd"/>
        <w:numPr>
          <w:ilvl w:val="0"/>
          <w:numId w:val="32"/>
        </w:numPr>
        <w:spacing w:line="360" w:lineRule="auto"/>
        <w:rPr>
          <w:sz w:val="24"/>
        </w:rPr>
      </w:pPr>
      <w:r w:rsidRPr="00EC20D3">
        <w:rPr>
          <w:sz w:val="24"/>
        </w:rPr>
        <w:t>Jain M., Saraswat S. US–China trade war: Chinese perspective //Manag Econ Res J. – 2019. – Т. 5. – №. 2019. – С. 10335.</w:t>
      </w:r>
    </w:p>
    <w:p w14:paraId="4F50594C" w14:textId="77777777" w:rsidR="000B46BF" w:rsidRPr="00EC20D3" w:rsidRDefault="000B46BF" w:rsidP="00EC20D3">
      <w:pPr>
        <w:pStyle w:val="af7"/>
        <w:numPr>
          <w:ilvl w:val="0"/>
          <w:numId w:val="32"/>
        </w:numPr>
        <w:spacing w:line="360" w:lineRule="auto"/>
        <w:rPr>
          <w:rStyle w:val="afe"/>
          <w:sz w:val="24"/>
        </w:rPr>
      </w:pPr>
      <w:r w:rsidRPr="00EC20D3">
        <w:rPr>
          <w:rStyle w:val="afe"/>
          <w:sz w:val="24"/>
          <w:highlight w:val="white"/>
        </w:rPr>
        <w:t>Jensen M. C. Agency costs of free cash flow, corporate finance, and takeovers //The American economic review. – 1986. – Т. 76. – №. 2. – С. 323-329.</w:t>
      </w:r>
    </w:p>
    <w:p w14:paraId="4D1DB6FC" w14:textId="77777777" w:rsidR="00ED2486" w:rsidRPr="00EC20D3" w:rsidRDefault="000B46BF" w:rsidP="00EC20D3">
      <w:pPr>
        <w:pStyle w:val="af7"/>
        <w:numPr>
          <w:ilvl w:val="0"/>
          <w:numId w:val="32"/>
        </w:numPr>
        <w:spacing w:line="360" w:lineRule="auto"/>
        <w:rPr>
          <w:rFonts w:ascii="Times New Roman" w:hAnsi="Times New Roman" w:cs="Times New Roman"/>
          <w:color w:val="222222"/>
          <w:sz w:val="24"/>
          <w:szCs w:val="24"/>
          <w:shd w:val="clear" w:color="auto" w:fill="FFFFFF"/>
        </w:rPr>
      </w:pPr>
      <w:r w:rsidRPr="00EC20D3">
        <w:rPr>
          <w:rFonts w:ascii="Times New Roman" w:hAnsi="Times New Roman" w:cs="Times New Roman"/>
          <w:color w:val="222222"/>
          <w:sz w:val="24"/>
          <w:szCs w:val="24"/>
          <w:shd w:val="clear" w:color="auto" w:fill="FFFFFF"/>
          <w:lang w:val="en-US"/>
        </w:rPr>
        <w:t xml:space="preserve">John K., Williams J. Dividends, dilution, and taxes: A signalling equilibrium //the Journal of Finance. – 1985. – </w:t>
      </w:r>
      <w:r w:rsidRPr="00EC20D3">
        <w:rPr>
          <w:rFonts w:ascii="Times New Roman" w:hAnsi="Times New Roman" w:cs="Times New Roman"/>
          <w:color w:val="222222"/>
          <w:sz w:val="24"/>
          <w:szCs w:val="24"/>
          <w:shd w:val="clear" w:color="auto" w:fill="FFFFFF"/>
        </w:rPr>
        <w:t>Т</w:t>
      </w:r>
      <w:r w:rsidRPr="00EC20D3">
        <w:rPr>
          <w:rFonts w:ascii="Times New Roman" w:hAnsi="Times New Roman" w:cs="Times New Roman"/>
          <w:color w:val="222222"/>
          <w:sz w:val="24"/>
          <w:szCs w:val="24"/>
          <w:shd w:val="clear" w:color="auto" w:fill="FFFFFF"/>
          <w:lang w:val="en-US"/>
        </w:rPr>
        <w:t xml:space="preserve">. 40. – №. </w:t>
      </w:r>
      <w:r w:rsidRPr="00EC20D3">
        <w:rPr>
          <w:rFonts w:ascii="Times New Roman" w:hAnsi="Times New Roman" w:cs="Times New Roman"/>
          <w:color w:val="222222"/>
          <w:sz w:val="24"/>
          <w:szCs w:val="24"/>
          <w:shd w:val="clear" w:color="auto" w:fill="FFFFFF"/>
        </w:rPr>
        <w:t xml:space="preserve">4. – С. </w:t>
      </w:r>
      <w:proofErr w:type="gramStart"/>
      <w:r w:rsidRPr="00EC20D3">
        <w:rPr>
          <w:rFonts w:ascii="Times New Roman" w:hAnsi="Times New Roman" w:cs="Times New Roman"/>
          <w:color w:val="222222"/>
          <w:sz w:val="24"/>
          <w:szCs w:val="24"/>
          <w:shd w:val="clear" w:color="auto" w:fill="FFFFFF"/>
        </w:rPr>
        <w:t>1053-1070</w:t>
      </w:r>
      <w:proofErr w:type="gramEnd"/>
      <w:r w:rsidRPr="00EC20D3">
        <w:rPr>
          <w:rFonts w:ascii="Times New Roman" w:hAnsi="Times New Roman" w:cs="Times New Roman"/>
          <w:color w:val="222222"/>
          <w:sz w:val="24"/>
          <w:szCs w:val="24"/>
          <w:shd w:val="clear" w:color="auto" w:fill="FFFFFF"/>
        </w:rPr>
        <w:t>.</w:t>
      </w:r>
    </w:p>
    <w:p w14:paraId="7703F5F0" w14:textId="1308A139" w:rsidR="000B46BF" w:rsidRPr="00EC20D3" w:rsidRDefault="000B46BF" w:rsidP="00EC20D3">
      <w:pPr>
        <w:pStyle w:val="af7"/>
        <w:numPr>
          <w:ilvl w:val="0"/>
          <w:numId w:val="32"/>
        </w:numPr>
        <w:spacing w:line="360" w:lineRule="auto"/>
        <w:rPr>
          <w:rFonts w:ascii="Times New Roman" w:hAnsi="Times New Roman" w:cs="Times New Roman"/>
          <w:color w:val="222222"/>
          <w:sz w:val="24"/>
          <w:szCs w:val="24"/>
          <w:shd w:val="clear" w:color="auto" w:fill="FFFFFF"/>
          <w:lang w:val="en-US"/>
        </w:rPr>
      </w:pPr>
      <w:r w:rsidRPr="00EC20D3">
        <w:rPr>
          <w:rFonts w:ascii="Times New Roman" w:hAnsi="Times New Roman" w:cs="Times New Roman"/>
          <w:sz w:val="24"/>
          <w:szCs w:val="24"/>
          <w:lang w:val="en-US"/>
        </w:rPr>
        <w:t>Karim M. Announcement effect of dividend on the stock price of enlisted companies in developed countries: A comparative study between London stock exchange &amp; New York stock exchange //Available at SSRN 1624363. – 2010.</w:t>
      </w:r>
    </w:p>
    <w:p w14:paraId="6DFEE55B" w14:textId="77777777" w:rsidR="000B46BF" w:rsidRPr="00EC20D3" w:rsidRDefault="000B46BF" w:rsidP="00EC20D3">
      <w:pPr>
        <w:pStyle w:val="afd"/>
        <w:numPr>
          <w:ilvl w:val="0"/>
          <w:numId w:val="32"/>
        </w:numPr>
        <w:spacing w:line="360" w:lineRule="auto"/>
        <w:rPr>
          <w:sz w:val="24"/>
        </w:rPr>
      </w:pPr>
      <w:r w:rsidRPr="00EC20D3">
        <w:rPr>
          <w:sz w:val="24"/>
        </w:rPr>
        <w:t>Koch A. S., Sun A. X. Dividend changes and the persistence of past earnings changes //The Journal of Finance. – 2004. – Т. 59. – №. 5. – С. 2093-2116.</w:t>
      </w:r>
    </w:p>
    <w:p w14:paraId="66B1C6EC" w14:textId="77777777" w:rsidR="000B46BF" w:rsidRPr="00EC20D3" w:rsidRDefault="000B46BF" w:rsidP="00EC20D3">
      <w:pPr>
        <w:pStyle w:val="afd"/>
        <w:numPr>
          <w:ilvl w:val="0"/>
          <w:numId w:val="32"/>
        </w:numPr>
        <w:spacing w:line="360" w:lineRule="auto"/>
        <w:rPr>
          <w:sz w:val="24"/>
        </w:rPr>
      </w:pPr>
      <w:r w:rsidRPr="00EC20D3">
        <w:rPr>
          <w:sz w:val="24"/>
        </w:rPr>
        <w:t>Lang L. H. P., Litzenberger R. H. Dividend announcements: cash flow signalling vs. free cash flow hypothesis? //Journal of financial economics. – 1989. – Т. 24. – №. 1. – С. 181-191.</w:t>
      </w:r>
    </w:p>
    <w:p w14:paraId="4D29371B" w14:textId="467DF988" w:rsidR="000B46BF" w:rsidRPr="00EC20D3" w:rsidRDefault="000B46BF" w:rsidP="00EC20D3">
      <w:pPr>
        <w:pStyle w:val="af7"/>
        <w:numPr>
          <w:ilvl w:val="0"/>
          <w:numId w:val="32"/>
        </w:numPr>
        <w:spacing w:line="360" w:lineRule="auto"/>
        <w:rPr>
          <w:rFonts w:ascii="Times New Roman" w:eastAsia="Arial" w:hAnsi="Times New Roman" w:cs="Times New Roman"/>
          <w:sz w:val="24"/>
          <w:szCs w:val="24"/>
        </w:rPr>
      </w:pPr>
      <w:r w:rsidRPr="00EC20D3">
        <w:rPr>
          <w:rFonts w:ascii="Times New Roman" w:eastAsia="Arial" w:hAnsi="Times New Roman" w:cs="Times New Roman"/>
          <w:sz w:val="24"/>
          <w:szCs w:val="24"/>
          <w:highlight w:val="white"/>
          <w:lang w:val="en-US"/>
        </w:rPr>
        <w:t xml:space="preserve">Lang L. H. P., Litzenberger R. H. Dividend announcements: cash flow signalling vs. free cash flow hypothesis? //Journal of financial economics. – 1989. – </w:t>
      </w:r>
      <w:r w:rsidRPr="00EC20D3">
        <w:rPr>
          <w:rFonts w:ascii="Times New Roman" w:eastAsia="Arial" w:hAnsi="Times New Roman" w:cs="Times New Roman"/>
          <w:sz w:val="24"/>
          <w:szCs w:val="24"/>
          <w:highlight w:val="white"/>
        </w:rPr>
        <w:t>Т</w:t>
      </w:r>
      <w:r w:rsidRPr="00EC20D3">
        <w:rPr>
          <w:rFonts w:ascii="Times New Roman" w:eastAsia="Arial" w:hAnsi="Times New Roman" w:cs="Times New Roman"/>
          <w:sz w:val="24"/>
          <w:szCs w:val="24"/>
          <w:highlight w:val="white"/>
          <w:lang w:val="en-US"/>
        </w:rPr>
        <w:t xml:space="preserve">. 24. – №. </w:t>
      </w:r>
      <w:r w:rsidRPr="00EC20D3">
        <w:rPr>
          <w:rFonts w:ascii="Times New Roman" w:eastAsia="Arial" w:hAnsi="Times New Roman" w:cs="Times New Roman"/>
          <w:sz w:val="24"/>
          <w:szCs w:val="24"/>
          <w:highlight w:val="white"/>
        </w:rPr>
        <w:t xml:space="preserve">1. – С. </w:t>
      </w:r>
      <w:proofErr w:type="gramStart"/>
      <w:r w:rsidRPr="00EC20D3">
        <w:rPr>
          <w:rFonts w:ascii="Times New Roman" w:eastAsia="Arial" w:hAnsi="Times New Roman" w:cs="Times New Roman"/>
          <w:sz w:val="24"/>
          <w:szCs w:val="24"/>
          <w:highlight w:val="white"/>
        </w:rPr>
        <w:t>181-191</w:t>
      </w:r>
      <w:proofErr w:type="gramEnd"/>
      <w:r w:rsidRPr="00EC20D3">
        <w:rPr>
          <w:rFonts w:ascii="Times New Roman" w:eastAsia="Arial" w:hAnsi="Times New Roman" w:cs="Times New Roman"/>
          <w:sz w:val="24"/>
          <w:szCs w:val="24"/>
          <w:highlight w:val="white"/>
        </w:rPr>
        <w:t>.</w:t>
      </w:r>
    </w:p>
    <w:p w14:paraId="69DAAD3F" w14:textId="6F9778B0" w:rsidR="00335B0A" w:rsidRPr="00EC20D3" w:rsidRDefault="00335B0A" w:rsidP="00EC20D3">
      <w:pPr>
        <w:pStyle w:val="af7"/>
        <w:numPr>
          <w:ilvl w:val="0"/>
          <w:numId w:val="32"/>
        </w:numPr>
        <w:spacing w:line="360" w:lineRule="auto"/>
        <w:rPr>
          <w:rFonts w:ascii="Times New Roman" w:eastAsia="Arial" w:hAnsi="Times New Roman" w:cs="Times New Roman"/>
          <w:sz w:val="24"/>
          <w:szCs w:val="24"/>
          <w:highlight w:val="white"/>
        </w:rPr>
      </w:pPr>
      <w:r w:rsidRPr="00EC20D3">
        <w:rPr>
          <w:rFonts w:ascii="Times New Roman" w:eastAsia="Arial" w:hAnsi="Times New Roman" w:cs="Times New Roman"/>
          <w:sz w:val="24"/>
          <w:szCs w:val="24"/>
          <w:highlight w:val="white"/>
          <w:lang w:val="en-US"/>
        </w:rPr>
        <w:t xml:space="preserve">Lintner J. Distribution of incomes of corporations among dividends, retained earnings, and taxes //The American economic review. – 1956. – </w:t>
      </w:r>
      <w:r w:rsidRPr="00EC20D3">
        <w:rPr>
          <w:rFonts w:ascii="Times New Roman" w:eastAsia="Arial" w:hAnsi="Times New Roman" w:cs="Times New Roman"/>
          <w:sz w:val="24"/>
          <w:szCs w:val="24"/>
          <w:highlight w:val="white"/>
        </w:rPr>
        <w:t>Т</w:t>
      </w:r>
      <w:r w:rsidRPr="00EC20D3">
        <w:rPr>
          <w:rFonts w:ascii="Times New Roman" w:eastAsia="Arial" w:hAnsi="Times New Roman" w:cs="Times New Roman"/>
          <w:sz w:val="24"/>
          <w:szCs w:val="24"/>
          <w:highlight w:val="white"/>
          <w:lang w:val="en-US"/>
        </w:rPr>
        <w:t xml:space="preserve">. 46. – №. </w:t>
      </w:r>
      <w:r w:rsidRPr="00EC20D3">
        <w:rPr>
          <w:rFonts w:ascii="Times New Roman" w:eastAsia="Arial" w:hAnsi="Times New Roman" w:cs="Times New Roman"/>
          <w:sz w:val="24"/>
          <w:szCs w:val="24"/>
          <w:highlight w:val="white"/>
        </w:rPr>
        <w:t xml:space="preserve">2. – С. </w:t>
      </w:r>
      <w:proofErr w:type="gramStart"/>
      <w:r w:rsidRPr="00EC20D3">
        <w:rPr>
          <w:rFonts w:ascii="Times New Roman" w:eastAsia="Arial" w:hAnsi="Times New Roman" w:cs="Times New Roman"/>
          <w:sz w:val="24"/>
          <w:szCs w:val="24"/>
          <w:highlight w:val="white"/>
        </w:rPr>
        <w:t>97-113</w:t>
      </w:r>
      <w:proofErr w:type="gramEnd"/>
      <w:r w:rsidRPr="00EC20D3">
        <w:rPr>
          <w:rFonts w:ascii="Times New Roman" w:eastAsia="Arial" w:hAnsi="Times New Roman" w:cs="Times New Roman"/>
          <w:sz w:val="24"/>
          <w:szCs w:val="24"/>
          <w:highlight w:val="white"/>
        </w:rPr>
        <w:t>.</w:t>
      </w:r>
    </w:p>
    <w:p w14:paraId="4133EBD0" w14:textId="77777777" w:rsidR="000B46BF" w:rsidRPr="00EC20D3" w:rsidRDefault="000B46BF" w:rsidP="00EC20D3">
      <w:pPr>
        <w:pStyle w:val="afd"/>
        <w:numPr>
          <w:ilvl w:val="0"/>
          <w:numId w:val="32"/>
        </w:numPr>
        <w:spacing w:line="360" w:lineRule="auto"/>
        <w:rPr>
          <w:sz w:val="24"/>
        </w:rPr>
      </w:pPr>
      <w:r w:rsidRPr="00EC20D3">
        <w:rPr>
          <w:sz w:val="24"/>
        </w:rPr>
        <w:t>Lonie A. A. et al. The stock market reaction to dividend announcements: A UK study of complex market signals //Journal of Economic studies. – 1996.</w:t>
      </w:r>
    </w:p>
    <w:p w14:paraId="7FEA5EB4" w14:textId="77777777" w:rsidR="000B46BF" w:rsidRPr="00EC20D3" w:rsidRDefault="000B46BF" w:rsidP="00EC20D3">
      <w:pPr>
        <w:pStyle w:val="afd"/>
        <w:numPr>
          <w:ilvl w:val="0"/>
          <w:numId w:val="32"/>
        </w:numPr>
        <w:spacing w:line="360" w:lineRule="auto"/>
        <w:rPr>
          <w:sz w:val="24"/>
        </w:rPr>
      </w:pPr>
      <w:r w:rsidRPr="00EC20D3">
        <w:rPr>
          <w:sz w:val="24"/>
        </w:rPr>
        <w:t>Lonie A. A. et al. The stock market reaction to dividend announcements: A UK study of complex market signals //Journal of Economic studies. – 1996.</w:t>
      </w:r>
    </w:p>
    <w:p w14:paraId="5D401EEB" w14:textId="77777777" w:rsidR="000B46BF" w:rsidRPr="00EC20D3" w:rsidRDefault="000B46BF" w:rsidP="00EC20D3">
      <w:pPr>
        <w:pStyle w:val="af7"/>
        <w:numPr>
          <w:ilvl w:val="0"/>
          <w:numId w:val="32"/>
        </w:numPr>
        <w:spacing w:line="360" w:lineRule="auto"/>
        <w:rPr>
          <w:rFonts w:ascii="Times New Roman" w:hAnsi="Times New Roman" w:cs="Times New Roman"/>
          <w:color w:val="222222"/>
          <w:sz w:val="24"/>
          <w:szCs w:val="24"/>
          <w:shd w:val="clear" w:color="auto" w:fill="FFFFFF"/>
        </w:rPr>
      </w:pPr>
      <w:r w:rsidRPr="00EC20D3">
        <w:rPr>
          <w:rFonts w:ascii="Times New Roman" w:hAnsi="Times New Roman" w:cs="Times New Roman"/>
          <w:color w:val="222222"/>
          <w:sz w:val="24"/>
          <w:szCs w:val="24"/>
          <w:shd w:val="clear" w:color="auto" w:fill="FFFFFF"/>
          <w:lang w:val="en-US"/>
        </w:rPr>
        <w:t xml:space="preserve">Miller M. H., Rock K. Dividend policy under asymmetric information //The Journal of finance. – 1985. – </w:t>
      </w:r>
      <w:r w:rsidRPr="00EC20D3">
        <w:rPr>
          <w:rFonts w:ascii="Times New Roman" w:hAnsi="Times New Roman" w:cs="Times New Roman"/>
          <w:color w:val="222222"/>
          <w:sz w:val="24"/>
          <w:szCs w:val="24"/>
          <w:shd w:val="clear" w:color="auto" w:fill="FFFFFF"/>
        </w:rPr>
        <w:t>Т</w:t>
      </w:r>
      <w:r w:rsidRPr="00EC20D3">
        <w:rPr>
          <w:rFonts w:ascii="Times New Roman" w:hAnsi="Times New Roman" w:cs="Times New Roman"/>
          <w:color w:val="222222"/>
          <w:sz w:val="24"/>
          <w:szCs w:val="24"/>
          <w:shd w:val="clear" w:color="auto" w:fill="FFFFFF"/>
          <w:lang w:val="en-US"/>
        </w:rPr>
        <w:t xml:space="preserve">. 40. – №. </w:t>
      </w:r>
      <w:r w:rsidRPr="00EC20D3">
        <w:rPr>
          <w:rFonts w:ascii="Times New Roman" w:hAnsi="Times New Roman" w:cs="Times New Roman"/>
          <w:color w:val="222222"/>
          <w:sz w:val="24"/>
          <w:szCs w:val="24"/>
          <w:shd w:val="clear" w:color="auto" w:fill="FFFFFF"/>
        </w:rPr>
        <w:t xml:space="preserve">4. – С. </w:t>
      </w:r>
      <w:proofErr w:type="gramStart"/>
      <w:r w:rsidRPr="00EC20D3">
        <w:rPr>
          <w:rFonts w:ascii="Times New Roman" w:hAnsi="Times New Roman" w:cs="Times New Roman"/>
          <w:color w:val="222222"/>
          <w:sz w:val="24"/>
          <w:szCs w:val="24"/>
          <w:shd w:val="clear" w:color="auto" w:fill="FFFFFF"/>
        </w:rPr>
        <w:t>1031-1051</w:t>
      </w:r>
      <w:proofErr w:type="gramEnd"/>
      <w:r w:rsidRPr="00EC20D3">
        <w:rPr>
          <w:rFonts w:ascii="Times New Roman" w:hAnsi="Times New Roman" w:cs="Times New Roman"/>
          <w:color w:val="222222"/>
          <w:sz w:val="24"/>
          <w:szCs w:val="24"/>
          <w:shd w:val="clear" w:color="auto" w:fill="FFFFFF"/>
        </w:rPr>
        <w:t>.</w:t>
      </w:r>
    </w:p>
    <w:p w14:paraId="7FEEFD33" w14:textId="77777777" w:rsidR="000B46BF" w:rsidRPr="00EC20D3" w:rsidRDefault="000B46BF" w:rsidP="00EC20D3">
      <w:pPr>
        <w:pStyle w:val="af7"/>
        <w:numPr>
          <w:ilvl w:val="0"/>
          <w:numId w:val="32"/>
        </w:numPr>
        <w:spacing w:line="360" w:lineRule="auto"/>
        <w:rPr>
          <w:rFonts w:ascii="Times New Roman" w:eastAsia="Arial" w:hAnsi="Times New Roman" w:cs="Times New Roman"/>
          <w:sz w:val="24"/>
          <w:szCs w:val="24"/>
          <w:highlight w:val="white"/>
        </w:rPr>
      </w:pPr>
      <w:r w:rsidRPr="00EC20D3">
        <w:rPr>
          <w:rStyle w:val="afe"/>
          <w:rFonts w:eastAsia="Arial"/>
          <w:sz w:val="24"/>
          <w:highlight w:val="white"/>
        </w:rPr>
        <w:t xml:space="preserve">Modigliani F., Miller M.H. The Cost of Capital, Corporation </w:t>
      </w:r>
      <w:proofErr w:type="gramStart"/>
      <w:r w:rsidRPr="00EC20D3">
        <w:rPr>
          <w:rStyle w:val="afe"/>
          <w:rFonts w:eastAsia="Arial"/>
          <w:sz w:val="24"/>
          <w:highlight w:val="white"/>
        </w:rPr>
        <w:t>Finance</w:t>
      </w:r>
      <w:proofErr w:type="gramEnd"/>
      <w:r w:rsidRPr="00EC20D3">
        <w:rPr>
          <w:rStyle w:val="afe"/>
          <w:rFonts w:eastAsia="Arial"/>
          <w:sz w:val="24"/>
          <w:highlight w:val="white"/>
        </w:rPr>
        <w:t xml:space="preserve"> and the Theory of Investment. American Economic Review. 1958. Vol. 48. N 3. P. 261–297.</w:t>
      </w:r>
    </w:p>
    <w:p w14:paraId="0E7499F2" w14:textId="77777777" w:rsidR="000B46BF" w:rsidRPr="00EC20D3" w:rsidRDefault="000B46BF" w:rsidP="00EC20D3">
      <w:pPr>
        <w:pStyle w:val="af7"/>
        <w:numPr>
          <w:ilvl w:val="0"/>
          <w:numId w:val="32"/>
        </w:numPr>
        <w:spacing w:line="360" w:lineRule="auto"/>
        <w:rPr>
          <w:rFonts w:ascii="Times New Roman" w:eastAsia="Arial" w:hAnsi="Times New Roman" w:cs="Times New Roman"/>
          <w:sz w:val="24"/>
          <w:szCs w:val="24"/>
          <w:highlight w:val="white"/>
        </w:rPr>
      </w:pPr>
      <w:r w:rsidRPr="00EC20D3">
        <w:rPr>
          <w:rStyle w:val="afe"/>
          <w:rFonts w:eastAsia="Arial"/>
          <w:sz w:val="24"/>
          <w:highlight w:val="white"/>
        </w:rPr>
        <w:t xml:space="preserve">Modigliani F., Miller M.H. The Cost of Capital, Corporation </w:t>
      </w:r>
      <w:proofErr w:type="gramStart"/>
      <w:r w:rsidRPr="00EC20D3">
        <w:rPr>
          <w:rStyle w:val="afe"/>
          <w:rFonts w:eastAsia="Arial"/>
          <w:sz w:val="24"/>
          <w:highlight w:val="white"/>
        </w:rPr>
        <w:t>Finance</w:t>
      </w:r>
      <w:proofErr w:type="gramEnd"/>
      <w:r w:rsidRPr="00EC20D3">
        <w:rPr>
          <w:rStyle w:val="afe"/>
          <w:rFonts w:eastAsia="Arial"/>
          <w:sz w:val="24"/>
          <w:highlight w:val="white"/>
        </w:rPr>
        <w:t xml:space="preserve"> and the Theory of Investment. American Economic Review. 1958. Vol. 48. N 3. P. 261–297.</w:t>
      </w:r>
    </w:p>
    <w:p w14:paraId="2A429BAD" w14:textId="77777777" w:rsidR="000B46BF" w:rsidRPr="00EC20D3" w:rsidRDefault="000B46BF" w:rsidP="00EC20D3">
      <w:pPr>
        <w:pStyle w:val="af7"/>
        <w:numPr>
          <w:ilvl w:val="0"/>
          <w:numId w:val="32"/>
        </w:numPr>
        <w:spacing w:line="360" w:lineRule="auto"/>
        <w:rPr>
          <w:rFonts w:ascii="Times New Roman" w:hAnsi="Times New Roman" w:cs="Times New Roman"/>
          <w:sz w:val="24"/>
          <w:szCs w:val="24"/>
          <w:lang w:val="en-US"/>
        </w:rPr>
      </w:pPr>
      <w:r w:rsidRPr="00EC20D3">
        <w:rPr>
          <w:rFonts w:ascii="Times New Roman" w:hAnsi="Times New Roman" w:cs="Times New Roman"/>
          <w:sz w:val="24"/>
          <w:szCs w:val="24"/>
          <w:lang w:val="en-US"/>
        </w:rPr>
        <w:t>Philippov A., Shibanov O. Stock price reaction to dividend surprises: evidence from the Russian market. – 2019.</w:t>
      </w:r>
    </w:p>
    <w:p w14:paraId="585B0F9E" w14:textId="77777777" w:rsidR="000B46BF" w:rsidRPr="00EC20D3" w:rsidRDefault="000B46BF" w:rsidP="00EC20D3">
      <w:pPr>
        <w:pStyle w:val="af7"/>
        <w:numPr>
          <w:ilvl w:val="0"/>
          <w:numId w:val="32"/>
        </w:numPr>
        <w:spacing w:line="360" w:lineRule="auto"/>
        <w:rPr>
          <w:rStyle w:val="afe"/>
          <w:sz w:val="24"/>
        </w:rPr>
      </w:pPr>
      <w:r w:rsidRPr="00EC20D3">
        <w:rPr>
          <w:rStyle w:val="afe"/>
          <w:sz w:val="24"/>
          <w:highlight w:val="white"/>
        </w:rPr>
        <w:t>Qi Q. et al. Continuous cash dividends, ownership structure and firm value: Evidence from Chinese A-share market //Plos one. – 2022. – Т. 17. – №. 3. – С. e0265177.</w:t>
      </w:r>
    </w:p>
    <w:p w14:paraId="3872FD16" w14:textId="77777777" w:rsidR="000B46BF" w:rsidRPr="00EC20D3" w:rsidRDefault="000B46BF" w:rsidP="00EC20D3">
      <w:pPr>
        <w:pStyle w:val="afd"/>
        <w:numPr>
          <w:ilvl w:val="0"/>
          <w:numId w:val="32"/>
        </w:numPr>
        <w:spacing w:line="360" w:lineRule="auto"/>
        <w:rPr>
          <w:sz w:val="24"/>
        </w:rPr>
      </w:pPr>
      <w:r w:rsidRPr="00EC20D3">
        <w:rPr>
          <w:sz w:val="24"/>
        </w:rPr>
        <w:t>Shefrin H. M., Statman M. Explaining investor preference for cash dividends //Journal of financial economics. – 1984. – Т. 13. – №. 2. – С. 253-282.</w:t>
      </w:r>
    </w:p>
    <w:p w14:paraId="2E6402EB" w14:textId="77777777" w:rsidR="000B46BF" w:rsidRPr="00EC20D3" w:rsidRDefault="000B46BF" w:rsidP="00EC20D3">
      <w:pPr>
        <w:pStyle w:val="af7"/>
        <w:numPr>
          <w:ilvl w:val="0"/>
          <w:numId w:val="32"/>
        </w:numPr>
        <w:spacing w:line="360" w:lineRule="auto"/>
        <w:rPr>
          <w:rFonts w:ascii="Times New Roman" w:hAnsi="Times New Roman" w:cs="Times New Roman"/>
          <w:sz w:val="24"/>
          <w:szCs w:val="24"/>
        </w:rPr>
      </w:pPr>
      <w:r w:rsidRPr="00EC20D3">
        <w:rPr>
          <w:rFonts w:ascii="Times New Roman" w:hAnsi="Times New Roman" w:cs="Times New Roman"/>
          <w:sz w:val="24"/>
          <w:szCs w:val="24"/>
          <w:lang w:val="en-US"/>
        </w:rPr>
        <w:t xml:space="preserve">Veronesi P. Stock market overreactions to bad news in good times: a rational expectations equilibrium model //The Review of Financial Studies. – 1999. – </w:t>
      </w:r>
      <w:r w:rsidRPr="00EC20D3">
        <w:rPr>
          <w:rFonts w:ascii="Times New Roman" w:hAnsi="Times New Roman" w:cs="Times New Roman"/>
          <w:sz w:val="24"/>
          <w:szCs w:val="24"/>
        </w:rPr>
        <w:t>Т</w:t>
      </w:r>
      <w:r w:rsidRPr="00EC20D3">
        <w:rPr>
          <w:rFonts w:ascii="Times New Roman" w:hAnsi="Times New Roman" w:cs="Times New Roman"/>
          <w:sz w:val="24"/>
          <w:szCs w:val="24"/>
          <w:lang w:val="en-US"/>
        </w:rPr>
        <w:t xml:space="preserve">. 12. – №. </w:t>
      </w:r>
      <w:r w:rsidRPr="00EC20D3">
        <w:rPr>
          <w:rFonts w:ascii="Times New Roman" w:hAnsi="Times New Roman" w:cs="Times New Roman"/>
          <w:sz w:val="24"/>
          <w:szCs w:val="24"/>
        </w:rPr>
        <w:t xml:space="preserve">5. – С. </w:t>
      </w:r>
      <w:proofErr w:type="gramStart"/>
      <w:r w:rsidRPr="00EC20D3">
        <w:rPr>
          <w:rFonts w:ascii="Times New Roman" w:hAnsi="Times New Roman" w:cs="Times New Roman"/>
          <w:sz w:val="24"/>
          <w:szCs w:val="24"/>
        </w:rPr>
        <w:t>975-1007</w:t>
      </w:r>
      <w:proofErr w:type="gramEnd"/>
      <w:r w:rsidRPr="00EC20D3">
        <w:rPr>
          <w:rFonts w:ascii="Times New Roman" w:hAnsi="Times New Roman" w:cs="Times New Roman"/>
          <w:sz w:val="24"/>
          <w:szCs w:val="24"/>
        </w:rPr>
        <w:t>.)</w:t>
      </w:r>
    </w:p>
    <w:p w14:paraId="4DD0C79D" w14:textId="77777777" w:rsidR="000B46BF" w:rsidRPr="00EC20D3" w:rsidRDefault="000B46BF" w:rsidP="00EC20D3">
      <w:pPr>
        <w:pStyle w:val="afd"/>
        <w:numPr>
          <w:ilvl w:val="0"/>
          <w:numId w:val="32"/>
        </w:numPr>
        <w:spacing w:line="360" w:lineRule="auto"/>
        <w:rPr>
          <w:sz w:val="24"/>
        </w:rPr>
      </w:pPr>
      <w:r w:rsidRPr="00EC20D3">
        <w:rPr>
          <w:sz w:val="24"/>
        </w:rPr>
        <w:t>Veronesi P. Stock market overreactions to bad news in good times: a rational expectations equilibrium model //The Review of Financial Studies. – 1999. – Т. 12. – №. 5. – С. 975-1007.)</w:t>
      </w:r>
    </w:p>
    <w:p w14:paraId="5D86AE7F" w14:textId="77777777" w:rsidR="000B46BF" w:rsidRPr="00EC20D3" w:rsidRDefault="000B46BF" w:rsidP="00EC20D3">
      <w:pPr>
        <w:pStyle w:val="af7"/>
        <w:numPr>
          <w:ilvl w:val="0"/>
          <w:numId w:val="32"/>
        </w:numPr>
        <w:spacing w:line="360" w:lineRule="auto"/>
        <w:rPr>
          <w:rFonts w:ascii="Times New Roman" w:hAnsi="Times New Roman" w:cs="Times New Roman"/>
          <w:sz w:val="24"/>
          <w:szCs w:val="24"/>
        </w:rPr>
      </w:pPr>
      <w:r w:rsidRPr="00EC20D3">
        <w:rPr>
          <w:rFonts w:ascii="Times New Roman" w:hAnsi="Times New Roman" w:cs="Times New Roman"/>
          <w:sz w:val="24"/>
          <w:szCs w:val="24"/>
          <w:lang w:val="en-US"/>
        </w:rPr>
        <w:t xml:space="preserve">Vieira E. S. Firm-specific factors and the market reaction to dividend change announcements: Evidence from Europe //Marmara Üniversitesi Avrupa Topluluğu Enstitüsü Avrupa Araştırmaları Dergisi. – 2011. – </w:t>
      </w:r>
      <w:r w:rsidRPr="00EC20D3">
        <w:rPr>
          <w:rFonts w:ascii="Times New Roman" w:hAnsi="Times New Roman" w:cs="Times New Roman"/>
          <w:sz w:val="24"/>
          <w:szCs w:val="24"/>
        </w:rPr>
        <w:t>Т</w:t>
      </w:r>
      <w:r w:rsidRPr="00EC20D3">
        <w:rPr>
          <w:rFonts w:ascii="Times New Roman" w:hAnsi="Times New Roman" w:cs="Times New Roman"/>
          <w:sz w:val="24"/>
          <w:szCs w:val="24"/>
          <w:lang w:val="en-US"/>
        </w:rPr>
        <w:t xml:space="preserve">. 19. – №. </w:t>
      </w:r>
      <w:r w:rsidRPr="00EC20D3">
        <w:rPr>
          <w:rFonts w:ascii="Times New Roman" w:hAnsi="Times New Roman" w:cs="Times New Roman"/>
          <w:sz w:val="24"/>
          <w:szCs w:val="24"/>
        </w:rPr>
        <w:t xml:space="preserve">1. – С. </w:t>
      </w:r>
      <w:proofErr w:type="gramStart"/>
      <w:r w:rsidRPr="00EC20D3">
        <w:rPr>
          <w:rFonts w:ascii="Times New Roman" w:hAnsi="Times New Roman" w:cs="Times New Roman"/>
          <w:sz w:val="24"/>
          <w:szCs w:val="24"/>
        </w:rPr>
        <w:t>1-25</w:t>
      </w:r>
      <w:proofErr w:type="gramEnd"/>
      <w:r w:rsidRPr="00EC20D3">
        <w:rPr>
          <w:rFonts w:ascii="Times New Roman" w:hAnsi="Times New Roman" w:cs="Times New Roman"/>
          <w:sz w:val="24"/>
          <w:szCs w:val="24"/>
        </w:rPr>
        <w:t>.</w:t>
      </w:r>
    </w:p>
    <w:p w14:paraId="79304C4E" w14:textId="203FF9AD" w:rsidR="00EC20D3" w:rsidRPr="00EC20D3" w:rsidRDefault="000B46BF" w:rsidP="00EC20D3">
      <w:pPr>
        <w:pStyle w:val="af7"/>
        <w:numPr>
          <w:ilvl w:val="0"/>
          <w:numId w:val="32"/>
        </w:numPr>
        <w:spacing w:line="360" w:lineRule="auto"/>
        <w:rPr>
          <w:rFonts w:ascii="Times New Roman" w:hAnsi="Times New Roman" w:cs="Times New Roman"/>
          <w:sz w:val="24"/>
          <w:szCs w:val="24"/>
        </w:rPr>
      </w:pPr>
      <w:r w:rsidRPr="00EC20D3">
        <w:rPr>
          <w:rFonts w:ascii="Times New Roman" w:hAnsi="Times New Roman" w:cs="Times New Roman"/>
          <w:sz w:val="24"/>
          <w:szCs w:val="24"/>
          <w:lang w:val="en-US"/>
        </w:rPr>
        <w:t xml:space="preserve">Wang X., Manry D., Wandler S. Stock dividend policy in China //Journal of Global Business Management. – 2011. – </w:t>
      </w:r>
      <w:r w:rsidRPr="00EC20D3">
        <w:rPr>
          <w:rFonts w:ascii="Times New Roman" w:hAnsi="Times New Roman" w:cs="Times New Roman"/>
          <w:sz w:val="24"/>
          <w:szCs w:val="24"/>
        </w:rPr>
        <w:t>Т</w:t>
      </w:r>
      <w:r w:rsidRPr="00EC20D3">
        <w:rPr>
          <w:rFonts w:ascii="Times New Roman" w:hAnsi="Times New Roman" w:cs="Times New Roman"/>
          <w:sz w:val="24"/>
          <w:szCs w:val="24"/>
          <w:lang w:val="en-US"/>
        </w:rPr>
        <w:t xml:space="preserve">. 7. – №. </w:t>
      </w:r>
      <w:r w:rsidRPr="00EC20D3">
        <w:rPr>
          <w:rFonts w:ascii="Times New Roman" w:hAnsi="Times New Roman" w:cs="Times New Roman"/>
          <w:sz w:val="24"/>
          <w:szCs w:val="24"/>
        </w:rPr>
        <w:t>2. – С. 1.</w:t>
      </w:r>
    </w:p>
    <w:p w14:paraId="613659EC" w14:textId="1D3423AE" w:rsidR="000B46BF" w:rsidRPr="00EC20D3" w:rsidRDefault="000B46BF" w:rsidP="00EC20D3">
      <w:pPr>
        <w:pStyle w:val="afd"/>
        <w:numPr>
          <w:ilvl w:val="0"/>
          <w:numId w:val="32"/>
        </w:numPr>
        <w:spacing w:line="360" w:lineRule="auto"/>
        <w:rPr>
          <w:sz w:val="24"/>
        </w:rPr>
      </w:pPr>
      <w:r w:rsidRPr="00EC20D3">
        <w:rPr>
          <w:sz w:val="24"/>
        </w:rPr>
        <w:t xml:space="preserve">Warther V. A. Dividend smoothing: A sleeping </w:t>
      </w:r>
      <w:proofErr w:type="gramStart"/>
      <w:r w:rsidRPr="00EC20D3">
        <w:rPr>
          <w:sz w:val="24"/>
        </w:rPr>
        <w:t>dogs</w:t>
      </w:r>
      <w:proofErr w:type="gramEnd"/>
      <w:r w:rsidRPr="00EC20D3">
        <w:rPr>
          <w:sz w:val="24"/>
        </w:rPr>
        <w:t xml:space="preserve"> explanation //Available at SSRN 5466. – 1994.</w:t>
      </w:r>
    </w:p>
    <w:p w14:paraId="74498B65" w14:textId="0A5BACAE" w:rsidR="009217DB" w:rsidRPr="00EC20D3" w:rsidRDefault="009217DB" w:rsidP="00EC20D3">
      <w:pPr>
        <w:pStyle w:val="afd"/>
        <w:numPr>
          <w:ilvl w:val="0"/>
          <w:numId w:val="32"/>
        </w:numPr>
        <w:spacing w:line="360" w:lineRule="auto"/>
        <w:rPr>
          <w:sz w:val="24"/>
        </w:rPr>
      </w:pPr>
      <w:r w:rsidRPr="00EC20D3">
        <w:rPr>
          <w:sz w:val="24"/>
        </w:rPr>
        <w:t>Xie Z. Estimating Effects of Dividend Tax Policy Changes in China Part I //Proceedings. Annual Conference on Taxation and Minutes of the Annual Meeting of the National Tax Association. – National Tax Association, 2018. – Т. 111. – С. 1-54.</w:t>
      </w:r>
    </w:p>
    <w:p w14:paraId="7D248E12" w14:textId="77777777" w:rsidR="000B46BF" w:rsidRPr="00EC20D3" w:rsidRDefault="000B46BF" w:rsidP="00EC20D3">
      <w:pPr>
        <w:pStyle w:val="afd"/>
        <w:numPr>
          <w:ilvl w:val="0"/>
          <w:numId w:val="32"/>
        </w:numPr>
        <w:spacing w:line="360" w:lineRule="auto"/>
        <w:rPr>
          <w:sz w:val="24"/>
        </w:rPr>
      </w:pPr>
      <w:r w:rsidRPr="00EC20D3">
        <w:rPr>
          <w:sz w:val="24"/>
        </w:rPr>
        <w:t>Yoon P. S., Starks L. T. Signaling, investment opportunities, and dividend announcements //The Review of Financial Studies. – 1995. – Т. 8. – №. 4. – С. 995-1018.</w:t>
      </w:r>
    </w:p>
    <w:p w14:paraId="7E6B327C" w14:textId="38DF9A17" w:rsidR="000B46BF" w:rsidRPr="00EC20D3" w:rsidRDefault="000B46BF" w:rsidP="00EC20D3">
      <w:pPr>
        <w:pStyle w:val="afd"/>
        <w:numPr>
          <w:ilvl w:val="0"/>
          <w:numId w:val="32"/>
        </w:numPr>
        <w:spacing w:line="360" w:lineRule="auto"/>
        <w:rPr>
          <w:sz w:val="24"/>
        </w:rPr>
      </w:pPr>
      <w:r w:rsidRPr="00EC20D3">
        <w:rPr>
          <w:sz w:val="24"/>
        </w:rPr>
        <w:t>Yoon P. S., Starks L. T. Signaling, investment opportunities, and dividend announcements //The Review of Financial Studies. – 1995. – Т. 8. – №. 4. – С. 995-1018.</w:t>
      </w:r>
    </w:p>
    <w:p w14:paraId="7527356D" w14:textId="6A7D3DC3" w:rsidR="00CD5FDC" w:rsidRPr="00EC20D3" w:rsidRDefault="00CD5FDC" w:rsidP="00EC20D3">
      <w:pPr>
        <w:pStyle w:val="afd"/>
        <w:numPr>
          <w:ilvl w:val="0"/>
          <w:numId w:val="32"/>
        </w:numPr>
        <w:spacing w:line="360" w:lineRule="auto"/>
        <w:rPr>
          <w:sz w:val="24"/>
        </w:rPr>
      </w:pPr>
      <w:r w:rsidRPr="00EC20D3">
        <w:rPr>
          <w:sz w:val="24"/>
        </w:rPr>
        <w:t>Zhao Y., Ng S. H. Dividend payout policies in the pre and post split share structure reform in China //Cogent Economics &amp; Finance. – 2021. – Т. 9. – №. 1. – С. 1923620.</w:t>
      </w:r>
    </w:p>
    <w:p w14:paraId="717CB941" w14:textId="560CFB94" w:rsidR="000B46BF" w:rsidRPr="00EC20D3" w:rsidRDefault="000B46BF" w:rsidP="00EC20D3">
      <w:pPr>
        <w:pStyle w:val="af7"/>
        <w:numPr>
          <w:ilvl w:val="0"/>
          <w:numId w:val="32"/>
        </w:numPr>
        <w:spacing w:line="360" w:lineRule="auto"/>
        <w:rPr>
          <w:rFonts w:ascii="Times New Roman" w:hAnsi="Times New Roman" w:cs="Times New Roman"/>
          <w:sz w:val="24"/>
          <w:szCs w:val="24"/>
          <w:shd w:val="clear" w:color="auto" w:fill="FFFFFF"/>
          <w:lang w:val="en-US"/>
        </w:rPr>
      </w:pPr>
      <w:r w:rsidRPr="00EC20D3">
        <w:rPr>
          <w:rFonts w:ascii="Times New Roman" w:hAnsi="Times New Roman" w:cs="Times New Roman"/>
          <w:sz w:val="24"/>
          <w:szCs w:val="24"/>
          <w:shd w:val="clear" w:color="auto" w:fill="FFFFFF"/>
          <w:lang w:val="en-US"/>
        </w:rPr>
        <w:t xml:space="preserve">Zuguang H., Ahmed M. U. Dividend announcement effect on stock return: an event study on Shanghai stock exchange //2010 Second WRI Global Congress on Intelligent Systems. – IEEE, 2010. – </w:t>
      </w:r>
      <w:r w:rsidRPr="00EC20D3">
        <w:rPr>
          <w:rFonts w:ascii="Times New Roman" w:hAnsi="Times New Roman" w:cs="Times New Roman"/>
          <w:sz w:val="24"/>
          <w:szCs w:val="24"/>
          <w:shd w:val="clear" w:color="auto" w:fill="FFFFFF"/>
        </w:rPr>
        <w:t>Т</w:t>
      </w:r>
      <w:r w:rsidRPr="00EC20D3">
        <w:rPr>
          <w:rFonts w:ascii="Times New Roman" w:hAnsi="Times New Roman" w:cs="Times New Roman"/>
          <w:sz w:val="24"/>
          <w:szCs w:val="24"/>
          <w:shd w:val="clear" w:color="auto" w:fill="FFFFFF"/>
          <w:lang w:val="en-US"/>
        </w:rPr>
        <w:t xml:space="preserve">. 2. – </w:t>
      </w:r>
      <w:r w:rsidRPr="00EC20D3">
        <w:rPr>
          <w:rFonts w:ascii="Times New Roman" w:hAnsi="Times New Roman" w:cs="Times New Roman"/>
          <w:sz w:val="24"/>
          <w:szCs w:val="24"/>
          <w:shd w:val="clear" w:color="auto" w:fill="FFFFFF"/>
        </w:rPr>
        <w:t>С</w:t>
      </w:r>
      <w:r w:rsidRPr="00EC20D3">
        <w:rPr>
          <w:rFonts w:ascii="Times New Roman" w:hAnsi="Times New Roman" w:cs="Times New Roman"/>
          <w:sz w:val="24"/>
          <w:szCs w:val="24"/>
          <w:shd w:val="clear" w:color="auto" w:fill="FFFFFF"/>
          <w:lang w:val="en-US"/>
        </w:rPr>
        <w:t>. 320-324.</w:t>
      </w:r>
    </w:p>
    <w:p w14:paraId="4B1C4D62" w14:textId="77777777" w:rsidR="00CD5FDC" w:rsidRPr="00EC20D3" w:rsidRDefault="00CD5FDC" w:rsidP="00CD5FDC">
      <w:pPr>
        <w:pStyle w:val="af7"/>
        <w:spacing w:line="360" w:lineRule="auto"/>
        <w:rPr>
          <w:rFonts w:ascii="Times New Roman" w:hAnsi="Times New Roman" w:cs="Times New Roman"/>
          <w:sz w:val="24"/>
          <w:szCs w:val="24"/>
          <w:shd w:val="clear" w:color="auto" w:fill="FFFFFF"/>
          <w:lang w:val="en-US"/>
        </w:rPr>
      </w:pPr>
    </w:p>
    <w:p w14:paraId="22827140" w14:textId="5F8D1659" w:rsidR="002F6A3C" w:rsidRPr="009217DB" w:rsidRDefault="002F6A3C" w:rsidP="002F6A3C">
      <w:pPr>
        <w:rPr>
          <w:rFonts w:cs="Times New Roman"/>
          <w:szCs w:val="24"/>
          <w:shd w:val="clear" w:color="auto" w:fill="FFFFFF"/>
          <w:lang w:val="en-US"/>
        </w:rPr>
      </w:pPr>
    </w:p>
    <w:p w14:paraId="429F2B2D" w14:textId="6F4824D4" w:rsidR="002F6A3C" w:rsidRPr="009217DB" w:rsidRDefault="002F6A3C" w:rsidP="002F6A3C">
      <w:pPr>
        <w:rPr>
          <w:rFonts w:cs="Times New Roman"/>
          <w:szCs w:val="24"/>
          <w:shd w:val="clear" w:color="auto" w:fill="FFFFFF"/>
          <w:lang w:val="en-US"/>
        </w:rPr>
      </w:pPr>
    </w:p>
    <w:p w14:paraId="3DB9BDCB" w14:textId="19B2FA6D" w:rsidR="002F6A3C" w:rsidRPr="009217DB" w:rsidRDefault="002F6A3C" w:rsidP="002F6A3C">
      <w:pPr>
        <w:rPr>
          <w:rFonts w:cs="Times New Roman"/>
          <w:szCs w:val="24"/>
          <w:shd w:val="clear" w:color="auto" w:fill="FFFFFF"/>
          <w:lang w:val="en-US"/>
        </w:rPr>
      </w:pPr>
    </w:p>
    <w:p w14:paraId="023DEDBC" w14:textId="1CD5F960" w:rsidR="002F6A3C" w:rsidRPr="009217DB" w:rsidRDefault="002F6A3C" w:rsidP="002F6A3C">
      <w:pPr>
        <w:rPr>
          <w:rFonts w:cs="Times New Roman"/>
          <w:szCs w:val="24"/>
          <w:shd w:val="clear" w:color="auto" w:fill="FFFFFF"/>
          <w:lang w:val="en-US"/>
        </w:rPr>
      </w:pPr>
    </w:p>
    <w:p w14:paraId="57CC9491" w14:textId="5E6C7476" w:rsidR="002F6A3C" w:rsidRPr="009217DB" w:rsidRDefault="002F6A3C" w:rsidP="002F6A3C">
      <w:pPr>
        <w:rPr>
          <w:rFonts w:cs="Times New Roman"/>
          <w:szCs w:val="24"/>
          <w:shd w:val="clear" w:color="auto" w:fill="FFFFFF"/>
          <w:lang w:val="en-US"/>
        </w:rPr>
      </w:pPr>
    </w:p>
    <w:p w14:paraId="01BCC164" w14:textId="4153C9BB" w:rsidR="002F6A3C" w:rsidRPr="009217DB" w:rsidRDefault="002F6A3C" w:rsidP="002F6A3C">
      <w:pPr>
        <w:rPr>
          <w:rFonts w:cs="Times New Roman"/>
          <w:szCs w:val="24"/>
          <w:shd w:val="clear" w:color="auto" w:fill="FFFFFF"/>
          <w:lang w:val="en-US"/>
        </w:rPr>
      </w:pPr>
    </w:p>
    <w:p w14:paraId="466EF1D0" w14:textId="293F921B" w:rsidR="002F6A3C" w:rsidRPr="009217DB" w:rsidRDefault="002F6A3C" w:rsidP="002F6A3C">
      <w:pPr>
        <w:rPr>
          <w:rFonts w:cs="Times New Roman"/>
          <w:szCs w:val="24"/>
          <w:shd w:val="clear" w:color="auto" w:fill="FFFFFF"/>
          <w:lang w:val="en-US"/>
        </w:rPr>
      </w:pPr>
    </w:p>
    <w:p w14:paraId="06D4CB9C" w14:textId="2C93E32F" w:rsidR="002F6A3C" w:rsidRPr="009217DB" w:rsidRDefault="002F6A3C" w:rsidP="002F6A3C">
      <w:pPr>
        <w:rPr>
          <w:rFonts w:cs="Times New Roman"/>
          <w:szCs w:val="24"/>
          <w:shd w:val="clear" w:color="auto" w:fill="FFFFFF"/>
          <w:lang w:val="en-US"/>
        </w:rPr>
      </w:pPr>
    </w:p>
    <w:p w14:paraId="407F4ECD" w14:textId="6EFEE84F" w:rsidR="002F6A3C" w:rsidRPr="009217DB" w:rsidRDefault="002F6A3C" w:rsidP="002F6A3C">
      <w:pPr>
        <w:rPr>
          <w:rFonts w:cs="Times New Roman"/>
          <w:szCs w:val="24"/>
          <w:shd w:val="clear" w:color="auto" w:fill="FFFFFF"/>
          <w:lang w:val="en-US"/>
        </w:rPr>
      </w:pPr>
    </w:p>
    <w:p w14:paraId="442316BC" w14:textId="112C03D7" w:rsidR="002F6A3C" w:rsidRPr="009217DB" w:rsidRDefault="002F6A3C" w:rsidP="002F6A3C">
      <w:pPr>
        <w:rPr>
          <w:rFonts w:cs="Times New Roman"/>
          <w:szCs w:val="24"/>
          <w:shd w:val="clear" w:color="auto" w:fill="FFFFFF"/>
          <w:lang w:val="en-US"/>
        </w:rPr>
      </w:pPr>
    </w:p>
    <w:p w14:paraId="609C04E7" w14:textId="5C74FBCA" w:rsidR="002F6A3C" w:rsidRPr="009217DB" w:rsidRDefault="002F6A3C" w:rsidP="002F6A3C">
      <w:pPr>
        <w:rPr>
          <w:rFonts w:cs="Times New Roman"/>
          <w:szCs w:val="24"/>
          <w:shd w:val="clear" w:color="auto" w:fill="FFFFFF"/>
          <w:lang w:val="en-US"/>
        </w:rPr>
      </w:pPr>
    </w:p>
    <w:p w14:paraId="0EEC677A" w14:textId="1E4A66CC" w:rsidR="002F6A3C" w:rsidRPr="009217DB" w:rsidRDefault="002F6A3C" w:rsidP="002F6A3C">
      <w:pPr>
        <w:rPr>
          <w:rFonts w:cs="Times New Roman"/>
          <w:szCs w:val="24"/>
          <w:shd w:val="clear" w:color="auto" w:fill="FFFFFF"/>
          <w:lang w:val="en-US"/>
        </w:rPr>
      </w:pPr>
    </w:p>
    <w:p w14:paraId="275671C8" w14:textId="3A57DF0C" w:rsidR="002F6A3C" w:rsidRPr="009217DB" w:rsidRDefault="002F6A3C" w:rsidP="002F6A3C">
      <w:pPr>
        <w:rPr>
          <w:rFonts w:cs="Times New Roman"/>
          <w:szCs w:val="24"/>
          <w:shd w:val="clear" w:color="auto" w:fill="FFFFFF"/>
          <w:lang w:val="en-US"/>
        </w:rPr>
      </w:pPr>
    </w:p>
    <w:p w14:paraId="58149D95" w14:textId="29EE4F3F" w:rsidR="002F6A3C" w:rsidRPr="009217DB" w:rsidRDefault="002F6A3C" w:rsidP="002F6A3C">
      <w:pPr>
        <w:rPr>
          <w:rFonts w:cs="Times New Roman"/>
          <w:szCs w:val="24"/>
          <w:shd w:val="clear" w:color="auto" w:fill="FFFFFF"/>
          <w:lang w:val="en-US"/>
        </w:rPr>
      </w:pPr>
    </w:p>
    <w:p w14:paraId="3662EFDD" w14:textId="0C98D22C" w:rsidR="002F6A3C" w:rsidRPr="009217DB" w:rsidRDefault="002F6A3C" w:rsidP="002F6A3C">
      <w:pPr>
        <w:rPr>
          <w:rFonts w:cs="Times New Roman"/>
          <w:szCs w:val="24"/>
          <w:shd w:val="clear" w:color="auto" w:fill="FFFFFF"/>
          <w:lang w:val="en-US"/>
        </w:rPr>
      </w:pPr>
    </w:p>
    <w:p w14:paraId="379A58CD" w14:textId="27B2732B" w:rsidR="002F6A3C" w:rsidRDefault="00205D10" w:rsidP="002F6A3C">
      <w:pPr>
        <w:pStyle w:val="1"/>
        <w:rPr>
          <w:shd w:val="clear" w:color="auto" w:fill="FFFFFF"/>
        </w:rPr>
      </w:pPr>
      <w:bookmarkStart w:id="44" w:name="_Toc104840375"/>
      <w:r>
        <w:rPr>
          <w:shd w:val="clear" w:color="auto" w:fill="FFFFFF"/>
        </w:rPr>
        <w:t>ПРИЛОЖЕНИЯ</w:t>
      </w:r>
      <w:bookmarkEnd w:id="44"/>
    </w:p>
    <w:p w14:paraId="33A13877" w14:textId="321AE3D2" w:rsidR="00E4570D" w:rsidRPr="00F25127" w:rsidRDefault="00E4570D" w:rsidP="00F25127">
      <w:pPr>
        <w:ind w:firstLine="0"/>
        <w:rPr>
          <w:b/>
          <w:bCs/>
        </w:rPr>
      </w:pPr>
      <w:r w:rsidRPr="00E4570D">
        <w:rPr>
          <w:b/>
          <w:bCs/>
        </w:rPr>
        <w:t xml:space="preserve">Приложение 1. Результат </w:t>
      </w:r>
      <w:r w:rsidR="00494977">
        <w:rPr>
          <w:b/>
          <w:bCs/>
        </w:rPr>
        <w:t>применения метода анализа событий (</w:t>
      </w:r>
      <w:r w:rsidR="00494977">
        <w:rPr>
          <w:b/>
          <w:bCs/>
          <w:lang w:val="en-US"/>
        </w:rPr>
        <w:t>“event study”)</w:t>
      </w:r>
      <w:r w:rsidRPr="00E4570D">
        <w:rPr>
          <w:b/>
          <w:bCs/>
        </w:rPr>
        <w:t xml:space="preserve"> для российской выборки, случай негативного сюрприза</w:t>
      </w:r>
    </w:p>
    <w:tbl>
      <w:tblPr>
        <w:tblW w:w="9448" w:type="dxa"/>
        <w:tblLook w:val="04A0" w:firstRow="1" w:lastRow="0" w:firstColumn="1" w:lastColumn="0" w:noHBand="0" w:noVBand="1"/>
      </w:tblPr>
      <w:tblGrid>
        <w:gridCol w:w="2043"/>
        <w:gridCol w:w="2043"/>
        <w:gridCol w:w="2043"/>
        <w:gridCol w:w="1489"/>
        <w:gridCol w:w="1830"/>
      </w:tblGrid>
      <w:tr w:rsidR="00E4570D" w:rsidRPr="00E4570D" w14:paraId="595C304D" w14:textId="77777777" w:rsidTr="00F25127">
        <w:trPr>
          <w:trHeight w:val="243"/>
        </w:trPr>
        <w:tc>
          <w:tcPr>
            <w:tcW w:w="2043" w:type="dxa"/>
            <w:tcBorders>
              <w:top w:val="nil"/>
              <w:left w:val="nil"/>
              <w:bottom w:val="nil"/>
              <w:right w:val="nil"/>
            </w:tcBorders>
            <w:shd w:val="clear" w:color="auto" w:fill="auto"/>
            <w:noWrap/>
            <w:vAlign w:val="bottom"/>
            <w:hideMark/>
          </w:tcPr>
          <w:p w14:paraId="324DB9D6" w14:textId="77777777" w:rsidR="00E4570D" w:rsidRPr="00E4570D" w:rsidRDefault="00E4570D" w:rsidP="00E4570D">
            <w:pPr>
              <w:spacing w:line="240" w:lineRule="auto"/>
              <w:ind w:firstLine="0"/>
              <w:jc w:val="center"/>
              <w:rPr>
                <w:rFonts w:ascii="Calibri" w:eastAsia="Times New Roman" w:hAnsi="Calibri" w:cs="Calibri"/>
                <w:b/>
                <w:bCs/>
                <w:color w:val="000000"/>
                <w:sz w:val="20"/>
                <w:szCs w:val="20"/>
                <w:lang w:val="en-US"/>
              </w:rPr>
            </w:pPr>
            <w:r w:rsidRPr="00E4570D">
              <w:rPr>
                <w:rFonts w:ascii="Calibri" w:eastAsia="Times New Roman" w:hAnsi="Calibri" w:cs="Calibri"/>
                <w:b/>
                <w:bCs/>
                <w:color w:val="000000"/>
                <w:sz w:val="20"/>
                <w:szCs w:val="20"/>
                <w:lang w:val="en-US"/>
              </w:rPr>
              <w:t>Day relative to event</w:t>
            </w:r>
          </w:p>
        </w:tc>
        <w:tc>
          <w:tcPr>
            <w:tcW w:w="2043" w:type="dxa"/>
            <w:tcBorders>
              <w:top w:val="nil"/>
              <w:left w:val="nil"/>
              <w:bottom w:val="nil"/>
              <w:right w:val="nil"/>
            </w:tcBorders>
            <w:shd w:val="clear" w:color="auto" w:fill="auto"/>
            <w:noWrap/>
            <w:vAlign w:val="bottom"/>
            <w:hideMark/>
          </w:tcPr>
          <w:p w14:paraId="6ADF14D1" w14:textId="77777777" w:rsidR="00E4570D" w:rsidRPr="00E4570D" w:rsidRDefault="00E4570D" w:rsidP="00E4570D">
            <w:pPr>
              <w:spacing w:line="240" w:lineRule="auto"/>
              <w:ind w:firstLine="0"/>
              <w:jc w:val="center"/>
              <w:rPr>
                <w:rFonts w:ascii="Calibri" w:eastAsia="Times New Roman" w:hAnsi="Calibri" w:cs="Calibri"/>
                <w:b/>
                <w:bCs/>
                <w:color w:val="000000"/>
                <w:sz w:val="20"/>
                <w:szCs w:val="20"/>
                <w:lang w:val="en-US"/>
              </w:rPr>
            </w:pPr>
            <w:r w:rsidRPr="00E4570D">
              <w:rPr>
                <w:rFonts w:ascii="Calibri" w:eastAsia="Times New Roman" w:hAnsi="Calibri" w:cs="Calibri"/>
                <w:b/>
                <w:bCs/>
                <w:color w:val="000000"/>
                <w:sz w:val="20"/>
                <w:szCs w:val="20"/>
                <w:lang w:val="en-US"/>
              </w:rPr>
              <w:t>средний AAR</w:t>
            </w:r>
          </w:p>
        </w:tc>
        <w:tc>
          <w:tcPr>
            <w:tcW w:w="2043" w:type="dxa"/>
            <w:tcBorders>
              <w:top w:val="nil"/>
              <w:left w:val="nil"/>
              <w:bottom w:val="nil"/>
              <w:right w:val="nil"/>
            </w:tcBorders>
            <w:shd w:val="clear" w:color="auto" w:fill="auto"/>
            <w:noWrap/>
            <w:vAlign w:val="bottom"/>
            <w:hideMark/>
          </w:tcPr>
          <w:p w14:paraId="0B2E7A1C" w14:textId="77777777" w:rsidR="00E4570D" w:rsidRPr="00E4570D" w:rsidRDefault="00E4570D" w:rsidP="00E4570D">
            <w:pPr>
              <w:spacing w:line="240" w:lineRule="auto"/>
              <w:ind w:firstLine="0"/>
              <w:jc w:val="center"/>
              <w:rPr>
                <w:rFonts w:ascii="Calibri" w:eastAsia="Times New Roman" w:hAnsi="Calibri" w:cs="Calibri"/>
                <w:b/>
                <w:bCs/>
                <w:color w:val="000000"/>
                <w:sz w:val="20"/>
                <w:szCs w:val="20"/>
                <w:lang w:val="en-US"/>
              </w:rPr>
            </w:pPr>
            <w:r w:rsidRPr="00E4570D">
              <w:rPr>
                <w:rFonts w:ascii="Calibri" w:eastAsia="Times New Roman" w:hAnsi="Calibri" w:cs="Calibri"/>
                <w:b/>
                <w:bCs/>
                <w:color w:val="000000"/>
                <w:sz w:val="20"/>
                <w:szCs w:val="20"/>
                <w:lang w:val="en-US"/>
              </w:rPr>
              <w:t>t-value AAR</w:t>
            </w:r>
          </w:p>
        </w:tc>
        <w:tc>
          <w:tcPr>
            <w:tcW w:w="1489" w:type="dxa"/>
            <w:tcBorders>
              <w:top w:val="nil"/>
              <w:left w:val="nil"/>
              <w:bottom w:val="nil"/>
              <w:right w:val="nil"/>
            </w:tcBorders>
            <w:shd w:val="clear" w:color="auto" w:fill="auto"/>
            <w:noWrap/>
            <w:vAlign w:val="bottom"/>
            <w:hideMark/>
          </w:tcPr>
          <w:p w14:paraId="110F321B" w14:textId="77777777" w:rsidR="00E4570D" w:rsidRPr="00E4570D" w:rsidRDefault="00E4570D" w:rsidP="00E4570D">
            <w:pPr>
              <w:spacing w:line="240" w:lineRule="auto"/>
              <w:ind w:firstLine="0"/>
              <w:jc w:val="center"/>
              <w:rPr>
                <w:rFonts w:ascii="Calibri" w:eastAsia="Times New Roman" w:hAnsi="Calibri" w:cs="Calibri"/>
                <w:b/>
                <w:bCs/>
                <w:color w:val="000000"/>
                <w:sz w:val="20"/>
                <w:szCs w:val="20"/>
                <w:lang w:val="en-US"/>
              </w:rPr>
            </w:pPr>
            <w:r w:rsidRPr="00E4570D">
              <w:rPr>
                <w:rFonts w:ascii="Calibri" w:eastAsia="Times New Roman" w:hAnsi="Calibri" w:cs="Calibri"/>
                <w:b/>
                <w:bCs/>
                <w:color w:val="000000"/>
                <w:sz w:val="20"/>
                <w:szCs w:val="20"/>
                <w:lang w:val="en-US"/>
              </w:rPr>
              <w:t>CAAR</w:t>
            </w:r>
          </w:p>
        </w:tc>
        <w:tc>
          <w:tcPr>
            <w:tcW w:w="1830" w:type="dxa"/>
            <w:tcBorders>
              <w:top w:val="nil"/>
              <w:left w:val="nil"/>
              <w:bottom w:val="nil"/>
              <w:right w:val="nil"/>
            </w:tcBorders>
            <w:shd w:val="clear" w:color="auto" w:fill="auto"/>
            <w:noWrap/>
            <w:vAlign w:val="bottom"/>
            <w:hideMark/>
          </w:tcPr>
          <w:p w14:paraId="0F01F68D" w14:textId="77777777" w:rsidR="00E4570D" w:rsidRPr="00E4570D" w:rsidRDefault="00E4570D" w:rsidP="00E4570D">
            <w:pPr>
              <w:spacing w:line="240" w:lineRule="auto"/>
              <w:ind w:firstLine="0"/>
              <w:jc w:val="center"/>
              <w:rPr>
                <w:rFonts w:ascii="Calibri" w:eastAsia="Times New Roman" w:hAnsi="Calibri" w:cs="Calibri"/>
                <w:b/>
                <w:bCs/>
                <w:color w:val="000000"/>
                <w:sz w:val="20"/>
                <w:szCs w:val="20"/>
                <w:lang w:val="en-US"/>
              </w:rPr>
            </w:pPr>
            <w:r w:rsidRPr="00E4570D">
              <w:rPr>
                <w:rFonts w:ascii="Calibri" w:eastAsia="Times New Roman" w:hAnsi="Calibri" w:cs="Calibri"/>
                <w:b/>
                <w:bCs/>
                <w:color w:val="000000"/>
                <w:sz w:val="20"/>
                <w:szCs w:val="20"/>
                <w:lang w:val="en-US"/>
              </w:rPr>
              <w:t>t-value CAR</w:t>
            </w:r>
          </w:p>
        </w:tc>
      </w:tr>
      <w:tr w:rsidR="00E4570D" w:rsidRPr="00E4570D" w14:paraId="676C66C8" w14:textId="77777777" w:rsidTr="00F25127">
        <w:trPr>
          <w:trHeight w:val="252"/>
        </w:trPr>
        <w:tc>
          <w:tcPr>
            <w:tcW w:w="2043" w:type="dxa"/>
            <w:tcBorders>
              <w:top w:val="nil"/>
              <w:left w:val="nil"/>
              <w:bottom w:val="nil"/>
              <w:right w:val="nil"/>
            </w:tcBorders>
            <w:shd w:val="clear" w:color="000000" w:fill="D9D9D9"/>
            <w:noWrap/>
            <w:vAlign w:val="bottom"/>
            <w:hideMark/>
          </w:tcPr>
          <w:p w14:paraId="40B5D2D7"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-10</w:t>
            </w:r>
          </w:p>
        </w:tc>
        <w:tc>
          <w:tcPr>
            <w:tcW w:w="2043" w:type="dxa"/>
            <w:tcBorders>
              <w:top w:val="nil"/>
              <w:left w:val="nil"/>
              <w:bottom w:val="nil"/>
              <w:right w:val="nil"/>
            </w:tcBorders>
            <w:shd w:val="clear" w:color="auto" w:fill="auto"/>
            <w:noWrap/>
            <w:vAlign w:val="bottom"/>
            <w:hideMark/>
          </w:tcPr>
          <w:p w14:paraId="1A6645EB"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0,1%</w:t>
            </w:r>
          </w:p>
        </w:tc>
        <w:tc>
          <w:tcPr>
            <w:tcW w:w="2043" w:type="dxa"/>
            <w:tcBorders>
              <w:top w:val="nil"/>
              <w:left w:val="nil"/>
              <w:bottom w:val="nil"/>
              <w:right w:val="nil"/>
            </w:tcBorders>
            <w:shd w:val="clear" w:color="auto" w:fill="auto"/>
            <w:noWrap/>
            <w:vAlign w:val="bottom"/>
            <w:hideMark/>
          </w:tcPr>
          <w:p w14:paraId="60950A9B"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0,5117</w:t>
            </w:r>
          </w:p>
        </w:tc>
        <w:tc>
          <w:tcPr>
            <w:tcW w:w="1489" w:type="dxa"/>
            <w:tcBorders>
              <w:top w:val="nil"/>
              <w:left w:val="nil"/>
              <w:bottom w:val="nil"/>
              <w:right w:val="nil"/>
            </w:tcBorders>
            <w:shd w:val="clear" w:color="auto" w:fill="auto"/>
            <w:noWrap/>
            <w:vAlign w:val="bottom"/>
            <w:hideMark/>
          </w:tcPr>
          <w:p w14:paraId="50C4CC07"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0%</w:t>
            </w:r>
          </w:p>
        </w:tc>
        <w:tc>
          <w:tcPr>
            <w:tcW w:w="1830" w:type="dxa"/>
            <w:tcBorders>
              <w:top w:val="nil"/>
              <w:left w:val="nil"/>
              <w:bottom w:val="nil"/>
              <w:right w:val="nil"/>
            </w:tcBorders>
            <w:shd w:val="clear" w:color="auto" w:fill="auto"/>
            <w:noWrap/>
            <w:vAlign w:val="bottom"/>
            <w:hideMark/>
          </w:tcPr>
          <w:p w14:paraId="28D3FBB7"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0,1059</w:t>
            </w:r>
          </w:p>
        </w:tc>
      </w:tr>
      <w:tr w:rsidR="00E4570D" w:rsidRPr="00E4570D" w14:paraId="6A9D7F49" w14:textId="77777777" w:rsidTr="00F25127">
        <w:trPr>
          <w:trHeight w:val="252"/>
        </w:trPr>
        <w:tc>
          <w:tcPr>
            <w:tcW w:w="2043" w:type="dxa"/>
            <w:tcBorders>
              <w:top w:val="nil"/>
              <w:left w:val="nil"/>
              <w:bottom w:val="nil"/>
              <w:right w:val="nil"/>
            </w:tcBorders>
            <w:shd w:val="clear" w:color="000000" w:fill="D9D9D9"/>
            <w:noWrap/>
            <w:vAlign w:val="bottom"/>
            <w:hideMark/>
          </w:tcPr>
          <w:p w14:paraId="44AFF58D"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-9</w:t>
            </w:r>
          </w:p>
        </w:tc>
        <w:tc>
          <w:tcPr>
            <w:tcW w:w="2043" w:type="dxa"/>
            <w:tcBorders>
              <w:top w:val="nil"/>
              <w:left w:val="nil"/>
              <w:bottom w:val="nil"/>
              <w:right w:val="nil"/>
            </w:tcBorders>
            <w:shd w:val="clear" w:color="auto" w:fill="auto"/>
            <w:noWrap/>
            <w:vAlign w:val="bottom"/>
            <w:hideMark/>
          </w:tcPr>
          <w:p w14:paraId="2D6BF578"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0,0%</w:t>
            </w:r>
          </w:p>
        </w:tc>
        <w:tc>
          <w:tcPr>
            <w:tcW w:w="2043" w:type="dxa"/>
            <w:tcBorders>
              <w:top w:val="nil"/>
              <w:left w:val="nil"/>
              <w:bottom w:val="nil"/>
              <w:right w:val="nil"/>
            </w:tcBorders>
            <w:shd w:val="clear" w:color="auto" w:fill="auto"/>
            <w:noWrap/>
            <w:vAlign w:val="bottom"/>
            <w:hideMark/>
          </w:tcPr>
          <w:p w14:paraId="21B4CEDE"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-0,1254</w:t>
            </w:r>
          </w:p>
        </w:tc>
        <w:tc>
          <w:tcPr>
            <w:tcW w:w="1489" w:type="dxa"/>
            <w:tcBorders>
              <w:top w:val="nil"/>
              <w:left w:val="nil"/>
              <w:bottom w:val="nil"/>
              <w:right w:val="nil"/>
            </w:tcBorders>
            <w:shd w:val="clear" w:color="auto" w:fill="auto"/>
            <w:noWrap/>
            <w:vAlign w:val="bottom"/>
            <w:hideMark/>
          </w:tcPr>
          <w:p w14:paraId="3070DF0F"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0%</w:t>
            </w:r>
          </w:p>
        </w:tc>
        <w:tc>
          <w:tcPr>
            <w:tcW w:w="1830" w:type="dxa"/>
            <w:tcBorders>
              <w:top w:val="nil"/>
              <w:left w:val="nil"/>
              <w:bottom w:val="nil"/>
              <w:right w:val="nil"/>
            </w:tcBorders>
            <w:shd w:val="clear" w:color="auto" w:fill="auto"/>
            <w:noWrap/>
            <w:vAlign w:val="bottom"/>
            <w:hideMark/>
          </w:tcPr>
          <w:p w14:paraId="752A1611"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0,0800</w:t>
            </w:r>
          </w:p>
        </w:tc>
      </w:tr>
      <w:tr w:rsidR="00E4570D" w:rsidRPr="00E4570D" w14:paraId="667087C3" w14:textId="77777777" w:rsidTr="00F25127">
        <w:trPr>
          <w:trHeight w:val="252"/>
        </w:trPr>
        <w:tc>
          <w:tcPr>
            <w:tcW w:w="2043" w:type="dxa"/>
            <w:tcBorders>
              <w:top w:val="nil"/>
              <w:left w:val="nil"/>
              <w:bottom w:val="nil"/>
              <w:right w:val="nil"/>
            </w:tcBorders>
            <w:shd w:val="clear" w:color="000000" w:fill="D9D9D9"/>
            <w:noWrap/>
            <w:vAlign w:val="bottom"/>
            <w:hideMark/>
          </w:tcPr>
          <w:p w14:paraId="37291020"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-8</w:t>
            </w:r>
          </w:p>
        </w:tc>
        <w:tc>
          <w:tcPr>
            <w:tcW w:w="2043" w:type="dxa"/>
            <w:tcBorders>
              <w:top w:val="nil"/>
              <w:left w:val="nil"/>
              <w:bottom w:val="nil"/>
              <w:right w:val="nil"/>
            </w:tcBorders>
            <w:shd w:val="clear" w:color="auto" w:fill="auto"/>
            <w:noWrap/>
            <w:vAlign w:val="bottom"/>
            <w:hideMark/>
          </w:tcPr>
          <w:p w14:paraId="3D5C7816"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0,0%</w:t>
            </w:r>
          </w:p>
        </w:tc>
        <w:tc>
          <w:tcPr>
            <w:tcW w:w="2043" w:type="dxa"/>
            <w:tcBorders>
              <w:top w:val="nil"/>
              <w:left w:val="nil"/>
              <w:bottom w:val="nil"/>
              <w:right w:val="nil"/>
            </w:tcBorders>
            <w:shd w:val="clear" w:color="auto" w:fill="auto"/>
            <w:noWrap/>
            <w:vAlign w:val="bottom"/>
            <w:hideMark/>
          </w:tcPr>
          <w:p w14:paraId="1F77C361"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0,0476</w:t>
            </w:r>
          </w:p>
        </w:tc>
        <w:tc>
          <w:tcPr>
            <w:tcW w:w="1489" w:type="dxa"/>
            <w:tcBorders>
              <w:top w:val="nil"/>
              <w:left w:val="nil"/>
              <w:bottom w:val="nil"/>
              <w:right w:val="nil"/>
            </w:tcBorders>
            <w:shd w:val="clear" w:color="auto" w:fill="auto"/>
            <w:noWrap/>
            <w:vAlign w:val="bottom"/>
            <w:hideMark/>
          </w:tcPr>
          <w:p w14:paraId="508F1C7B"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0%</w:t>
            </w:r>
          </w:p>
        </w:tc>
        <w:tc>
          <w:tcPr>
            <w:tcW w:w="1830" w:type="dxa"/>
            <w:tcBorders>
              <w:top w:val="nil"/>
              <w:left w:val="nil"/>
              <w:bottom w:val="nil"/>
              <w:right w:val="nil"/>
            </w:tcBorders>
            <w:shd w:val="clear" w:color="auto" w:fill="auto"/>
            <w:noWrap/>
            <w:vAlign w:val="bottom"/>
            <w:hideMark/>
          </w:tcPr>
          <w:p w14:paraId="1D447606"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0,0898</w:t>
            </w:r>
          </w:p>
        </w:tc>
      </w:tr>
      <w:tr w:rsidR="00E4570D" w:rsidRPr="00E4570D" w14:paraId="6505E29F" w14:textId="77777777" w:rsidTr="00F25127">
        <w:trPr>
          <w:trHeight w:val="252"/>
        </w:trPr>
        <w:tc>
          <w:tcPr>
            <w:tcW w:w="2043" w:type="dxa"/>
            <w:tcBorders>
              <w:top w:val="nil"/>
              <w:left w:val="nil"/>
              <w:bottom w:val="nil"/>
              <w:right w:val="nil"/>
            </w:tcBorders>
            <w:shd w:val="clear" w:color="000000" w:fill="D9D9D9"/>
            <w:noWrap/>
            <w:vAlign w:val="bottom"/>
            <w:hideMark/>
          </w:tcPr>
          <w:p w14:paraId="06153DE7"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-7</w:t>
            </w:r>
          </w:p>
        </w:tc>
        <w:tc>
          <w:tcPr>
            <w:tcW w:w="2043" w:type="dxa"/>
            <w:tcBorders>
              <w:top w:val="nil"/>
              <w:left w:val="nil"/>
              <w:bottom w:val="nil"/>
              <w:right w:val="nil"/>
            </w:tcBorders>
            <w:shd w:val="clear" w:color="auto" w:fill="auto"/>
            <w:noWrap/>
            <w:vAlign w:val="bottom"/>
            <w:hideMark/>
          </w:tcPr>
          <w:p w14:paraId="77F47645"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-0,5%</w:t>
            </w:r>
          </w:p>
        </w:tc>
        <w:tc>
          <w:tcPr>
            <w:tcW w:w="2043" w:type="dxa"/>
            <w:tcBorders>
              <w:top w:val="nil"/>
              <w:left w:val="nil"/>
              <w:bottom w:val="nil"/>
              <w:right w:val="nil"/>
            </w:tcBorders>
            <w:shd w:val="clear" w:color="000000" w:fill="A9D08E"/>
            <w:noWrap/>
            <w:vAlign w:val="bottom"/>
            <w:hideMark/>
          </w:tcPr>
          <w:p w14:paraId="786A2D79"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-2,0853</w:t>
            </w:r>
          </w:p>
        </w:tc>
        <w:tc>
          <w:tcPr>
            <w:tcW w:w="1489" w:type="dxa"/>
            <w:tcBorders>
              <w:top w:val="nil"/>
              <w:left w:val="nil"/>
              <w:bottom w:val="nil"/>
              <w:right w:val="nil"/>
            </w:tcBorders>
            <w:shd w:val="clear" w:color="auto" w:fill="auto"/>
            <w:noWrap/>
            <w:vAlign w:val="bottom"/>
            <w:hideMark/>
          </w:tcPr>
          <w:p w14:paraId="1C5F7744"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0%</w:t>
            </w:r>
          </w:p>
        </w:tc>
        <w:tc>
          <w:tcPr>
            <w:tcW w:w="1830" w:type="dxa"/>
            <w:tcBorders>
              <w:top w:val="nil"/>
              <w:left w:val="nil"/>
              <w:bottom w:val="nil"/>
              <w:right w:val="nil"/>
            </w:tcBorders>
            <w:shd w:val="clear" w:color="auto" w:fill="auto"/>
            <w:noWrap/>
            <w:vAlign w:val="bottom"/>
            <w:hideMark/>
          </w:tcPr>
          <w:p w14:paraId="156F2C5F"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-0,3419</w:t>
            </w:r>
          </w:p>
        </w:tc>
      </w:tr>
      <w:tr w:rsidR="00E4570D" w:rsidRPr="00E4570D" w14:paraId="7673D0B8" w14:textId="77777777" w:rsidTr="00F25127">
        <w:trPr>
          <w:trHeight w:val="252"/>
        </w:trPr>
        <w:tc>
          <w:tcPr>
            <w:tcW w:w="2043" w:type="dxa"/>
            <w:tcBorders>
              <w:top w:val="nil"/>
              <w:left w:val="nil"/>
              <w:bottom w:val="nil"/>
              <w:right w:val="nil"/>
            </w:tcBorders>
            <w:shd w:val="clear" w:color="000000" w:fill="D9D9D9"/>
            <w:noWrap/>
            <w:vAlign w:val="bottom"/>
            <w:hideMark/>
          </w:tcPr>
          <w:p w14:paraId="2DD3CAC0"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-6</w:t>
            </w:r>
          </w:p>
        </w:tc>
        <w:tc>
          <w:tcPr>
            <w:tcW w:w="2043" w:type="dxa"/>
            <w:tcBorders>
              <w:top w:val="nil"/>
              <w:left w:val="nil"/>
              <w:bottom w:val="nil"/>
              <w:right w:val="nil"/>
            </w:tcBorders>
            <w:shd w:val="clear" w:color="auto" w:fill="auto"/>
            <w:noWrap/>
            <w:vAlign w:val="bottom"/>
            <w:hideMark/>
          </w:tcPr>
          <w:p w14:paraId="3115EB30"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0,0%</w:t>
            </w:r>
          </w:p>
        </w:tc>
        <w:tc>
          <w:tcPr>
            <w:tcW w:w="2043" w:type="dxa"/>
            <w:tcBorders>
              <w:top w:val="nil"/>
              <w:left w:val="nil"/>
              <w:bottom w:val="nil"/>
              <w:right w:val="nil"/>
            </w:tcBorders>
            <w:shd w:val="clear" w:color="auto" w:fill="auto"/>
            <w:noWrap/>
            <w:vAlign w:val="bottom"/>
            <w:hideMark/>
          </w:tcPr>
          <w:p w14:paraId="30EC5632"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0,1424</w:t>
            </w:r>
          </w:p>
        </w:tc>
        <w:tc>
          <w:tcPr>
            <w:tcW w:w="1489" w:type="dxa"/>
            <w:tcBorders>
              <w:top w:val="nil"/>
              <w:left w:val="nil"/>
              <w:bottom w:val="nil"/>
              <w:right w:val="nil"/>
            </w:tcBorders>
            <w:shd w:val="clear" w:color="auto" w:fill="auto"/>
            <w:noWrap/>
            <w:vAlign w:val="bottom"/>
            <w:hideMark/>
          </w:tcPr>
          <w:p w14:paraId="75B39A1F"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0%</w:t>
            </w:r>
          </w:p>
        </w:tc>
        <w:tc>
          <w:tcPr>
            <w:tcW w:w="1830" w:type="dxa"/>
            <w:tcBorders>
              <w:top w:val="nil"/>
              <w:left w:val="nil"/>
              <w:bottom w:val="nil"/>
              <w:right w:val="nil"/>
            </w:tcBorders>
            <w:shd w:val="clear" w:color="auto" w:fill="auto"/>
            <w:noWrap/>
            <w:vAlign w:val="bottom"/>
            <w:hideMark/>
          </w:tcPr>
          <w:p w14:paraId="062C8EED"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-0,3124</w:t>
            </w:r>
          </w:p>
        </w:tc>
      </w:tr>
      <w:tr w:rsidR="00E4570D" w:rsidRPr="00E4570D" w14:paraId="76F2F1F5" w14:textId="77777777" w:rsidTr="00F25127">
        <w:trPr>
          <w:trHeight w:val="252"/>
        </w:trPr>
        <w:tc>
          <w:tcPr>
            <w:tcW w:w="2043" w:type="dxa"/>
            <w:tcBorders>
              <w:top w:val="nil"/>
              <w:left w:val="nil"/>
              <w:bottom w:val="nil"/>
              <w:right w:val="nil"/>
            </w:tcBorders>
            <w:shd w:val="clear" w:color="000000" w:fill="D9D9D9"/>
            <w:noWrap/>
            <w:vAlign w:val="bottom"/>
            <w:hideMark/>
          </w:tcPr>
          <w:p w14:paraId="541B0CA4"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-5</w:t>
            </w:r>
          </w:p>
        </w:tc>
        <w:tc>
          <w:tcPr>
            <w:tcW w:w="2043" w:type="dxa"/>
            <w:tcBorders>
              <w:top w:val="nil"/>
              <w:left w:val="nil"/>
              <w:bottom w:val="nil"/>
              <w:right w:val="nil"/>
            </w:tcBorders>
            <w:shd w:val="clear" w:color="auto" w:fill="auto"/>
            <w:noWrap/>
            <w:vAlign w:val="bottom"/>
            <w:hideMark/>
          </w:tcPr>
          <w:p w14:paraId="2CC0DBB3"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-0,1%</w:t>
            </w:r>
          </w:p>
        </w:tc>
        <w:tc>
          <w:tcPr>
            <w:tcW w:w="2043" w:type="dxa"/>
            <w:tcBorders>
              <w:top w:val="nil"/>
              <w:left w:val="nil"/>
              <w:bottom w:val="nil"/>
              <w:right w:val="nil"/>
            </w:tcBorders>
            <w:shd w:val="clear" w:color="auto" w:fill="auto"/>
            <w:noWrap/>
            <w:vAlign w:val="bottom"/>
            <w:hideMark/>
          </w:tcPr>
          <w:p w14:paraId="7DB93FFC"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-0,2292</w:t>
            </w:r>
          </w:p>
        </w:tc>
        <w:tc>
          <w:tcPr>
            <w:tcW w:w="1489" w:type="dxa"/>
            <w:tcBorders>
              <w:top w:val="nil"/>
              <w:left w:val="nil"/>
              <w:bottom w:val="nil"/>
              <w:right w:val="nil"/>
            </w:tcBorders>
            <w:shd w:val="clear" w:color="auto" w:fill="auto"/>
            <w:noWrap/>
            <w:vAlign w:val="bottom"/>
            <w:hideMark/>
          </w:tcPr>
          <w:p w14:paraId="46D89E35"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0%</w:t>
            </w:r>
          </w:p>
        </w:tc>
        <w:tc>
          <w:tcPr>
            <w:tcW w:w="1830" w:type="dxa"/>
            <w:tcBorders>
              <w:top w:val="nil"/>
              <w:left w:val="nil"/>
              <w:bottom w:val="nil"/>
              <w:right w:val="nil"/>
            </w:tcBorders>
            <w:shd w:val="clear" w:color="auto" w:fill="auto"/>
            <w:noWrap/>
            <w:vAlign w:val="bottom"/>
            <w:hideMark/>
          </w:tcPr>
          <w:p w14:paraId="7F3A343D"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-0,3599</w:t>
            </w:r>
          </w:p>
        </w:tc>
      </w:tr>
      <w:tr w:rsidR="00E4570D" w:rsidRPr="00E4570D" w14:paraId="7A12B262" w14:textId="77777777" w:rsidTr="00F25127">
        <w:trPr>
          <w:trHeight w:val="252"/>
        </w:trPr>
        <w:tc>
          <w:tcPr>
            <w:tcW w:w="2043" w:type="dxa"/>
            <w:tcBorders>
              <w:top w:val="nil"/>
              <w:left w:val="nil"/>
              <w:bottom w:val="nil"/>
              <w:right w:val="nil"/>
            </w:tcBorders>
            <w:shd w:val="clear" w:color="000000" w:fill="D9D9D9"/>
            <w:noWrap/>
            <w:vAlign w:val="bottom"/>
            <w:hideMark/>
          </w:tcPr>
          <w:p w14:paraId="61393020"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-4</w:t>
            </w:r>
          </w:p>
        </w:tc>
        <w:tc>
          <w:tcPr>
            <w:tcW w:w="2043" w:type="dxa"/>
            <w:tcBorders>
              <w:top w:val="nil"/>
              <w:left w:val="nil"/>
              <w:bottom w:val="nil"/>
              <w:right w:val="nil"/>
            </w:tcBorders>
            <w:shd w:val="clear" w:color="auto" w:fill="auto"/>
            <w:noWrap/>
            <w:vAlign w:val="bottom"/>
            <w:hideMark/>
          </w:tcPr>
          <w:p w14:paraId="69F819A8"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0,1%</w:t>
            </w:r>
          </w:p>
        </w:tc>
        <w:tc>
          <w:tcPr>
            <w:tcW w:w="2043" w:type="dxa"/>
            <w:tcBorders>
              <w:top w:val="nil"/>
              <w:left w:val="nil"/>
              <w:bottom w:val="nil"/>
              <w:right w:val="nil"/>
            </w:tcBorders>
            <w:shd w:val="clear" w:color="auto" w:fill="auto"/>
            <w:noWrap/>
            <w:vAlign w:val="bottom"/>
            <w:hideMark/>
          </w:tcPr>
          <w:p w14:paraId="6DFD40A8"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0,2960</w:t>
            </w:r>
          </w:p>
        </w:tc>
        <w:tc>
          <w:tcPr>
            <w:tcW w:w="1489" w:type="dxa"/>
            <w:tcBorders>
              <w:top w:val="nil"/>
              <w:left w:val="nil"/>
              <w:bottom w:val="nil"/>
              <w:right w:val="nil"/>
            </w:tcBorders>
            <w:shd w:val="clear" w:color="auto" w:fill="auto"/>
            <w:noWrap/>
            <w:vAlign w:val="bottom"/>
            <w:hideMark/>
          </w:tcPr>
          <w:p w14:paraId="27A66C30"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0%</w:t>
            </w:r>
          </w:p>
        </w:tc>
        <w:tc>
          <w:tcPr>
            <w:tcW w:w="1830" w:type="dxa"/>
            <w:tcBorders>
              <w:top w:val="nil"/>
              <w:left w:val="nil"/>
              <w:bottom w:val="nil"/>
              <w:right w:val="nil"/>
            </w:tcBorders>
            <w:shd w:val="clear" w:color="auto" w:fill="auto"/>
            <w:noWrap/>
            <w:vAlign w:val="bottom"/>
            <w:hideMark/>
          </w:tcPr>
          <w:p w14:paraId="36912A5B"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-0,2986</w:t>
            </w:r>
          </w:p>
        </w:tc>
      </w:tr>
      <w:tr w:rsidR="00E4570D" w:rsidRPr="00E4570D" w14:paraId="060FD680" w14:textId="77777777" w:rsidTr="00F25127">
        <w:trPr>
          <w:trHeight w:val="252"/>
        </w:trPr>
        <w:tc>
          <w:tcPr>
            <w:tcW w:w="2043" w:type="dxa"/>
            <w:tcBorders>
              <w:top w:val="nil"/>
              <w:left w:val="nil"/>
              <w:bottom w:val="nil"/>
              <w:right w:val="nil"/>
            </w:tcBorders>
            <w:shd w:val="clear" w:color="000000" w:fill="D9D9D9"/>
            <w:noWrap/>
            <w:vAlign w:val="bottom"/>
            <w:hideMark/>
          </w:tcPr>
          <w:p w14:paraId="3A5244D3"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-3</w:t>
            </w:r>
          </w:p>
        </w:tc>
        <w:tc>
          <w:tcPr>
            <w:tcW w:w="2043" w:type="dxa"/>
            <w:tcBorders>
              <w:top w:val="nil"/>
              <w:left w:val="nil"/>
              <w:bottom w:val="nil"/>
              <w:right w:val="nil"/>
            </w:tcBorders>
            <w:shd w:val="clear" w:color="auto" w:fill="auto"/>
            <w:noWrap/>
            <w:vAlign w:val="bottom"/>
            <w:hideMark/>
          </w:tcPr>
          <w:p w14:paraId="012729CC"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0,0%</w:t>
            </w:r>
          </w:p>
        </w:tc>
        <w:tc>
          <w:tcPr>
            <w:tcW w:w="2043" w:type="dxa"/>
            <w:tcBorders>
              <w:top w:val="nil"/>
              <w:left w:val="nil"/>
              <w:bottom w:val="nil"/>
              <w:right w:val="nil"/>
            </w:tcBorders>
            <w:shd w:val="clear" w:color="auto" w:fill="auto"/>
            <w:noWrap/>
            <w:vAlign w:val="bottom"/>
            <w:hideMark/>
          </w:tcPr>
          <w:p w14:paraId="567B341A"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-0,0505</w:t>
            </w:r>
          </w:p>
        </w:tc>
        <w:tc>
          <w:tcPr>
            <w:tcW w:w="1489" w:type="dxa"/>
            <w:tcBorders>
              <w:top w:val="nil"/>
              <w:left w:val="nil"/>
              <w:bottom w:val="nil"/>
              <w:right w:val="nil"/>
            </w:tcBorders>
            <w:shd w:val="clear" w:color="auto" w:fill="auto"/>
            <w:noWrap/>
            <w:vAlign w:val="bottom"/>
            <w:hideMark/>
          </w:tcPr>
          <w:p w14:paraId="4F8A9DBD"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0%</w:t>
            </w:r>
          </w:p>
        </w:tc>
        <w:tc>
          <w:tcPr>
            <w:tcW w:w="1830" w:type="dxa"/>
            <w:tcBorders>
              <w:top w:val="nil"/>
              <w:left w:val="nil"/>
              <w:bottom w:val="nil"/>
              <w:right w:val="nil"/>
            </w:tcBorders>
            <w:shd w:val="clear" w:color="auto" w:fill="auto"/>
            <w:noWrap/>
            <w:vAlign w:val="bottom"/>
            <w:hideMark/>
          </w:tcPr>
          <w:p w14:paraId="13D24E3B"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-0,3090</w:t>
            </w:r>
          </w:p>
        </w:tc>
      </w:tr>
      <w:tr w:rsidR="00E4570D" w:rsidRPr="00E4570D" w14:paraId="5AE5F987" w14:textId="77777777" w:rsidTr="00F25127">
        <w:trPr>
          <w:trHeight w:val="252"/>
        </w:trPr>
        <w:tc>
          <w:tcPr>
            <w:tcW w:w="2043" w:type="dxa"/>
            <w:tcBorders>
              <w:top w:val="nil"/>
              <w:left w:val="nil"/>
              <w:bottom w:val="nil"/>
              <w:right w:val="nil"/>
            </w:tcBorders>
            <w:shd w:val="clear" w:color="000000" w:fill="D9D9D9"/>
            <w:noWrap/>
            <w:vAlign w:val="bottom"/>
            <w:hideMark/>
          </w:tcPr>
          <w:p w14:paraId="28A48E4B"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-2</w:t>
            </w:r>
          </w:p>
        </w:tc>
        <w:tc>
          <w:tcPr>
            <w:tcW w:w="2043" w:type="dxa"/>
            <w:tcBorders>
              <w:top w:val="nil"/>
              <w:left w:val="nil"/>
              <w:bottom w:val="nil"/>
              <w:right w:val="nil"/>
            </w:tcBorders>
            <w:shd w:val="clear" w:color="auto" w:fill="auto"/>
            <w:noWrap/>
            <w:vAlign w:val="bottom"/>
            <w:hideMark/>
          </w:tcPr>
          <w:p w14:paraId="4BF3AA03"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-0,1%</w:t>
            </w:r>
          </w:p>
        </w:tc>
        <w:tc>
          <w:tcPr>
            <w:tcW w:w="2043" w:type="dxa"/>
            <w:tcBorders>
              <w:top w:val="nil"/>
              <w:left w:val="nil"/>
              <w:bottom w:val="nil"/>
              <w:right w:val="nil"/>
            </w:tcBorders>
            <w:shd w:val="clear" w:color="auto" w:fill="auto"/>
            <w:noWrap/>
            <w:vAlign w:val="bottom"/>
            <w:hideMark/>
          </w:tcPr>
          <w:p w14:paraId="5DCE1BF7"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-0,3680</w:t>
            </w:r>
          </w:p>
        </w:tc>
        <w:tc>
          <w:tcPr>
            <w:tcW w:w="1489" w:type="dxa"/>
            <w:tcBorders>
              <w:top w:val="nil"/>
              <w:left w:val="nil"/>
              <w:bottom w:val="nil"/>
              <w:right w:val="nil"/>
            </w:tcBorders>
            <w:shd w:val="clear" w:color="auto" w:fill="auto"/>
            <w:noWrap/>
            <w:vAlign w:val="bottom"/>
            <w:hideMark/>
          </w:tcPr>
          <w:p w14:paraId="4713BBA1"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0%</w:t>
            </w:r>
          </w:p>
        </w:tc>
        <w:tc>
          <w:tcPr>
            <w:tcW w:w="1830" w:type="dxa"/>
            <w:tcBorders>
              <w:top w:val="nil"/>
              <w:left w:val="nil"/>
              <w:bottom w:val="nil"/>
              <w:right w:val="nil"/>
            </w:tcBorders>
            <w:shd w:val="clear" w:color="auto" w:fill="auto"/>
            <w:noWrap/>
            <w:vAlign w:val="bottom"/>
            <w:hideMark/>
          </w:tcPr>
          <w:p w14:paraId="5B11F4B7"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-0,3852</w:t>
            </w:r>
          </w:p>
        </w:tc>
      </w:tr>
      <w:tr w:rsidR="00E4570D" w:rsidRPr="00E4570D" w14:paraId="08B7E99D" w14:textId="77777777" w:rsidTr="00F25127">
        <w:trPr>
          <w:trHeight w:val="252"/>
        </w:trPr>
        <w:tc>
          <w:tcPr>
            <w:tcW w:w="2043" w:type="dxa"/>
            <w:tcBorders>
              <w:top w:val="nil"/>
              <w:left w:val="nil"/>
              <w:bottom w:val="nil"/>
              <w:right w:val="nil"/>
            </w:tcBorders>
            <w:shd w:val="clear" w:color="000000" w:fill="D9D9D9"/>
            <w:noWrap/>
            <w:vAlign w:val="bottom"/>
            <w:hideMark/>
          </w:tcPr>
          <w:p w14:paraId="43A2A335"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-1</w:t>
            </w:r>
          </w:p>
        </w:tc>
        <w:tc>
          <w:tcPr>
            <w:tcW w:w="2043" w:type="dxa"/>
            <w:tcBorders>
              <w:top w:val="nil"/>
              <w:left w:val="nil"/>
              <w:bottom w:val="nil"/>
              <w:right w:val="nil"/>
            </w:tcBorders>
            <w:shd w:val="clear" w:color="auto" w:fill="auto"/>
            <w:noWrap/>
            <w:vAlign w:val="bottom"/>
            <w:hideMark/>
          </w:tcPr>
          <w:p w14:paraId="515C090F"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-0,1%</w:t>
            </w:r>
          </w:p>
        </w:tc>
        <w:tc>
          <w:tcPr>
            <w:tcW w:w="2043" w:type="dxa"/>
            <w:tcBorders>
              <w:top w:val="nil"/>
              <w:left w:val="nil"/>
              <w:bottom w:val="nil"/>
              <w:right w:val="nil"/>
            </w:tcBorders>
            <w:shd w:val="clear" w:color="auto" w:fill="auto"/>
            <w:noWrap/>
            <w:vAlign w:val="bottom"/>
            <w:hideMark/>
          </w:tcPr>
          <w:p w14:paraId="52D4785D"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-0,2495</w:t>
            </w:r>
          </w:p>
        </w:tc>
        <w:tc>
          <w:tcPr>
            <w:tcW w:w="1489" w:type="dxa"/>
            <w:tcBorders>
              <w:top w:val="nil"/>
              <w:left w:val="nil"/>
              <w:bottom w:val="nil"/>
              <w:right w:val="nil"/>
            </w:tcBorders>
            <w:shd w:val="clear" w:color="auto" w:fill="auto"/>
            <w:noWrap/>
            <w:vAlign w:val="bottom"/>
            <w:hideMark/>
          </w:tcPr>
          <w:p w14:paraId="3C1A618D"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-1%</w:t>
            </w:r>
          </w:p>
        </w:tc>
        <w:tc>
          <w:tcPr>
            <w:tcW w:w="1830" w:type="dxa"/>
            <w:tcBorders>
              <w:top w:val="nil"/>
              <w:left w:val="nil"/>
              <w:bottom w:val="nil"/>
              <w:right w:val="nil"/>
            </w:tcBorders>
            <w:shd w:val="clear" w:color="auto" w:fill="auto"/>
            <w:noWrap/>
            <w:vAlign w:val="bottom"/>
            <w:hideMark/>
          </w:tcPr>
          <w:p w14:paraId="5B1D28ED"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-0,4369</w:t>
            </w:r>
          </w:p>
        </w:tc>
      </w:tr>
      <w:tr w:rsidR="00E4570D" w:rsidRPr="00E4570D" w14:paraId="35444441" w14:textId="77777777" w:rsidTr="00F25127">
        <w:trPr>
          <w:trHeight w:val="252"/>
        </w:trPr>
        <w:tc>
          <w:tcPr>
            <w:tcW w:w="2043" w:type="dxa"/>
            <w:tcBorders>
              <w:top w:val="nil"/>
              <w:left w:val="nil"/>
              <w:bottom w:val="nil"/>
              <w:right w:val="nil"/>
            </w:tcBorders>
            <w:shd w:val="clear" w:color="000000" w:fill="D9D9D9"/>
            <w:noWrap/>
            <w:vAlign w:val="bottom"/>
            <w:hideMark/>
          </w:tcPr>
          <w:p w14:paraId="1289D387"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0</w:t>
            </w:r>
          </w:p>
        </w:tc>
        <w:tc>
          <w:tcPr>
            <w:tcW w:w="2043" w:type="dxa"/>
            <w:tcBorders>
              <w:top w:val="nil"/>
              <w:left w:val="nil"/>
              <w:bottom w:val="nil"/>
              <w:right w:val="nil"/>
            </w:tcBorders>
            <w:shd w:val="clear" w:color="auto" w:fill="auto"/>
            <w:noWrap/>
            <w:vAlign w:val="bottom"/>
            <w:hideMark/>
          </w:tcPr>
          <w:p w14:paraId="4C848AF4"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-0,77%</w:t>
            </w:r>
          </w:p>
        </w:tc>
        <w:tc>
          <w:tcPr>
            <w:tcW w:w="2043" w:type="dxa"/>
            <w:tcBorders>
              <w:top w:val="nil"/>
              <w:left w:val="nil"/>
              <w:bottom w:val="nil"/>
              <w:right w:val="nil"/>
            </w:tcBorders>
            <w:shd w:val="clear" w:color="000000" w:fill="548235"/>
            <w:noWrap/>
            <w:vAlign w:val="bottom"/>
            <w:hideMark/>
          </w:tcPr>
          <w:p w14:paraId="13D3933A"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-3,2212</w:t>
            </w:r>
          </w:p>
        </w:tc>
        <w:tc>
          <w:tcPr>
            <w:tcW w:w="1489" w:type="dxa"/>
            <w:tcBorders>
              <w:top w:val="nil"/>
              <w:left w:val="nil"/>
              <w:bottom w:val="nil"/>
              <w:right w:val="nil"/>
            </w:tcBorders>
            <w:shd w:val="clear" w:color="auto" w:fill="auto"/>
            <w:noWrap/>
            <w:vAlign w:val="bottom"/>
            <w:hideMark/>
          </w:tcPr>
          <w:p w14:paraId="36C3D0B8"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-1%</w:t>
            </w:r>
          </w:p>
        </w:tc>
        <w:tc>
          <w:tcPr>
            <w:tcW w:w="1830" w:type="dxa"/>
            <w:tcBorders>
              <w:top w:val="nil"/>
              <w:left w:val="nil"/>
              <w:bottom w:val="nil"/>
              <w:right w:val="nil"/>
            </w:tcBorders>
            <w:shd w:val="clear" w:color="auto" w:fill="auto"/>
            <w:noWrap/>
            <w:vAlign w:val="bottom"/>
            <w:hideMark/>
          </w:tcPr>
          <w:p w14:paraId="112AE29C"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-1,1037</w:t>
            </w:r>
          </w:p>
        </w:tc>
      </w:tr>
      <w:tr w:rsidR="00E4570D" w:rsidRPr="00E4570D" w14:paraId="5BA1D785" w14:textId="77777777" w:rsidTr="00F25127">
        <w:trPr>
          <w:trHeight w:val="252"/>
        </w:trPr>
        <w:tc>
          <w:tcPr>
            <w:tcW w:w="2043" w:type="dxa"/>
            <w:tcBorders>
              <w:top w:val="nil"/>
              <w:left w:val="nil"/>
              <w:bottom w:val="nil"/>
              <w:right w:val="nil"/>
            </w:tcBorders>
            <w:shd w:val="clear" w:color="000000" w:fill="D9D9D9"/>
            <w:noWrap/>
            <w:vAlign w:val="bottom"/>
            <w:hideMark/>
          </w:tcPr>
          <w:p w14:paraId="16FB3354"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1</w:t>
            </w:r>
          </w:p>
        </w:tc>
        <w:tc>
          <w:tcPr>
            <w:tcW w:w="2043" w:type="dxa"/>
            <w:tcBorders>
              <w:top w:val="nil"/>
              <w:left w:val="nil"/>
              <w:bottom w:val="nil"/>
              <w:right w:val="nil"/>
            </w:tcBorders>
            <w:shd w:val="clear" w:color="auto" w:fill="auto"/>
            <w:noWrap/>
            <w:vAlign w:val="bottom"/>
            <w:hideMark/>
          </w:tcPr>
          <w:p w14:paraId="3DECDC75"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-0,7%</w:t>
            </w:r>
          </w:p>
        </w:tc>
        <w:tc>
          <w:tcPr>
            <w:tcW w:w="2043" w:type="dxa"/>
            <w:tcBorders>
              <w:top w:val="nil"/>
              <w:left w:val="nil"/>
              <w:bottom w:val="nil"/>
              <w:right w:val="nil"/>
            </w:tcBorders>
            <w:shd w:val="clear" w:color="000000" w:fill="548235"/>
            <w:noWrap/>
            <w:vAlign w:val="bottom"/>
            <w:hideMark/>
          </w:tcPr>
          <w:p w14:paraId="42D23E29"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-2,8031</w:t>
            </w:r>
          </w:p>
        </w:tc>
        <w:tc>
          <w:tcPr>
            <w:tcW w:w="1489" w:type="dxa"/>
            <w:tcBorders>
              <w:top w:val="nil"/>
              <w:left w:val="nil"/>
              <w:bottom w:val="nil"/>
              <w:right w:val="nil"/>
            </w:tcBorders>
            <w:shd w:val="clear" w:color="auto" w:fill="auto"/>
            <w:noWrap/>
            <w:vAlign w:val="bottom"/>
            <w:hideMark/>
          </w:tcPr>
          <w:p w14:paraId="16A77394"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-2%</w:t>
            </w:r>
          </w:p>
        </w:tc>
        <w:tc>
          <w:tcPr>
            <w:tcW w:w="1830" w:type="dxa"/>
            <w:tcBorders>
              <w:top w:val="nil"/>
              <w:left w:val="nil"/>
              <w:bottom w:val="nil"/>
              <w:right w:val="nil"/>
            </w:tcBorders>
            <w:shd w:val="clear" w:color="000000" w:fill="A9D08E"/>
            <w:noWrap/>
            <w:vAlign w:val="bottom"/>
            <w:hideMark/>
          </w:tcPr>
          <w:p w14:paraId="3109AF96"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-1,6839</w:t>
            </w:r>
          </w:p>
        </w:tc>
      </w:tr>
      <w:tr w:rsidR="00E4570D" w:rsidRPr="00E4570D" w14:paraId="2A3EEF5D" w14:textId="77777777" w:rsidTr="00F25127">
        <w:trPr>
          <w:trHeight w:val="252"/>
        </w:trPr>
        <w:tc>
          <w:tcPr>
            <w:tcW w:w="2043" w:type="dxa"/>
            <w:tcBorders>
              <w:top w:val="nil"/>
              <w:left w:val="nil"/>
              <w:bottom w:val="nil"/>
              <w:right w:val="nil"/>
            </w:tcBorders>
            <w:shd w:val="clear" w:color="000000" w:fill="D9D9D9"/>
            <w:noWrap/>
            <w:vAlign w:val="bottom"/>
            <w:hideMark/>
          </w:tcPr>
          <w:p w14:paraId="6AD5F4D6"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2</w:t>
            </w:r>
          </w:p>
        </w:tc>
        <w:tc>
          <w:tcPr>
            <w:tcW w:w="2043" w:type="dxa"/>
            <w:tcBorders>
              <w:top w:val="nil"/>
              <w:left w:val="nil"/>
              <w:bottom w:val="nil"/>
              <w:right w:val="nil"/>
            </w:tcBorders>
            <w:shd w:val="clear" w:color="auto" w:fill="auto"/>
            <w:noWrap/>
            <w:vAlign w:val="bottom"/>
            <w:hideMark/>
          </w:tcPr>
          <w:p w14:paraId="2D1EA8AF"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0,0%</w:t>
            </w:r>
          </w:p>
        </w:tc>
        <w:tc>
          <w:tcPr>
            <w:tcW w:w="2043" w:type="dxa"/>
            <w:tcBorders>
              <w:top w:val="nil"/>
              <w:left w:val="nil"/>
              <w:bottom w:val="nil"/>
              <w:right w:val="nil"/>
            </w:tcBorders>
            <w:shd w:val="clear" w:color="auto" w:fill="auto"/>
            <w:noWrap/>
            <w:vAlign w:val="bottom"/>
            <w:hideMark/>
          </w:tcPr>
          <w:p w14:paraId="0C3A0DA1"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-0,0461</w:t>
            </w:r>
          </w:p>
        </w:tc>
        <w:tc>
          <w:tcPr>
            <w:tcW w:w="1489" w:type="dxa"/>
            <w:tcBorders>
              <w:top w:val="nil"/>
              <w:left w:val="nil"/>
              <w:bottom w:val="nil"/>
              <w:right w:val="nil"/>
            </w:tcBorders>
            <w:shd w:val="clear" w:color="auto" w:fill="auto"/>
            <w:noWrap/>
            <w:vAlign w:val="bottom"/>
            <w:hideMark/>
          </w:tcPr>
          <w:p w14:paraId="2A299AFA"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-2%</w:t>
            </w:r>
          </w:p>
        </w:tc>
        <w:tc>
          <w:tcPr>
            <w:tcW w:w="1830" w:type="dxa"/>
            <w:tcBorders>
              <w:top w:val="nil"/>
              <w:left w:val="nil"/>
              <w:bottom w:val="nil"/>
              <w:right w:val="nil"/>
            </w:tcBorders>
            <w:shd w:val="clear" w:color="000000" w:fill="A9D08E"/>
            <w:noWrap/>
            <w:vAlign w:val="bottom"/>
            <w:hideMark/>
          </w:tcPr>
          <w:p w14:paraId="192B3939"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-1,6935</w:t>
            </w:r>
          </w:p>
        </w:tc>
      </w:tr>
      <w:tr w:rsidR="00E4570D" w:rsidRPr="00E4570D" w14:paraId="37D7AFF5" w14:textId="77777777" w:rsidTr="00F25127">
        <w:trPr>
          <w:trHeight w:val="252"/>
        </w:trPr>
        <w:tc>
          <w:tcPr>
            <w:tcW w:w="2043" w:type="dxa"/>
            <w:tcBorders>
              <w:top w:val="nil"/>
              <w:left w:val="nil"/>
              <w:bottom w:val="nil"/>
              <w:right w:val="nil"/>
            </w:tcBorders>
            <w:shd w:val="clear" w:color="000000" w:fill="D9D9D9"/>
            <w:noWrap/>
            <w:vAlign w:val="bottom"/>
            <w:hideMark/>
          </w:tcPr>
          <w:p w14:paraId="4B718A57"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3</w:t>
            </w:r>
          </w:p>
        </w:tc>
        <w:tc>
          <w:tcPr>
            <w:tcW w:w="2043" w:type="dxa"/>
            <w:tcBorders>
              <w:top w:val="nil"/>
              <w:left w:val="nil"/>
              <w:bottom w:val="nil"/>
              <w:right w:val="nil"/>
            </w:tcBorders>
            <w:shd w:val="clear" w:color="auto" w:fill="auto"/>
            <w:noWrap/>
            <w:vAlign w:val="bottom"/>
            <w:hideMark/>
          </w:tcPr>
          <w:p w14:paraId="5DD5175A"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-0,1%</w:t>
            </w:r>
          </w:p>
        </w:tc>
        <w:tc>
          <w:tcPr>
            <w:tcW w:w="2043" w:type="dxa"/>
            <w:tcBorders>
              <w:top w:val="nil"/>
              <w:left w:val="nil"/>
              <w:bottom w:val="nil"/>
              <w:right w:val="nil"/>
            </w:tcBorders>
            <w:shd w:val="clear" w:color="auto" w:fill="auto"/>
            <w:noWrap/>
            <w:vAlign w:val="bottom"/>
            <w:hideMark/>
          </w:tcPr>
          <w:p w14:paraId="52EDB92D"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-0,4422</w:t>
            </w:r>
          </w:p>
        </w:tc>
        <w:tc>
          <w:tcPr>
            <w:tcW w:w="1489" w:type="dxa"/>
            <w:tcBorders>
              <w:top w:val="nil"/>
              <w:left w:val="nil"/>
              <w:bottom w:val="nil"/>
              <w:right w:val="nil"/>
            </w:tcBorders>
            <w:shd w:val="clear" w:color="auto" w:fill="auto"/>
            <w:noWrap/>
            <w:vAlign w:val="bottom"/>
            <w:hideMark/>
          </w:tcPr>
          <w:p w14:paraId="04E5D941"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-2%</w:t>
            </w:r>
          </w:p>
        </w:tc>
        <w:tc>
          <w:tcPr>
            <w:tcW w:w="1830" w:type="dxa"/>
            <w:tcBorders>
              <w:top w:val="nil"/>
              <w:left w:val="nil"/>
              <w:bottom w:val="nil"/>
              <w:right w:val="nil"/>
            </w:tcBorders>
            <w:shd w:val="clear" w:color="000000" w:fill="A9D08E"/>
            <w:noWrap/>
            <w:vAlign w:val="bottom"/>
            <w:hideMark/>
          </w:tcPr>
          <w:p w14:paraId="00CC474B"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-1,7850</w:t>
            </w:r>
          </w:p>
        </w:tc>
      </w:tr>
      <w:tr w:rsidR="00E4570D" w:rsidRPr="00E4570D" w14:paraId="55EE8C84" w14:textId="77777777" w:rsidTr="00F25127">
        <w:trPr>
          <w:trHeight w:val="252"/>
        </w:trPr>
        <w:tc>
          <w:tcPr>
            <w:tcW w:w="2043" w:type="dxa"/>
            <w:tcBorders>
              <w:top w:val="nil"/>
              <w:left w:val="nil"/>
              <w:bottom w:val="nil"/>
              <w:right w:val="nil"/>
            </w:tcBorders>
            <w:shd w:val="clear" w:color="000000" w:fill="D9D9D9"/>
            <w:noWrap/>
            <w:vAlign w:val="bottom"/>
            <w:hideMark/>
          </w:tcPr>
          <w:p w14:paraId="68862E2F"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4</w:t>
            </w:r>
          </w:p>
        </w:tc>
        <w:tc>
          <w:tcPr>
            <w:tcW w:w="2043" w:type="dxa"/>
            <w:tcBorders>
              <w:top w:val="nil"/>
              <w:left w:val="nil"/>
              <w:bottom w:val="nil"/>
              <w:right w:val="nil"/>
            </w:tcBorders>
            <w:shd w:val="clear" w:color="auto" w:fill="auto"/>
            <w:noWrap/>
            <w:vAlign w:val="bottom"/>
            <w:hideMark/>
          </w:tcPr>
          <w:p w14:paraId="7EA6A0C1"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-0,2%</w:t>
            </w:r>
          </w:p>
        </w:tc>
        <w:tc>
          <w:tcPr>
            <w:tcW w:w="2043" w:type="dxa"/>
            <w:tcBorders>
              <w:top w:val="nil"/>
              <w:left w:val="nil"/>
              <w:bottom w:val="nil"/>
              <w:right w:val="nil"/>
            </w:tcBorders>
            <w:shd w:val="clear" w:color="auto" w:fill="auto"/>
            <w:noWrap/>
            <w:vAlign w:val="bottom"/>
            <w:hideMark/>
          </w:tcPr>
          <w:p w14:paraId="59720A97"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-1,0022</w:t>
            </w:r>
          </w:p>
        </w:tc>
        <w:tc>
          <w:tcPr>
            <w:tcW w:w="1489" w:type="dxa"/>
            <w:tcBorders>
              <w:top w:val="nil"/>
              <w:left w:val="nil"/>
              <w:bottom w:val="nil"/>
              <w:right w:val="nil"/>
            </w:tcBorders>
            <w:shd w:val="clear" w:color="auto" w:fill="auto"/>
            <w:noWrap/>
            <w:vAlign w:val="bottom"/>
            <w:hideMark/>
          </w:tcPr>
          <w:p w14:paraId="070D3413"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-2%</w:t>
            </w:r>
          </w:p>
        </w:tc>
        <w:tc>
          <w:tcPr>
            <w:tcW w:w="1830" w:type="dxa"/>
            <w:tcBorders>
              <w:top w:val="nil"/>
              <w:left w:val="nil"/>
              <w:bottom w:val="nil"/>
              <w:right w:val="nil"/>
            </w:tcBorders>
            <w:shd w:val="clear" w:color="000000" w:fill="A9D08E"/>
            <w:noWrap/>
            <w:vAlign w:val="bottom"/>
            <w:hideMark/>
          </w:tcPr>
          <w:p w14:paraId="209381FD"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-1,9925</w:t>
            </w:r>
          </w:p>
        </w:tc>
      </w:tr>
      <w:tr w:rsidR="00E4570D" w:rsidRPr="00E4570D" w14:paraId="269CF12A" w14:textId="77777777" w:rsidTr="00F25127">
        <w:trPr>
          <w:trHeight w:val="252"/>
        </w:trPr>
        <w:tc>
          <w:tcPr>
            <w:tcW w:w="2043" w:type="dxa"/>
            <w:tcBorders>
              <w:top w:val="nil"/>
              <w:left w:val="nil"/>
              <w:bottom w:val="nil"/>
              <w:right w:val="nil"/>
            </w:tcBorders>
            <w:shd w:val="clear" w:color="000000" w:fill="D9D9D9"/>
            <w:noWrap/>
            <w:vAlign w:val="bottom"/>
            <w:hideMark/>
          </w:tcPr>
          <w:p w14:paraId="3B919A57"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5</w:t>
            </w:r>
          </w:p>
        </w:tc>
        <w:tc>
          <w:tcPr>
            <w:tcW w:w="2043" w:type="dxa"/>
            <w:tcBorders>
              <w:top w:val="nil"/>
              <w:left w:val="nil"/>
              <w:bottom w:val="nil"/>
              <w:right w:val="nil"/>
            </w:tcBorders>
            <w:shd w:val="clear" w:color="auto" w:fill="auto"/>
            <w:noWrap/>
            <w:vAlign w:val="bottom"/>
            <w:hideMark/>
          </w:tcPr>
          <w:p w14:paraId="5BDAD525"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-0,3%</w:t>
            </w:r>
          </w:p>
        </w:tc>
        <w:tc>
          <w:tcPr>
            <w:tcW w:w="2043" w:type="dxa"/>
            <w:tcBorders>
              <w:top w:val="nil"/>
              <w:left w:val="nil"/>
              <w:bottom w:val="nil"/>
              <w:right w:val="nil"/>
            </w:tcBorders>
            <w:shd w:val="clear" w:color="auto" w:fill="auto"/>
            <w:noWrap/>
            <w:vAlign w:val="bottom"/>
            <w:hideMark/>
          </w:tcPr>
          <w:p w14:paraId="752FC89A"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-1,1171</w:t>
            </w:r>
          </w:p>
        </w:tc>
        <w:tc>
          <w:tcPr>
            <w:tcW w:w="1489" w:type="dxa"/>
            <w:tcBorders>
              <w:top w:val="nil"/>
              <w:left w:val="nil"/>
              <w:bottom w:val="nil"/>
              <w:right w:val="nil"/>
            </w:tcBorders>
            <w:shd w:val="clear" w:color="auto" w:fill="auto"/>
            <w:noWrap/>
            <w:vAlign w:val="bottom"/>
            <w:hideMark/>
          </w:tcPr>
          <w:p w14:paraId="452FA5D2"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-3%</w:t>
            </w:r>
          </w:p>
        </w:tc>
        <w:tc>
          <w:tcPr>
            <w:tcW w:w="1830" w:type="dxa"/>
            <w:tcBorders>
              <w:top w:val="nil"/>
              <w:left w:val="nil"/>
              <w:bottom w:val="nil"/>
              <w:right w:val="nil"/>
            </w:tcBorders>
            <w:shd w:val="clear" w:color="000000" w:fill="A9D08E"/>
            <w:noWrap/>
            <w:vAlign w:val="bottom"/>
            <w:hideMark/>
          </w:tcPr>
          <w:p w14:paraId="4FF93617"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-2,2237</w:t>
            </w:r>
          </w:p>
        </w:tc>
      </w:tr>
      <w:tr w:rsidR="00E4570D" w:rsidRPr="00E4570D" w14:paraId="308AF5E6" w14:textId="77777777" w:rsidTr="00F25127">
        <w:trPr>
          <w:trHeight w:val="252"/>
        </w:trPr>
        <w:tc>
          <w:tcPr>
            <w:tcW w:w="2043" w:type="dxa"/>
            <w:tcBorders>
              <w:top w:val="nil"/>
              <w:left w:val="nil"/>
              <w:bottom w:val="nil"/>
              <w:right w:val="nil"/>
            </w:tcBorders>
            <w:shd w:val="clear" w:color="000000" w:fill="D9D9D9"/>
            <w:noWrap/>
            <w:vAlign w:val="bottom"/>
            <w:hideMark/>
          </w:tcPr>
          <w:p w14:paraId="6DDCA5CE"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6</w:t>
            </w:r>
          </w:p>
        </w:tc>
        <w:tc>
          <w:tcPr>
            <w:tcW w:w="2043" w:type="dxa"/>
            <w:tcBorders>
              <w:top w:val="nil"/>
              <w:left w:val="nil"/>
              <w:bottom w:val="nil"/>
              <w:right w:val="nil"/>
            </w:tcBorders>
            <w:shd w:val="clear" w:color="auto" w:fill="auto"/>
            <w:noWrap/>
            <w:vAlign w:val="bottom"/>
            <w:hideMark/>
          </w:tcPr>
          <w:p w14:paraId="44D1CFF7"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0,3%</w:t>
            </w:r>
          </w:p>
        </w:tc>
        <w:tc>
          <w:tcPr>
            <w:tcW w:w="2043" w:type="dxa"/>
            <w:tcBorders>
              <w:top w:val="nil"/>
              <w:left w:val="nil"/>
              <w:bottom w:val="nil"/>
              <w:right w:val="nil"/>
            </w:tcBorders>
            <w:shd w:val="clear" w:color="auto" w:fill="auto"/>
            <w:noWrap/>
            <w:vAlign w:val="bottom"/>
            <w:hideMark/>
          </w:tcPr>
          <w:p w14:paraId="40240196"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1,1694</w:t>
            </w:r>
          </w:p>
        </w:tc>
        <w:tc>
          <w:tcPr>
            <w:tcW w:w="1489" w:type="dxa"/>
            <w:tcBorders>
              <w:top w:val="nil"/>
              <w:left w:val="nil"/>
              <w:bottom w:val="nil"/>
              <w:right w:val="nil"/>
            </w:tcBorders>
            <w:shd w:val="clear" w:color="auto" w:fill="auto"/>
            <w:noWrap/>
            <w:vAlign w:val="bottom"/>
            <w:hideMark/>
          </w:tcPr>
          <w:p w14:paraId="405D9C94"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-2%</w:t>
            </w:r>
          </w:p>
        </w:tc>
        <w:tc>
          <w:tcPr>
            <w:tcW w:w="1830" w:type="dxa"/>
            <w:tcBorders>
              <w:top w:val="nil"/>
              <w:left w:val="nil"/>
              <w:bottom w:val="nil"/>
              <w:right w:val="nil"/>
            </w:tcBorders>
            <w:shd w:val="clear" w:color="000000" w:fill="A9D08E"/>
            <w:noWrap/>
            <w:vAlign w:val="bottom"/>
            <w:hideMark/>
          </w:tcPr>
          <w:p w14:paraId="624C9F5F"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-1,9817</w:t>
            </w:r>
          </w:p>
        </w:tc>
      </w:tr>
      <w:tr w:rsidR="00E4570D" w:rsidRPr="00E4570D" w14:paraId="0DC6E80B" w14:textId="77777777" w:rsidTr="00F25127">
        <w:trPr>
          <w:trHeight w:val="252"/>
        </w:trPr>
        <w:tc>
          <w:tcPr>
            <w:tcW w:w="2043" w:type="dxa"/>
            <w:tcBorders>
              <w:top w:val="nil"/>
              <w:left w:val="nil"/>
              <w:bottom w:val="nil"/>
              <w:right w:val="nil"/>
            </w:tcBorders>
            <w:shd w:val="clear" w:color="000000" w:fill="D9D9D9"/>
            <w:noWrap/>
            <w:vAlign w:val="bottom"/>
            <w:hideMark/>
          </w:tcPr>
          <w:p w14:paraId="5E085218"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7</w:t>
            </w:r>
          </w:p>
        </w:tc>
        <w:tc>
          <w:tcPr>
            <w:tcW w:w="2043" w:type="dxa"/>
            <w:tcBorders>
              <w:top w:val="nil"/>
              <w:left w:val="nil"/>
              <w:bottom w:val="nil"/>
              <w:right w:val="nil"/>
            </w:tcBorders>
            <w:shd w:val="clear" w:color="auto" w:fill="auto"/>
            <w:noWrap/>
            <w:vAlign w:val="bottom"/>
            <w:hideMark/>
          </w:tcPr>
          <w:p w14:paraId="00423EE2"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-0,3%</w:t>
            </w:r>
          </w:p>
        </w:tc>
        <w:tc>
          <w:tcPr>
            <w:tcW w:w="2043" w:type="dxa"/>
            <w:tcBorders>
              <w:top w:val="nil"/>
              <w:left w:val="nil"/>
              <w:bottom w:val="nil"/>
              <w:right w:val="nil"/>
            </w:tcBorders>
            <w:shd w:val="clear" w:color="auto" w:fill="auto"/>
            <w:noWrap/>
            <w:vAlign w:val="bottom"/>
            <w:hideMark/>
          </w:tcPr>
          <w:p w14:paraId="0873279E"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-1,3627</w:t>
            </w:r>
          </w:p>
        </w:tc>
        <w:tc>
          <w:tcPr>
            <w:tcW w:w="1489" w:type="dxa"/>
            <w:tcBorders>
              <w:top w:val="nil"/>
              <w:left w:val="nil"/>
              <w:bottom w:val="nil"/>
              <w:right w:val="nil"/>
            </w:tcBorders>
            <w:shd w:val="clear" w:color="auto" w:fill="auto"/>
            <w:noWrap/>
            <w:vAlign w:val="bottom"/>
            <w:hideMark/>
          </w:tcPr>
          <w:p w14:paraId="44C37EC3"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-3%</w:t>
            </w:r>
          </w:p>
        </w:tc>
        <w:tc>
          <w:tcPr>
            <w:tcW w:w="1830" w:type="dxa"/>
            <w:tcBorders>
              <w:top w:val="nil"/>
              <w:left w:val="nil"/>
              <w:bottom w:val="nil"/>
              <w:right w:val="nil"/>
            </w:tcBorders>
            <w:shd w:val="clear" w:color="000000" w:fill="A9D08E"/>
            <w:noWrap/>
            <w:vAlign w:val="bottom"/>
            <w:hideMark/>
          </w:tcPr>
          <w:p w14:paraId="1AE2E70F"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-2,2638</w:t>
            </w:r>
          </w:p>
        </w:tc>
      </w:tr>
      <w:tr w:rsidR="00E4570D" w:rsidRPr="00E4570D" w14:paraId="28A1993E" w14:textId="77777777" w:rsidTr="00F25127">
        <w:trPr>
          <w:trHeight w:val="252"/>
        </w:trPr>
        <w:tc>
          <w:tcPr>
            <w:tcW w:w="2043" w:type="dxa"/>
            <w:tcBorders>
              <w:top w:val="nil"/>
              <w:left w:val="nil"/>
              <w:bottom w:val="nil"/>
              <w:right w:val="nil"/>
            </w:tcBorders>
            <w:shd w:val="clear" w:color="000000" w:fill="D9D9D9"/>
            <w:noWrap/>
            <w:vAlign w:val="bottom"/>
            <w:hideMark/>
          </w:tcPr>
          <w:p w14:paraId="22C0AD50"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8</w:t>
            </w:r>
          </w:p>
        </w:tc>
        <w:tc>
          <w:tcPr>
            <w:tcW w:w="2043" w:type="dxa"/>
            <w:tcBorders>
              <w:top w:val="nil"/>
              <w:left w:val="nil"/>
              <w:bottom w:val="nil"/>
              <w:right w:val="nil"/>
            </w:tcBorders>
            <w:shd w:val="clear" w:color="auto" w:fill="auto"/>
            <w:noWrap/>
            <w:vAlign w:val="bottom"/>
            <w:hideMark/>
          </w:tcPr>
          <w:p w14:paraId="54C59C32"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0,2%</w:t>
            </w:r>
          </w:p>
        </w:tc>
        <w:tc>
          <w:tcPr>
            <w:tcW w:w="2043" w:type="dxa"/>
            <w:tcBorders>
              <w:top w:val="nil"/>
              <w:left w:val="nil"/>
              <w:bottom w:val="nil"/>
              <w:right w:val="nil"/>
            </w:tcBorders>
            <w:shd w:val="clear" w:color="auto" w:fill="auto"/>
            <w:noWrap/>
            <w:vAlign w:val="bottom"/>
            <w:hideMark/>
          </w:tcPr>
          <w:p w14:paraId="3C06049A"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0,7681</w:t>
            </w:r>
          </w:p>
        </w:tc>
        <w:tc>
          <w:tcPr>
            <w:tcW w:w="1489" w:type="dxa"/>
            <w:tcBorders>
              <w:top w:val="nil"/>
              <w:left w:val="nil"/>
              <w:bottom w:val="nil"/>
              <w:right w:val="nil"/>
            </w:tcBorders>
            <w:shd w:val="clear" w:color="auto" w:fill="auto"/>
            <w:noWrap/>
            <w:vAlign w:val="bottom"/>
            <w:hideMark/>
          </w:tcPr>
          <w:p w14:paraId="4DEB6B00"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-2%</w:t>
            </w:r>
          </w:p>
        </w:tc>
        <w:tc>
          <w:tcPr>
            <w:tcW w:w="1830" w:type="dxa"/>
            <w:tcBorders>
              <w:top w:val="nil"/>
              <w:left w:val="nil"/>
              <w:bottom w:val="nil"/>
              <w:right w:val="nil"/>
            </w:tcBorders>
            <w:shd w:val="clear" w:color="000000" w:fill="A9D08E"/>
            <w:noWrap/>
            <w:vAlign w:val="bottom"/>
            <w:hideMark/>
          </w:tcPr>
          <w:p w14:paraId="5B74BDC8"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-2,1047</w:t>
            </w:r>
          </w:p>
        </w:tc>
      </w:tr>
      <w:tr w:rsidR="00E4570D" w:rsidRPr="00E4570D" w14:paraId="141844F8" w14:textId="77777777" w:rsidTr="00F25127">
        <w:trPr>
          <w:trHeight w:val="252"/>
        </w:trPr>
        <w:tc>
          <w:tcPr>
            <w:tcW w:w="2043" w:type="dxa"/>
            <w:tcBorders>
              <w:top w:val="nil"/>
              <w:left w:val="nil"/>
              <w:bottom w:val="nil"/>
              <w:right w:val="nil"/>
            </w:tcBorders>
            <w:shd w:val="clear" w:color="000000" w:fill="D9D9D9"/>
            <w:noWrap/>
            <w:vAlign w:val="bottom"/>
            <w:hideMark/>
          </w:tcPr>
          <w:p w14:paraId="5A80B577"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9</w:t>
            </w:r>
          </w:p>
        </w:tc>
        <w:tc>
          <w:tcPr>
            <w:tcW w:w="2043" w:type="dxa"/>
            <w:tcBorders>
              <w:top w:val="nil"/>
              <w:left w:val="nil"/>
              <w:bottom w:val="nil"/>
              <w:right w:val="nil"/>
            </w:tcBorders>
            <w:shd w:val="clear" w:color="auto" w:fill="auto"/>
            <w:noWrap/>
            <w:vAlign w:val="bottom"/>
            <w:hideMark/>
          </w:tcPr>
          <w:p w14:paraId="16BE7D2F"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-0,2%</w:t>
            </w:r>
          </w:p>
        </w:tc>
        <w:tc>
          <w:tcPr>
            <w:tcW w:w="2043" w:type="dxa"/>
            <w:tcBorders>
              <w:top w:val="nil"/>
              <w:left w:val="nil"/>
              <w:bottom w:val="nil"/>
              <w:right w:val="nil"/>
            </w:tcBorders>
            <w:shd w:val="clear" w:color="auto" w:fill="auto"/>
            <w:noWrap/>
            <w:vAlign w:val="bottom"/>
            <w:hideMark/>
          </w:tcPr>
          <w:p w14:paraId="24D53D95"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-0,8983</w:t>
            </w:r>
          </w:p>
        </w:tc>
        <w:tc>
          <w:tcPr>
            <w:tcW w:w="1489" w:type="dxa"/>
            <w:tcBorders>
              <w:top w:val="nil"/>
              <w:left w:val="nil"/>
              <w:bottom w:val="nil"/>
              <w:right w:val="nil"/>
            </w:tcBorders>
            <w:shd w:val="clear" w:color="auto" w:fill="auto"/>
            <w:noWrap/>
            <w:vAlign w:val="bottom"/>
            <w:hideMark/>
          </w:tcPr>
          <w:p w14:paraId="23A837E0"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-3%</w:t>
            </w:r>
          </w:p>
        </w:tc>
        <w:tc>
          <w:tcPr>
            <w:tcW w:w="1830" w:type="dxa"/>
            <w:tcBorders>
              <w:top w:val="nil"/>
              <w:left w:val="nil"/>
              <w:bottom w:val="nil"/>
              <w:right w:val="nil"/>
            </w:tcBorders>
            <w:shd w:val="clear" w:color="000000" w:fill="A9D08E"/>
            <w:noWrap/>
            <w:vAlign w:val="bottom"/>
            <w:hideMark/>
          </w:tcPr>
          <w:p w14:paraId="07744F71"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-2,2907</w:t>
            </w:r>
          </w:p>
        </w:tc>
      </w:tr>
      <w:tr w:rsidR="00E4570D" w:rsidRPr="00E4570D" w14:paraId="685B2CBA" w14:textId="77777777" w:rsidTr="00F25127">
        <w:trPr>
          <w:trHeight w:val="252"/>
        </w:trPr>
        <w:tc>
          <w:tcPr>
            <w:tcW w:w="2043" w:type="dxa"/>
            <w:tcBorders>
              <w:top w:val="nil"/>
              <w:left w:val="nil"/>
              <w:bottom w:val="nil"/>
              <w:right w:val="nil"/>
            </w:tcBorders>
            <w:shd w:val="clear" w:color="000000" w:fill="D9D9D9"/>
            <w:noWrap/>
            <w:vAlign w:val="bottom"/>
            <w:hideMark/>
          </w:tcPr>
          <w:p w14:paraId="021AAA4D"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10</w:t>
            </w:r>
          </w:p>
        </w:tc>
        <w:tc>
          <w:tcPr>
            <w:tcW w:w="2043" w:type="dxa"/>
            <w:tcBorders>
              <w:top w:val="nil"/>
              <w:left w:val="nil"/>
              <w:bottom w:val="nil"/>
              <w:right w:val="nil"/>
            </w:tcBorders>
            <w:shd w:val="clear" w:color="auto" w:fill="auto"/>
            <w:noWrap/>
            <w:vAlign w:val="bottom"/>
            <w:hideMark/>
          </w:tcPr>
          <w:p w14:paraId="5403F508"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0,3%</w:t>
            </w:r>
          </w:p>
        </w:tc>
        <w:tc>
          <w:tcPr>
            <w:tcW w:w="2043" w:type="dxa"/>
            <w:tcBorders>
              <w:top w:val="nil"/>
              <w:left w:val="nil"/>
              <w:bottom w:val="nil"/>
              <w:right w:val="nil"/>
            </w:tcBorders>
            <w:shd w:val="clear" w:color="auto" w:fill="auto"/>
            <w:noWrap/>
            <w:vAlign w:val="bottom"/>
            <w:hideMark/>
          </w:tcPr>
          <w:p w14:paraId="36DC226E"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1,4276</w:t>
            </w:r>
          </w:p>
        </w:tc>
        <w:tc>
          <w:tcPr>
            <w:tcW w:w="1489" w:type="dxa"/>
            <w:tcBorders>
              <w:top w:val="nil"/>
              <w:left w:val="nil"/>
              <w:bottom w:val="nil"/>
              <w:right w:val="nil"/>
            </w:tcBorders>
            <w:shd w:val="clear" w:color="auto" w:fill="auto"/>
            <w:noWrap/>
            <w:vAlign w:val="bottom"/>
            <w:hideMark/>
          </w:tcPr>
          <w:p w14:paraId="36219D5E"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-2,29%</w:t>
            </w:r>
          </w:p>
        </w:tc>
        <w:tc>
          <w:tcPr>
            <w:tcW w:w="1830" w:type="dxa"/>
            <w:tcBorders>
              <w:top w:val="nil"/>
              <w:left w:val="nil"/>
              <w:bottom w:val="nil"/>
              <w:right w:val="nil"/>
            </w:tcBorders>
            <w:shd w:val="clear" w:color="000000" w:fill="A9D08E"/>
            <w:noWrap/>
            <w:vAlign w:val="bottom"/>
            <w:hideMark/>
          </w:tcPr>
          <w:p w14:paraId="429EFCF5" w14:textId="77777777" w:rsidR="00E4570D" w:rsidRPr="00E4570D" w:rsidRDefault="00E4570D" w:rsidP="00E4570D">
            <w:pPr>
              <w:spacing w:line="240" w:lineRule="auto"/>
              <w:ind w:firstLine="0"/>
              <w:jc w:val="center"/>
              <w:rPr>
                <w:rFonts w:ascii="Calibri" w:eastAsia="Times New Roman" w:hAnsi="Calibri" w:cs="Calibri"/>
                <w:color w:val="000000"/>
                <w:sz w:val="20"/>
                <w:szCs w:val="20"/>
                <w:lang w:val="en-US"/>
              </w:rPr>
            </w:pPr>
            <w:r w:rsidRPr="00E4570D">
              <w:rPr>
                <w:rFonts w:ascii="Calibri" w:eastAsia="Times New Roman" w:hAnsi="Calibri" w:cs="Calibri"/>
                <w:color w:val="000000"/>
                <w:sz w:val="20"/>
                <w:szCs w:val="20"/>
                <w:lang w:val="en-US"/>
              </w:rPr>
              <w:t>-1,9952</w:t>
            </w:r>
          </w:p>
        </w:tc>
      </w:tr>
    </w:tbl>
    <w:p w14:paraId="4DB0F3D1" w14:textId="5D1EC61F" w:rsidR="00E4570D" w:rsidRDefault="00E4570D" w:rsidP="00E4570D"/>
    <w:p w14:paraId="1D013D8E" w14:textId="4AB1A97B" w:rsidR="00F25127" w:rsidRPr="00F25127" w:rsidRDefault="00F25127" w:rsidP="00F25127">
      <w:pPr>
        <w:ind w:firstLine="0"/>
        <w:rPr>
          <w:b/>
          <w:bCs/>
        </w:rPr>
      </w:pPr>
      <w:r w:rsidRPr="00E4570D">
        <w:rPr>
          <w:b/>
          <w:bCs/>
        </w:rPr>
        <w:t xml:space="preserve">Приложение </w:t>
      </w:r>
      <w:r>
        <w:rPr>
          <w:b/>
          <w:bCs/>
        </w:rPr>
        <w:t>2</w:t>
      </w:r>
      <w:r w:rsidRPr="00E4570D">
        <w:rPr>
          <w:b/>
          <w:bCs/>
        </w:rPr>
        <w:t xml:space="preserve">. </w:t>
      </w:r>
      <w:r w:rsidR="00494977" w:rsidRPr="00E4570D">
        <w:rPr>
          <w:b/>
          <w:bCs/>
        </w:rPr>
        <w:t xml:space="preserve">Результат </w:t>
      </w:r>
      <w:r w:rsidR="00494977">
        <w:rPr>
          <w:b/>
          <w:bCs/>
        </w:rPr>
        <w:t>применения метода анализа событий (</w:t>
      </w:r>
      <w:r w:rsidR="00494977">
        <w:rPr>
          <w:b/>
          <w:bCs/>
          <w:lang w:val="en-US"/>
        </w:rPr>
        <w:t>“event study”)</w:t>
      </w:r>
      <w:r w:rsidR="00494977" w:rsidRPr="00E4570D">
        <w:rPr>
          <w:b/>
          <w:bCs/>
        </w:rPr>
        <w:t xml:space="preserve"> </w:t>
      </w:r>
      <w:r w:rsidRPr="00E4570D">
        <w:rPr>
          <w:b/>
          <w:bCs/>
        </w:rPr>
        <w:t xml:space="preserve">для российской выборки, случай </w:t>
      </w:r>
      <w:r>
        <w:rPr>
          <w:b/>
          <w:bCs/>
        </w:rPr>
        <w:t>позитивног</w:t>
      </w:r>
      <w:r w:rsidRPr="00E4570D">
        <w:rPr>
          <w:b/>
          <w:bCs/>
        </w:rPr>
        <w:t>о сюрприза</w:t>
      </w:r>
    </w:p>
    <w:p w14:paraId="00A38A67" w14:textId="77777777" w:rsidR="00F25127" w:rsidRDefault="00F25127" w:rsidP="00E4570D"/>
    <w:tbl>
      <w:tblPr>
        <w:tblW w:w="9433" w:type="dxa"/>
        <w:tblLook w:val="04A0" w:firstRow="1" w:lastRow="0" w:firstColumn="1" w:lastColumn="0" w:noHBand="0" w:noVBand="1"/>
      </w:tblPr>
      <w:tblGrid>
        <w:gridCol w:w="2040"/>
        <w:gridCol w:w="2040"/>
        <w:gridCol w:w="2040"/>
        <w:gridCol w:w="1487"/>
        <w:gridCol w:w="1826"/>
      </w:tblGrid>
      <w:tr w:rsidR="00F25127" w:rsidRPr="00F25127" w14:paraId="0DB42259" w14:textId="77777777" w:rsidTr="00F25127">
        <w:trPr>
          <w:trHeight w:val="272"/>
        </w:trPr>
        <w:tc>
          <w:tcPr>
            <w:tcW w:w="2040" w:type="dxa"/>
            <w:tcBorders>
              <w:top w:val="nil"/>
              <w:left w:val="nil"/>
              <w:bottom w:val="nil"/>
              <w:right w:val="nil"/>
            </w:tcBorders>
            <w:shd w:val="clear" w:color="auto" w:fill="auto"/>
            <w:noWrap/>
            <w:vAlign w:val="bottom"/>
            <w:hideMark/>
          </w:tcPr>
          <w:p w14:paraId="2C1ABDFF" w14:textId="77777777" w:rsidR="00F25127" w:rsidRPr="00F25127" w:rsidRDefault="00F25127" w:rsidP="00F25127">
            <w:pPr>
              <w:spacing w:line="240" w:lineRule="auto"/>
              <w:ind w:firstLine="0"/>
              <w:jc w:val="center"/>
              <w:rPr>
                <w:rFonts w:ascii="Calibri" w:eastAsia="Times New Roman" w:hAnsi="Calibri" w:cs="Calibri"/>
                <w:b/>
                <w:bCs/>
                <w:color w:val="000000"/>
                <w:sz w:val="20"/>
                <w:szCs w:val="20"/>
                <w:lang w:val="en-US"/>
              </w:rPr>
            </w:pPr>
            <w:r w:rsidRPr="00F25127">
              <w:rPr>
                <w:rFonts w:ascii="Calibri" w:eastAsia="Times New Roman" w:hAnsi="Calibri" w:cs="Calibri"/>
                <w:b/>
                <w:bCs/>
                <w:color w:val="000000"/>
                <w:sz w:val="20"/>
                <w:szCs w:val="20"/>
                <w:lang w:val="en-US"/>
              </w:rPr>
              <w:t>Day relative to event</w:t>
            </w:r>
          </w:p>
        </w:tc>
        <w:tc>
          <w:tcPr>
            <w:tcW w:w="2040" w:type="dxa"/>
            <w:tcBorders>
              <w:top w:val="nil"/>
              <w:left w:val="nil"/>
              <w:bottom w:val="nil"/>
              <w:right w:val="nil"/>
            </w:tcBorders>
            <w:shd w:val="clear" w:color="auto" w:fill="auto"/>
            <w:noWrap/>
            <w:vAlign w:val="bottom"/>
            <w:hideMark/>
          </w:tcPr>
          <w:p w14:paraId="18F7ADF1" w14:textId="77777777" w:rsidR="00F25127" w:rsidRPr="00F25127" w:rsidRDefault="00F25127" w:rsidP="00F25127">
            <w:pPr>
              <w:spacing w:line="240" w:lineRule="auto"/>
              <w:ind w:firstLine="0"/>
              <w:jc w:val="center"/>
              <w:rPr>
                <w:rFonts w:ascii="Calibri" w:eastAsia="Times New Roman" w:hAnsi="Calibri" w:cs="Calibri"/>
                <w:b/>
                <w:bCs/>
                <w:color w:val="000000"/>
                <w:sz w:val="20"/>
                <w:szCs w:val="20"/>
                <w:lang w:val="en-US"/>
              </w:rPr>
            </w:pPr>
            <w:r w:rsidRPr="00F25127">
              <w:rPr>
                <w:rFonts w:ascii="Calibri" w:eastAsia="Times New Roman" w:hAnsi="Calibri" w:cs="Calibri"/>
                <w:b/>
                <w:bCs/>
                <w:color w:val="000000"/>
                <w:sz w:val="20"/>
                <w:szCs w:val="20"/>
                <w:lang w:val="en-US"/>
              </w:rPr>
              <w:t>средний AAR</w:t>
            </w:r>
          </w:p>
        </w:tc>
        <w:tc>
          <w:tcPr>
            <w:tcW w:w="2040" w:type="dxa"/>
            <w:tcBorders>
              <w:top w:val="nil"/>
              <w:left w:val="nil"/>
              <w:bottom w:val="nil"/>
              <w:right w:val="nil"/>
            </w:tcBorders>
            <w:shd w:val="clear" w:color="auto" w:fill="auto"/>
            <w:noWrap/>
            <w:vAlign w:val="bottom"/>
            <w:hideMark/>
          </w:tcPr>
          <w:p w14:paraId="70D8A2E8" w14:textId="77777777" w:rsidR="00F25127" w:rsidRPr="00F25127" w:rsidRDefault="00F25127" w:rsidP="00F25127">
            <w:pPr>
              <w:spacing w:line="240" w:lineRule="auto"/>
              <w:ind w:firstLine="0"/>
              <w:jc w:val="center"/>
              <w:rPr>
                <w:rFonts w:ascii="Calibri" w:eastAsia="Times New Roman" w:hAnsi="Calibri" w:cs="Calibri"/>
                <w:b/>
                <w:bCs/>
                <w:color w:val="000000"/>
                <w:sz w:val="20"/>
                <w:szCs w:val="20"/>
                <w:lang w:val="en-US"/>
              </w:rPr>
            </w:pPr>
            <w:r w:rsidRPr="00F25127">
              <w:rPr>
                <w:rFonts w:ascii="Calibri" w:eastAsia="Times New Roman" w:hAnsi="Calibri" w:cs="Calibri"/>
                <w:b/>
                <w:bCs/>
                <w:color w:val="000000"/>
                <w:sz w:val="20"/>
                <w:szCs w:val="20"/>
                <w:lang w:val="en-US"/>
              </w:rPr>
              <w:t>t-value AAR</w:t>
            </w:r>
          </w:p>
        </w:tc>
        <w:tc>
          <w:tcPr>
            <w:tcW w:w="1487" w:type="dxa"/>
            <w:tcBorders>
              <w:top w:val="nil"/>
              <w:left w:val="nil"/>
              <w:bottom w:val="nil"/>
              <w:right w:val="nil"/>
            </w:tcBorders>
            <w:shd w:val="clear" w:color="auto" w:fill="auto"/>
            <w:noWrap/>
            <w:vAlign w:val="bottom"/>
            <w:hideMark/>
          </w:tcPr>
          <w:p w14:paraId="41EE8C80" w14:textId="77777777" w:rsidR="00F25127" w:rsidRPr="00F25127" w:rsidRDefault="00F25127" w:rsidP="00F25127">
            <w:pPr>
              <w:spacing w:line="240" w:lineRule="auto"/>
              <w:ind w:firstLine="0"/>
              <w:jc w:val="center"/>
              <w:rPr>
                <w:rFonts w:ascii="Calibri" w:eastAsia="Times New Roman" w:hAnsi="Calibri" w:cs="Calibri"/>
                <w:b/>
                <w:bCs/>
                <w:color w:val="000000"/>
                <w:sz w:val="20"/>
                <w:szCs w:val="20"/>
                <w:lang w:val="en-US"/>
              </w:rPr>
            </w:pPr>
            <w:r w:rsidRPr="00F25127">
              <w:rPr>
                <w:rFonts w:ascii="Calibri" w:eastAsia="Times New Roman" w:hAnsi="Calibri" w:cs="Calibri"/>
                <w:b/>
                <w:bCs/>
                <w:color w:val="000000"/>
                <w:sz w:val="20"/>
                <w:szCs w:val="20"/>
                <w:lang w:val="en-US"/>
              </w:rPr>
              <w:t>CAAR</w:t>
            </w:r>
          </w:p>
        </w:tc>
        <w:tc>
          <w:tcPr>
            <w:tcW w:w="1826" w:type="dxa"/>
            <w:tcBorders>
              <w:top w:val="nil"/>
              <w:left w:val="nil"/>
              <w:bottom w:val="nil"/>
              <w:right w:val="nil"/>
            </w:tcBorders>
            <w:shd w:val="clear" w:color="auto" w:fill="auto"/>
            <w:noWrap/>
            <w:vAlign w:val="bottom"/>
            <w:hideMark/>
          </w:tcPr>
          <w:p w14:paraId="7790EBD4" w14:textId="77777777" w:rsidR="00F25127" w:rsidRPr="00F25127" w:rsidRDefault="00F25127" w:rsidP="00F25127">
            <w:pPr>
              <w:spacing w:line="240" w:lineRule="auto"/>
              <w:ind w:firstLine="0"/>
              <w:jc w:val="center"/>
              <w:rPr>
                <w:rFonts w:ascii="Calibri" w:eastAsia="Times New Roman" w:hAnsi="Calibri" w:cs="Calibri"/>
                <w:b/>
                <w:bCs/>
                <w:color w:val="000000"/>
                <w:sz w:val="20"/>
                <w:szCs w:val="20"/>
                <w:lang w:val="en-US"/>
              </w:rPr>
            </w:pPr>
            <w:r w:rsidRPr="00F25127">
              <w:rPr>
                <w:rFonts w:ascii="Calibri" w:eastAsia="Times New Roman" w:hAnsi="Calibri" w:cs="Calibri"/>
                <w:b/>
                <w:bCs/>
                <w:color w:val="000000"/>
                <w:sz w:val="20"/>
                <w:szCs w:val="20"/>
                <w:lang w:val="en-US"/>
              </w:rPr>
              <w:t>t-value CAR</w:t>
            </w:r>
          </w:p>
        </w:tc>
      </w:tr>
      <w:tr w:rsidR="00F25127" w:rsidRPr="00F25127" w14:paraId="4AFC3D8E" w14:textId="77777777" w:rsidTr="00F25127">
        <w:trPr>
          <w:trHeight w:val="272"/>
        </w:trPr>
        <w:tc>
          <w:tcPr>
            <w:tcW w:w="2040" w:type="dxa"/>
            <w:tcBorders>
              <w:top w:val="nil"/>
              <w:left w:val="nil"/>
              <w:bottom w:val="nil"/>
              <w:right w:val="nil"/>
            </w:tcBorders>
            <w:shd w:val="clear" w:color="000000" w:fill="D9D9D9"/>
            <w:noWrap/>
            <w:vAlign w:val="bottom"/>
            <w:hideMark/>
          </w:tcPr>
          <w:p w14:paraId="52966D66"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-10</w:t>
            </w:r>
          </w:p>
        </w:tc>
        <w:tc>
          <w:tcPr>
            <w:tcW w:w="2040" w:type="dxa"/>
            <w:tcBorders>
              <w:top w:val="nil"/>
              <w:left w:val="nil"/>
              <w:bottom w:val="nil"/>
              <w:right w:val="nil"/>
            </w:tcBorders>
            <w:shd w:val="clear" w:color="auto" w:fill="auto"/>
            <w:noWrap/>
            <w:vAlign w:val="bottom"/>
            <w:hideMark/>
          </w:tcPr>
          <w:p w14:paraId="6FEFBD51"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0,0%</w:t>
            </w:r>
          </w:p>
        </w:tc>
        <w:tc>
          <w:tcPr>
            <w:tcW w:w="2040" w:type="dxa"/>
            <w:tcBorders>
              <w:top w:val="nil"/>
              <w:left w:val="nil"/>
              <w:bottom w:val="nil"/>
              <w:right w:val="nil"/>
            </w:tcBorders>
            <w:shd w:val="clear" w:color="auto" w:fill="auto"/>
            <w:noWrap/>
            <w:vAlign w:val="bottom"/>
            <w:hideMark/>
          </w:tcPr>
          <w:p w14:paraId="5B3EAF68"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-0,1300</w:t>
            </w:r>
          </w:p>
        </w:tc>
        <w:tc>
          <w:tcPr>
            <w:tcW w:w="1487" w:type="dxa"/>
            <w:tcBorders>
              <w:top w:val="nil"/>
              <w:left w:val="nil"/>
              <w:bottom w:val="nil"/>
              <w:right w:val="nil"/>
            </w:tcBorders>
            <w:shd w:val="clear" w:color="auto" w:fill="auto"/>
            <w:noWrap/>
            <w:vAlign w:val="bottom"/>
            <w:hideMark/>
          </w:tcPr>
          <w:p w14:paraId="0EDC00AD"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0%</w:t>
            </w:r>
          </w:p>
        </w:tc>
        <w:tc>
          <w:tcPr>
            <w:tcW w:w="1826" w:type="dxa"/>
            <w:tcBorders>
              <w:top w:val="nil"/>
              <w:left w:val="nil"/>
              <w:bottom w:val="nil"/>
              <w:right w:val="nil"/>
            </w:tcBorders>
            <w:shd w:val="clear" w:color="auto" w:fill="auto"/>
            <w:noWrap/>
            <w:vAlign w:val="bottom"/>
            <w:hideMark/>
          </w:tcPr>
          <w:p w14:paraId="2912A2CC"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-0,0235</w:t>
            </w:r>
          </w:p>
        </w:tc>
      </w:tr>
      <w:tr w:rsidR="00F25127" w:rsidRPr="00F25127" w14:paraId="19791BA0" w14:textId="77777777" w:rsidTr="00F25127">
        <w:trPr>
          <w:trHeight w:val="272"/>
        </w:trPr>
        <w:tc>
          <w:tcPr>
            <w:tcW w:w="2040" w:type="dxa"/>
            <w:tcBorders>
              <w:top w:val="nil"/>
              <w:left w:val="nil"/>
              <w:bottom w:val="nil"/>
              <w:right w:val="nil"/>
            </w:tcBorders>
            <w:shd w:val="clear" w:color="000000" w:fill="D9D9D9"/>
            <w:noWrap/>
            <w:vAlign w:val="bottom"/>
            <w:hideMark/>
          </w:tcPr>
          <w:p w14:paraId="49D25B6F"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-9</w:t>
            </w:r>
          </w:p>
        </w:tc>
        <w:tc>
          <w:tcPr>
            <w:tcW w:w="2040" w:type="dxa"/>
            <w:tcBorders>
              <w:top w:val="nil"/>
              <w:left w:val="nil"/>
              <w:bottom w:val="nil"/>
              <w:right w:val="nil"/>
            </w:tcBorders>
            <w:shd w:val="clear" w:color="auto" w:fill="auto"/>
            <w:noWrap/>
            <w:vAlign w:val="bottom"/>
            <w:hideMark/>
          </w:tcPr>
          <w:p w14:paraId="260A8BEA"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0,0%</w:t>
            </w:r>
          </w:p>
        </w:tc>
        <w:tc>
          <w:tcPr>
            <w:tcW w:w="2040" w:type="dxa"/>
            <w:tcBorders>
              <w:top w:val="nil"/>
              <w:left w:val="nil"/>
              <w:bottom w:val="nil"/>
              <w:right w:val="nil"/>
            </w:tcBorders>
            <w:shd w:val="clear" w:color="auto" w:fill="auto"/>
            <w:noWrap/>
            <w:vAlign w:val="bottom"/>
            <w:hideMark/>
          </w:tcPr>
          <w:p w14:paraId="7DA65AA2"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-0,1505</w:t>
            </w:r>
          </w:p>
        </w:tc>
        <w:tc>
          <w:tcPr>
            <w:tcW w:w="1487" w:type="dxa"/>
            <w:tcBorders>
              <w:top w:val="nil"/>
              <w:left w:val="nil"/>
              <w:bottom w:val="nil"/>
              <w:right w:val="nil"/>
            </w:tcBorders>
            <w:shd w:val="clear" w:color="auto" w:fill="auto"/>
            <w:noWrap/>
            <w:vAlign w:val="bottom"/>
            <w:hideMark/>
          </w:tcPr>
          <w:p w14:paraId="71EFF5C1"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0%</w:t>
            </w:r>
          </w:p>
        </w:tc>
        <w:tc>
          <w:tcPr>
            <w:tcW w:w="1826" w:type="dxa"/>
            <w:tcBorders>
              <w:top w:val="nil"/>
              <w:left w:val="nil"/>
              <w:bottom w:val="nil"/>
              <w:right w:val="nil"/>
            </w:tcBorders>
            <w:shd w:val="clear" w:color="auto" w:fill="auto"/>
            <w:noWrap/>
            <w:vAlign w:val="bottom"/>
            <w:hideMark/>
          </w:tcPr>
          <w:p w14:paraId="1DB3E587"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-0,0508</w:t>
            </w:r>
          </w:p>
        </w:tc>
      </w:tr>
      <w:tr w:rsidR="00F25127" w:rsidRPr="00F25127" w14:paraId="6E252FBD" w14:textId="77777777" w:rsidTr="00F25127">
        <w:trPr>
          <w:trHeight w:val="272"/>
        </w:trPr>
        <w:tc>
          <w:tcPr>
            <w:tcW w:w="2040" w:type="dxa"/>
            <w:tcBorders>
              <w:top w:val="nil"/>
              <w:left w:val="nil"/>
              <w:bottom w:val="nil"/>
              <w:right w:val="nil"/>
            </w:tcBorders>
            <w:shd w:val="clear" w:color="000000" w:fill="D9D9D9"/>
            <w:noWrap/>
            <w:vAlign w:val="bottom"/>
            <w:hideMark/>
          </w:tcPr>
          <w:p w14:paraId="562589B6"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-8</w:t>
            </w:r>
          </w:p>
        </w:tc>
        <w:tc>
          <w:tcPr>
            <w:tcW w:w="2040" w:type="dxa"/>
            <w:tcBorders>
              <w:top w:val="nil"/>
              <w:left w:val="nil"/>
              <w:bottom w:val="nil"/>
              <w:right w:val="nil"/>
            </w:tcBorders>
            <w:shd w:val="clear" w:color="auto" w:fill="auto"/>
            <w:noWrap/>
            <w:vAlign w:val="bottom"/>
            <w:hideMark/>
          </w:tcPr>
          <w:p w14:paraId="7920FAFB"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-0,1%</w:t>
            </w:r>
          </w:p>
        </w:tc>
        <w:tc>
          <w:tcPr>
            <w:tcW w:w="2040" w:type="dxa"/>
            <w:tcBorders>
              <w:top w:val="nil"/>
              <w:left w:val="nil"/>
              <w:bottom w:val="nil"/>
              <w:right w:val="nil"/>
            </w:tcBorders>
            <w:shd w:val="clear" w:color="auto" w:fill="auto"/>
            <w:noWrap/>
            <w:vAlign w:val="bottom"/>
            <w:hideMark/>
          </w:tcPr>
          <w:p w14:paraId="014976A8"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-0,4820</w:t>
            </w:r>
          </w:p>
        </w:tc>
        <w:tc>
          <w:tcPr>
            <w:tcW w:w="1487" w:type="dxa"/>
            <w:tcBorders>
              <w:top w:val="nil"/>
              <w:left w:val="nil"/>
              <w:bottom w:val="nil"/>
              <w:right w:val="nil"/>
            </w:tcBorders>
            <w:shd w:val="clear" w:color="auto" w:fill="auto"/>
            <w:noWrap/>
            <w:vAlign w:val="bottom"/>
            <w:hideMark/>
          </w:tcPr>
          <w:p w14:paraId="7A59CE17"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0%</w:t>
            </w:r>
          </w:p>
        </w:tc>
        <w:tc>
          <w:tcPr>
            <w:tcW w:w="1826" w:type="dxa"/>
            <w:tcBorders>
              <w:top w:val="nil"/>
              <w:left w:val="nil"/>
              <w:bottom w:val="nil"/>
              <w:right w:val="nil"/>
            </w:tcBorders>
            <w:shd w:val="clear" w:color="auto" w:fill="auto"/>
            <w:noWrap/>
            <w:vAlign w:val="bottom"/>
            <w:hideMark/>
          </w:tcPr>
          <w:p w14:paraId="624437FF"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-0,1380</w:t>
            </w:r>
          </w:p>
        </w:tc>
      </w:tr>
      <w:tr w:rsidR="00F25127" w:rsidRPr="00F25127" w14:paraId="75A340A7" w14:textId="77777777" w:rsidTr="00F25127">
        <w:trPr>
          <w:trHeight w:val="272"/>
        </w:trPr>
        <w:tc>
          <w:tcPr>
            <w:tcW w:w="2040" w:type="dxa"/>
            <w:tcBorders>
              <w:top w:val="nil"/>
              <w:left w:val="nil"/>
              <w:bottom w:val="nil"/>
              <w:right w:val="nil"/>
            </w:tcBorders>
            <w:shd w:val="clear" w:color="000000" w:fill="D9D9D9"/>
            <w:noWrap/>
            <w:vAlign w:val="bottom"/>
            <w:hideMark/>
          </w:tcPr>
          <w:p w14:paraId="23A55A67"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-7</w:t>
            </w:r>
          </w:p>
        </w:tc>
        <w:tc>
          <w:tcPr>
            <w:tcW w:w="2040" w:type="dxa"/>
            <w:tcBorders>
              <w:top w:val="nil"/>
              <w:left w:val="nil"/>
              <w:bottom w:val="nil"/>
              <w:right w:val="nil"/>
            </w:tcBorders>
            <w:shd w:val="clear" w:color="auto" w:fill="auto"/>
            <w:noWrap/>
            <w:vAlign w:val="bottom"/>
            <w:hideMark/>
          </w:tcPr>
          <w:p w14:paraId="1989D4E5"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-0,1%</w:t>
            </w:r>
          </w:p>
        </w:tc>
        <w:tc>
          <w:tcPr>
            <w:tcW w:w="2040" w:type="dxa"/>
            <w:tcBorders>
              <w:top w:val="nil"/>
              <w:left w:val="nil"/>
              <w:bottom w:val="nil"/>
              <w:right w:val="nil"/>
            </w:tcBorders>
            <w:shd w:val="clear" w:color="auto" w:fill="auto"/>
            <w:noWrap/>
            <w:vAlign w:val="bottom"/>
            <w:hideMark/>
          </w:tcPr>
          <w:p w14:paraId="57B926DD"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-0,2883</w:t>
            </w:r>
          </w:p>
        </w:tc>
        <w:tc>
          <w:tcPr>
            <w:tcW w:w="1487" w:type="dxa"/>
            <w:tcBorders>
              <w:top w:val="nil"/>
              <w:left w:val="nil"/>
              <w:bottom w:val="nil"/>
              <w:right w:val="nil"/>
            </w:tcBorders>
            <w:shd w:val="clear" w:color="auto" w:fill="auto"/>
            <w:noWrap/>
            <w:vAlign w:val="bottom"/>
            <w:hideMark/>
          </w:tcPr>
          <w:p w14:paraId="7514C5AC"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0%</w:t>
            </w:r>
          </w:p>
        </w:tc>
        <w:tc>
          <w:tcPr>
            <w:tcW w:w="1826" w:type="dxa"/>
            <w:tcBorders>
              <w:top w:val="nil"/>
              <w:left w:val="nil"/>
              <w:bottom w:val="nil"/>
              <w:right w:val="nil"/>
            </w:tcBorders>
            <w:shd w:val="clear" w:color="auto" w:fill="auto"/>
            <w:noWrap/>
            <w:vAlign w:val="bottom"/>
            <w:hideMark/>
          </w:tcPr>
          <w:p w14:paraId="38F04C13"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-0,1902</w:t>
            </w:r>
          </w:p>
        </w:tc>
      </w:tr>
      <w:tr w:rsidR="00F25127" w:rsidRPr="00F25127" w14:paraId="537AAA80" w14:textId="77777777" w:rsidTr="00F25127">
        <w:trPr>
          <w:trHeight w:val="272"/>
        </w:trPr>
        <w:tc>
          <w:tcPr>
            <w:tcW w:w="2040" w:type="dxa"/>
            <w:tcBorders>
              <w:top w:val="nil"/>
              <w:left w:val="nil"/>
              <w:bottom w:val="nil"/>
              <w:right w:val="nil"/>
            </w:tcBorders>
            <w:shd w:val="clear" w:color="000000" w:fill="D9D9D9"/>
            <w:noWrap/>
            <w:vAlign w:val="bottom"/>
            <w:hideMark/>
          </w:tcPr>
          <w:p w14:paraId="12F43903"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-6</w:t>
            </w:r>
          </w:p>
        </w:tc>
        <w:tc>
          <w:tcPr>
            <w:tcW w:w="2040" w:type="dxa"/>
            <w:tcBorders>
              <w:top w:val="nil"/>
              <w:left w:val="nil"/>
              <w:bottom w:val="nil"/>
              <w:right w:val="nil"/>
            </w:tcBorders>
            <w:shd w:val="clear" w:color="auto" w:fill="auto"/>
            <w:noWrap/>
            <w:vAlign w:val="bottom"/>
            <w:hideMark/>
          </w:tcPr>
          <w:p w14:paraId="3E3BE2C2"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0,7%</w:t>
            </w:r>
          </w:p>
        </w:tc>
        <w:tc>
          <w:tcPr>
            <w:tcW w:w="2040" w:type="dxa"/>
            <w:tcBorders>
              <w:top w:val="nil"/>
              <w:left w:val="nil"/>
              <w:bottom w:val="nil"/>
              <w:right w:val="nil"/>
            </w:tcBorders>
            <w:shd w:val="clear" w:color="000000" w:fill="548235"/>
            <w:noWrap/>
            <w:vAlign w:val="bottom"/>
            <w:hideMark/>
          </w:tcPr>
          <w:p w14:paraId="1A770EEF"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3,0817</w:t>
            </w:r>
          </w:p>
        </w:tc>
        <w:tc>
          <w:tcPr>
            <w:tcW w:w="1487" w:type="dxa"/>
            <w:tcBorders>
              <w:top w:val="nil"/>
              <w:left w:val="nil"/>
              <w:bottom w:val="nil"/>
              <w:right w:val="nil"/>
            </w:tcBorders>
            <w:shd w:val="clear" w:color="auto" w:fill="auto"/>
            <w:noWrap/>
            <w:vAlign w:val="bottom"/>
            <w:hideMark/>
          </w:tcPr>
          <w:p w14:paraId="6484B439"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0%</w:t>
            </w:r>
          </w:p>
        </w:tc>
        <w:tc>
          <w:tcPr>
            <w:tcW w:w="1826" w:type="dxa"/>
            <w:tcBorders>
              <w:top w:val="nil"/>
              <w:left w:val="nil"/>
              <w:bottom w:val="nil"/>
              <w:right w:val="nil"/>
            </w:tcBorders>
            <w:shd w:val="clear" w:color="auto" w:fill="auto"/>
            <w:noWrap/>
            <w:vAlign w:val="bottom"/>
            <w:hideMark/>
          </w:tcPr>
          <w:p w14:paraId="5202E0E6"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0,3677</w:t>
            </w:r>
          </w:p>
        </w:tc>
      </w:tr>
      <w:tr w:rsidR="00F25127" w:rsidRPr="00F25127" w14:paraId="6CF45CE5" w14:textId="77777777" w:rsidTr="00F25127">
        <w:trPr>
          <w:trHeight w:val="272"/>
        </w:trPr>
        <w:tc>
          <w:tcPr>
            <w:tcW w:w="2040" w:type="dxa"/>
            <w:tcBorders>
              <w:top w:val="nil"/>
              <w:left w:val="nil"/>
              <w:bottom w:val="nil"/>
              <w:right w:val="nil"/>
            </w:tcBorders>
            <w:shd w:val="clear" w:color="000000" w:fill="D9D9D9"/>
            <w:noWrap/>
            <w:vAlign w:val="bottom"/>
            <w:hideMark/>
          </w:tcPr>
          <w:p w14:paraId="23EBCD43"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-5</w:t>
            </w:r>
          </w:p>
        </w:tc>
        <w:tc>
          <w:tcPr>
            <w:tcW w:w="2040" w:type="dxa"/>
            <w:tcBorders>
              <w:top w:val="nil"/>
              <w:left w:val="nil"/>
              <w:bottom w:val="nil"/>
              <w:right w:val="nil"/>
            </w:tcBorders>
            <w:shd w:val="clear" w:color="auto" w:fill="auto"/>
            <w:noWrap/>
            <w:vAlign w:val="bottom"/>
            <w:hideMark/>
          </w:tcPr>
          <w:p w14:paraId="282E583C"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0,0%</w:t>
            </w:r>
          </w:p>
        </w:tc>
        <w:tc>
          <w:tcPr>
            <w:tcW w:w="2040" w:type="dxa"/>
            <w:tcBorders>
              <w:top w:val="nil"/>
              <w:left w:val="nil"/>
              <w:bottom w:val="nil"/>
              <w:right w:val="nil"/>
            </w:tcBorders>
            <w:shd w:val="clear" w:color="auto" w:fill="auto"/>
            <w:noWrap/>
            <w:vAlign w:val="bottom"/>
            <w:hideMark/>
          </w:tcPr>
          <w:p w14:paraId="14FBC7EC"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0,1980</w:t>
            </w:r>
          </w:p>
        </w:tc>
        <w:tc>
          <w:tcPr>
            <w:tcW w:w="1487" w:type="dxa"/>
            <w:tcBorders>
              <w:top w:val="nil"/>
              <w:left w:val="nil"/>
              <w:bottom w:val="nil"/>
              <w:right w:val="nil"/>
            </w:tcBorders>
            <w:shd w:val="clear" w:color="auto" w:fill="auto"/>
            <w:noWrap/>
            <w:vAlign w:val="bottom"/>
            <w:hideMark/>
          </w:tcPr>
          <w:p w14:paraId="1A315F36"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0%</w:t>
            </w:r>
          </w:p>
        </w:tc>
        <w:tc>
          <w:tcPr>
            <w:tcW w:w="1826" w:type="dxa"/>
            <w:tcBorders>
              <w:top w:val="nil"/>
              <w:left w:val="nil"/>
              <w:bottom w:val="nil"/>
              <w:right w:val="nil"/>
            </w:tcBorders>
            <w:shd w:val="clear" w:color="auto" w:fill="auto"/>
            <w:noWrap/>
            <w:vAlign w:val="bottom"/>
            <w:hideMark/>
          </w:tcPr>
          <w:p w14:paraId="731E501D"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0,4035</w:t>
            </w:r>
          </w:p>
        </w:tc>
      </w:tr>
      <w:tr w:rsidR="00F25127" w:rsidRPr="00F25127" w14:paraId="4680A4DA" w14:textId="77777777" w:rsidTr="00F25127">
        <w:trPr>
          <w:trHeight w:val="272"/>
        </w:trPr>
        <w:tc>
          <w:tcPr>
            <w:tcW w:w="2040" w:type="dxa"/>
            <w:tcBorders>
              <w:top w:val="nil"/>
              <w:left w:val="nil"/>
              <w:bottom w:val="nil"/>
              <w:right w:val="nil"/>
            </w:tcBorders>
            <w:shd w:val="clear" w:color="000000" w:fill="D9D9D9"/>
            <w:noWrap/>
            <w:vAlign w:val="bottom"/>
            <w:hideMark/>
          </w:tcPr>
          <w:p w14:paraId="759CC0D6"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-4</w:t>
            </w:r>
          </w:p>
        </w:tc>
        <w:tc>
          <w:tcPr>
            <w:tcW w:w="2040" w:type="dxa"/>
            <w:tcBorders>
              <w:top w:val="nil"/>
              <w:left w:val="nil"/>
              <w:bottom w:val="nil"/>
              <w:right w:val="nil"/>
            </w:tcBorders>
            <w:shd w:val="clear" w:color="auto" w:fill="auto"/>
            <w:noWrap/>
            <w:vAlign w:val="bottom"/>
            <w:hideMark/>
          </w:tcPr>
          <w:p w14:paraId="199ED77E"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0,1%</w:t>
            </w:r>
          </w:p>
        </w:tc>
        <w:tc>
          <w:tcPr>
            <w:tcW w:w="2040" w:type="dxa"/>
            <w:tcBorders>
              <w:top w:val="nil"/>
              <w:left w:val="nil"/>
              <w:bottom w:val="nil"/>
              <w:right w:val="nil"/>
            </w:tcBorders>
            <w:shd w:val="clear" w:color="auto" w:fill="auto"/>
            <w:noWrap/>
            <w:vAlign w:val="bottom"/>
            <w:hideMark/>
          </w:tcPr>
          <w:p w14:paraId="7DBDB916"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0,2532</w:t>
            </w:r>
          </w:p>
        </w:tc>
        <w:tc>
          <w:tcPr>
            <w:tcW w:w="1487" w:type="dxa"/>
            <w:tcBorders>
              <w:top w:val="nil"/>
              <w:left w:val="nil"/>
              <w:bottom w:val="nil"/>
              <w:right w:val="nil"/>
            </w:tcBorders>
            <w:shd w:val="clear" w:color="auto" w:fill="auto"/>
            <w:noWrap/>
            <w:vAlign w:val="bottom"/>
            <w:hideMark/>
          </w:tcPr>
          <w:p w14:paraId="727289A9"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1%</w:t>
            </w:r>
          </w:p>
        </w:tc>
        <w:tc>
          <w:tcPr>
            <w:tcW w:w="1826" w:type="dxa"/>
            <w:tcBorders>
              <w:top w:val="nil"/>
              <w:left w:val="nil"/>
              <w:bottom w:val="nil"/>
              <w:right w:val="nil"/>
            </w:tcBorders>
            <w:shd w:val="clear" w:color="auto" w:fill="auto"/>
            <w:noWrap/>
            <w:vAlign w:val="bottom"/>
            <w:hideMark/>
          </w:tcPr>
          <w:p w14:paraId="2F17FE39"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0,4494</w:t>
            </w:r>
          </w:p>
        </w:tc>
      </w:tr>
      <w:tr w:rsidR="00F25127" w:rsidRPr="00F25127" w14:paraId="3988642E" w14:textId="77777777" w:rsidTr="00F25127">
        <w:trPr>
          <w:trHeight w:val="272"/>
        </w:trPr>
        <w:tc>
          <w:tcPr>
            <w:tcW w:w="2040" w:type="dxa"/>
            <w:tcBorders>
              <w:top w:val="nil"/>
              <w:left w:val="nil"/>
              <w:bottom w:val="nil"/>
              <w:right w:val="nil"/>
            </w:tcBorders>
            <w:shd w:val="clear" w:color="000000" w:fill="D9D9D9"/>
            <w:noWrap/>
            <w:vAlign w:val="bottom"/>
            <w:hideMark/>
          </w:tcPr>
          <w:p w14:paraId="5041185C"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-3</w:t>
            </w:r>
          </w:p>
        </w:tc>
        <w:tc>
          <w:tcPr>
            <w:tcW w:w="2040" w:type="dxa"/>
            <w:tcBorders>
              <w:top w:val="nil"/>
              <w:left w:val="nil"/>
              <w:bottom w:val="nil"/>
              <w:right w:val="nil"/>
            </w:tcBorders>
            <w:shd w:val="clear" w:color="auto" w:fill="auto"/>
            <w:noWrap/>
            <w:vAlign w:val="bottom"/>
            <w:hideMark/>
          </w:tcPr>
          <w:p w14:paraId="6C50611A"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0,0%</w:t>
            </w:r>
          </w:p>
        </w:tc>
        <w:tc>
          <w:tcPr>
            <w:tcW w:w="2040" w:type="dxa"/>
            <w:tcBorders>
              <w:top w:val="nil"/>
              <w:left w:val="nil"/>
              <w:bottom w:val="nil"/>
              <w:right w:val="nil"/>
            </w:tcBorders>
            <w:shd w:val="clear" w:color="auto" w:fill="auto"/>
            <w:noWrap/>
            <w:vAlign w:val="bottom"/>
            <w:hideMark/>
          </w:tcPr>
          <w:p w14:paraId="62AA20EC"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0,1618</w:t>
            </w:r>
          </w:p>
        </w:tc>
        <w:tc>
          <w:tcPr>
            <w:tcW w:w="1487" w:type="dxa"/>
            <w:tcBorders>
              <w:top w:val="nil"/>
              <w:left w:val="nil"/>
              <w:bottom w:val="nil"/>
              <w:right w:val="nil"/>
            </w:tcBorders>
            <w:shd w:val="clear" w:color="auto" w:fill="auto"/>
            <w:noWrap/>
            <w:vAlign w:val="bottom"/>
            <w:hideMark/>
          </w:tcPr>
          <w:p w14:paraId="33BDEEF4"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1%</w:t>
            </w:r>
          </w:p>
        </w:tc>
        <w:tc>
          <w:tcPr>
            <w:tcW w:w="1826" w:type="dxa"/>
            <w:tcBorders>
              <w:top w:val="nil"/>
              <w:left w:val="nil"/>
              <w:bottom w:val="nil"/>
              <w:right w:val="nil"/>
            </w:tcBorders>
            <w:shd w:val="clear" w:color="auto" w:fill="auto"/>
            <w:noWrap/>
            <w:vAlign w:val="bottom"/>
            <w:hideMark/>
          </w:tcPr>
          <w:p w14:paraId="1884CBBA"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0,4787</w:t>
            </w:r>
          </w:p>
        </w:tc>
      </w:tr>
      <w:tr w:rsidR="00F25127" w:rsidRPr="00F25127" w14:paraId="16A670CD" w14:textId="77777777" w:rsidTr="00F25127">
        <w:trPr>
          <w:trHeight w:val="272"/>
        </w:trPr>
        <w:tc>
          <w:tcPr>
            <w:tcW w:w="2040" w:type="dxa"/>
            <w:tcBorders>
              <w:top w:val="nil"/>
              <w:left w:val="nil"/>
              <w:bottom w:val="nil"/>
              <w:right w:val="nil"/>
            </w:tcBorders>
            <w:shd w:val="clear" w:color="000000" w:fill="D9D9D9"/>
            <w:noWrap/>
            <w:vAlign w:val="bottom"/>
            <w:hideMark/>
          </w:tcPr>
          <w:p w14:paraId="407808BC"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-2</w:t>
            </w:r>
          </w:p>
        </w:tc>
        <w:tc>
          <w:tcPr>
            <w:tcW w:w="2040" w:type="dxa"/>
            <w:tcBorders>
              <w:top w:val="nil"/>
              <w:left w:val="nil"/>
              <w:bottom w:val="nil"/>
              <w:right w:val="nil"/>
            </w:tcBorders>
            <w:shd w:val="clear" w:color="auto" w:fill="auto"/>
            <w:noWrap/>
            <w:vAlign w:val="bottom"/>
            <w:hideMark/>
          </w:tcPr>
          <w:p w14:paraId="57F3EDD6"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0,3%</w:t>
            </w:r>
          </w:p>
        </w:tc>
        <w:tc>
          <w:tcPr>
            <w:tcW w:w="2040" w:type="dxa"/>
            <w:tcBorders>
              <w:top w:val="nil"/>
              <w:left w:val="nil"/>
              <w:bottom w:val="nil"/>
              <w:right w:val="nil"/>
            </w:tcBorders>
            <w:shd w:val="clear" w:color="auto" w:fill="auto"/>
            <w:noWrap/>
            <w:vAlign w:val="bottom"/>
            <w:hideMark/>
          </w:tcPr>
          <w:p w14:paraId="43F806E7"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1,4077</w:t>
            </w:r>
          </w:p>
        </w:tc>
        <w:tc>
          <w:tcPr>
            <w:tcW w:w="1487" w:type="dxa"/>
            <w:tcBorders>
              <w:top w:val="nil"/>
              <w:left w:val="nil"/>
              <w:bottom w:val="nil"/>
              <w:right w:val="nil"/>
            </w:tcBorders>
            <w:shd w:val="clear" w:color="auto" w:fill="auto"/>
            <w:noWrap/>
            <w:vAlign w:val="bottom"/>
            <w:hideMark/>
          </w:tcPr>
          <w:p w14:paraId="1D2DB5CB"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1%</w:t>
            </w:r>
          </w:p>
        </w:tc>
        <w:tc>
          <w:tcPr>
            <w:tcW w:w="1826" w:type="dxa"/>
            <w:tcBorders>
              <w:top w:val="nil"/>
              <w:left w:val="nil"/>
              <w:bottom w:val="nil"/>
              <w:right w:val="nil"/>
            </w:tcBorders>
            <w:shd w:val="clear" w:color="auto" w:fill="auto"/>
            <w:noWrap/>
            <w:vAlign w:val="bottom"/>
            <w:hideMark/>
          </w:tcPr>
          <w:p w14:paraId="7DA3F978"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0,7335</w:t>
            </w:r>
          </w:p>
        </w:tc>
      </w:tr>
      <w:tr w:rsidR="00F25127" w:rsidRPr="00F25127" w14:paraId="101C0F14" w14:textId="77777777" w:rsidTr="00F25127">
        <w:trPr>
          <w:trHeight w:val="272"/>
        </w:trPr>
        <w:tc>
          <w:tcPr>
            <w:tcW w:w="2040" w:type="dxa"/>
            <w:tcBorders>
              <w:top w:val="nil"/>
              <w:left w:val="nil"/>
              <w:bottom w:val="nil"/>
              <w:right w:val="nil"/>
            </w:tcBorders>
            <w:shd w:val="clear" w:color="000000" w:fill="D9D9D9"/>
            <w:noWrap/>
            <w:vAlign w:val="bottom"/>
            <w:hideMark/>
          </w:tcPr>
          <w:p w14:paraId="0A4213DC"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-1</w:t>
            </w:r>
          </w:p>
        </w:tc>
        <w:tc>
          <w:tcPr>
            <w:tcW w:w="2040" w:type="dxa"/>
            <w:tcBorders>
              <w:top w:val="nil"/>
              <w:left w:val="nil"/>
              <w:bottom w:val="nil"/>
              <w:right w:val="nil"/>
            </w:tcBorders>
            <w:shd w:val="clear" w:color="auto" w:fill="auto"/>
            <w:noWrap/>
            <w:vAlign w:val="bottom"/>
            <w:hideMark/>
          </w:tcPr>
          <w:p w14:paraId="240098EB"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0,2%</w:t>
            </w:r>
          </w:p>
        </w:tc>
        <w:tc>
          <w:tcPr>
            <w:tcW w:w="2040" w:type="dxa"/>
            <w:tcBorders>
              <w:top w:val="nil"/>
              <w:left w:val="nil"/>
              <w:bottom w:val="nil"/>
              <w:right w:val="nil"/>
            </w:tcBorders>
            <w:shd w:val="clear" w:color="auto" w:fill="auto"/>
            <w:noWrap/>
            <w:vAlign w:val="bottom"/>
            <w:hideMark/>
          </w:tcPr>
          <w:p w14:paraId="45F7397A"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0,7097</w:t>
            </w:r>
          </w:p>
        </w:tc>
        <w:tc>
          <w:tcPr>
            <w:tcW w:w="1487" w:type="dxa"/>
            <w:tcBorders>
              <w:top w:val="nil"/>
              <w:left w:val="nil"/>
              <w:bottom w:val="nil"/>
              <w:right w:val="nil"/>
            </w:tcBorders>
            <w:shd w:val="clear" w:color="auto" w:fill="auto"/>
            <w:noWrap/>
            <w:vAlign w:val="bottom"/>
            <w:hideMark/>
          </w:tcPr>
          <w:p w14:paraId="3864C973"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1%</w:t>
            </w:r>
          </w:p>
        </w:tc>
        <w:tc>
          <w:tcPr>
            <w:tcW w:w="1826" w:type="dxa"/>
            <w:tcBorders>
              <w:top w:val="nil"/>
              <w:left w:val="nil"/>
              <w:bottom w:val="nil"/>
              <w:right w:val="nil"/>
            </w:tcBorders>
            <w:shd w:val="clear" w:color="auto" w:fill="auto"/>
            <w:noWrap/>
            <w:vAlign w:val="bottom"/>
            <w:hideMark/>
          </w:tcPr>
          <w:p w14:paraId="0D91093D"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0,8620</w:t>
            </w:r>
          </w:p>
        </w:tc>
      </w:tr>
      <w:tr w:rsidR="00F25127" w:rsidRPr="00F25127" w14:paraId="54D96835" w14:textId="77777777" w:rsidTr="00F25127">
        <w:trPr>
          <w:trHeight w:val="272"/>
        </w:trPr>
        <w:tc>
          <w:tcPr>
            <w:tcW w:w="2040" w:type="dxa"/>
            <w:tcBorders>
              <w:top w:val="nil"/>
              <w:left w:val="nil"/>
              <w:bottom w:val="nil"/>
              <w:right w:val="nil"/>
            </w:tcBorders>
            <w:shd w:val="clear" w:color="000000" w:fill="D9D9D9"/>
            <w:noWrap/>
            <w:vAlign w:val="bottom"/>
            <w:hideMark/>
          </w:tcPr>
          <w:p w14:paraId="1F7B224C"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0</w:t>
            </w:r>
          </w:p>
        </w:tc>
        <w:tc>
          <w:tcPr>
            <w:tcW w:w="2040" w:type="dxa"/>
            <w:tcBorders>
              <w:top w:val="nil"/>
              <w:left w:val="nil"/>
              <w:bottom w:val="nil"/>
              <w:right w:val="nil"/>
            </w:tcBorders>
            <w:shd w:val="clear" w:color="auto" w:fill="auto"/>
            <w:noWrap/>
            <w:vAlign w:val="bottom"/>
            <w:hideMark/>
          </w:tcPr>
          <w:p w14:paraId="51DF81A5" w14:textId="77777777" w:rsidR="00F25127" w:rsidRPr="00F25127" w:rsidRDefault="00F25127" w:rsidP="00F25127">
            <w:pPr>
              <w:spacing w:line="240" w:lineRule="auto"/>
              <w:ind w:firstLine="0"/>
              <w:jc w:val="left"/>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0,48%</w:t>
            </w:r>
          </w:p>
        </w:tc>
        <w:tc>
          <w:tcPr>
            <w:tcW w:w="2040" w:type="dxa"/>
            <w:tcBorders>
              <w:top w:val="nil"/>
              <w:left w:val="nil"/>
              <w:bottom w:val="nil"/>
              <w:right w:val="nil"/>
            </w:tcBorders>
            <w:shd w:val="clear" w:color="000000" w:fill="A9D08E"/>
            <w:noWrap/>
            <w:vAlign w:val="bottom"/>
            <w:hideMark/>
          </w:tcPr>
          <w:p w14:paraId="067D6E16"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2,2152</w:t>
            </w:r>
          </w:p>
        </w:tc>
        <w:tc>
          <w:tcPr>
            <w:tcW w:w="1487" w:type="dxa"/>
            <w:tcBorders>
              <w:top w:val="nil"/>
              <w:left w:val="nil"/>
              <w:bottom w:val="nil"/>
              <w:right w:val="nil"/>
            </w:tcBorders>
            <w:shd w:val="clear" w:color="auto" w:fill="auto"/>
            <w:noWrap/>
            <w:vAlign w:val="bottom"/>
            <w:hideMark/>
          </w:tcPr>
          <w:p w14:paraId="14F4FEFD"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1%</w:t>
            </w:r>
          </w:p>
        </w:tc>
        <w:tc>
          <w:tcPr>
            <w:tcW w:w="1826" w:type="dxa"/>
            <w:tcBorders>
              <w:top w:val="nil"/>
              <w:left w:val="nil"/>
              <w:bottom w:val="nil"/>
              <w:right w:val="nil"/>
            </w:tcBorders>
            <w:shd w:val="clear" w:color="000000" w:fill="C6E0B4"/>
            <w:noWrap/>
            <w:vAlign w:val="bottom"/>
            <w:hideMark/>
          </w:tcPr>
          <w:p w14:paraId="15E6DDD8"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1,2630</w:t>
            </w:r>
          </w:p>
        </w:tc>
      </w:tr>
      <w:tr w:rsidR="00F25127" w:rsidRPr="00F25127" w14:paraId="4004654B" w14:textId="77777777" w:rsidTr="00F25127">
        <w:trPr>
          <w:trHeight w:val="272"/>
        </w:trPr>
        <w:tc>
          <w:tcPr>
            <w:tcW w:w="2040" w:type="dxa"/>
            <w:tcBorders>
              <w:top w:val="nil"/>
              <w:left w:val="nil"/>
              <w:bottom w:val="nil"/>
              <w:right w:val="nil"/>
            </w:tcBorders>
            <w:shd w:val="clear" w:color="000000" w:fill="D9D9D9"/>
            <w:noWrap/>
            <w:vAlign w:val="bottom"/>
            <w:hideMark/>
          </w:tcPr>
          <w:p w14:paraId="337F90B2"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1</w:t>
            </w:r>
          </w:p>
        </w:tc>
        <w:tc>
          <w:tcPr>
            <w:tcW w:w="2040" w:type="dxa"/>
            <w:tcBorders>
              <w:top w:val="nil"/>
              <w:left w:val="nil"/>
              <w:bottom w:val="nil"/>
              <w:right w:val="nil"/>
            </w:tcBorders>
            <w:shd w:val="clear" w:color="auto" w:fill="auto"/>
            <w:noWrap/>
            <w:vAlign w:val="bottom"/>
            <w:hideMark/>
          </w:tcPr>
          <w:p w14:paraId="3FDED588"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0,3%</w:t>
            </w:r>
          </w:p>
        </w:tc>
        <w:tc>
          <w:tcPr>
            <w:tcW w:w="2040" w:type="dxa"/>
            <w:tcBorders>
              <w:top w:val="nil"/>
              <w:left w:val="nil"/>
              <w:bottom w:val="nil"/>
              <w:right w:val="nil"/>
            </w:tcBorders>
            <w:shd w:val="clear" w:color="auto" w:fill="auto"/>
            <w:noWrap/>
            <w:vAlign w:val="bottom"/>
            <w:hideMark/>
          </w:tcPr>
          <w:p w14:paraId="62B28637"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1,1904</w:t>
            </w:r>
          </w:p>
        </w:tc>
        <w:tc>
          <w:tcPr>
            <w:tcW w:w="1487" w:type="dxa"/>
            <w:tcBorders>
              <w:top w:val="nil"/>
              <w:left w:val="nil"/>
              <w:bottom w:val="nil"/>
              <w:right w:val="nil"/>
            </w:tcBorders>
            <w:shd w:val="clear" w:color="auto" w:fill="auto"/>
            <w:noWrap/>
            <w:vAlign w:val="bottom"/>
            <w:hideMark/>
          </w:tcPr>
          <w:p w14:paraId="75D3D494"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2%</w:t>
            </w:r>
          </w:p>
        </w:tc>
        <w:tc>
          <w:tcPr>
            <w:tcW w:w="1826" w:type="dxa"/>
            <w:tcBorders>
              <w:top w:val="nil"/>
              <w:left w:val="nil"/>
              <w:bottom w:val="nil"/>
              <w:right w:val="nil"/>
            </w:tcBorders>
            <w:shd w:val="clear" w:color="000000" w:fill="A9D08E"/>
            <w:noWrap/>
            <w:vAlign w:val="bottom"/>
            <w:hideMark/>
          </w:tcPr>
          <w:p w14:paraId="5A8F217B"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1,4785</w:t>
            </w:r>
          </w:p>
        </w:tc>
      </w:tr>
      <w:tr w:rsidR="00F25127" w:rsidRPr="00F25127" w14:paraId="25B9D3B2" w14:textId="77777777" w:rsidTr="00F25127">
        <w:trPr>
          <w:trHeight w:val="272"/>
        </w:trPr>
        <w:tc>
          <w:tcPr>
            <w:tcW w:w="2040" w:type="dxa"/>
            <w:tcBorders>
              <w:top w:val="nil"/>
              <w:left w:val="nil"/>
              <w:bottom w:val="nil"/>
              <w:right w:val="nil"/>
            </w:tcBorders>
            <w:shd w:val="clear" w:color="000000" w:fill="D9D9D9"/>
            <w:noWrap/>
            <w:vAlign w:val="bottom"/>
            <w:hideMark/>
          </w:tcPr>
          <w:p w14:paraId="03AEC085"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2</w:t>
            </w:r>
          </w:p>
        </w:tc>
        <w:tc>
          <w:tcPr>
            <w:tcW w:w="2040" w:type="dxa"/>
            <w:tcBorders>
              <w:top w:val="nil"/>
              <w:left w:val="nil"/>
              <w:bottom w:val="nil"/>
              <w:right w:val="nil"/>
            </w:tcBorders>
            <w:shd w:val="clear" w:color="auto" w:fill="auto"/>
            <w:noWrap/>
            <w:vAlign w:val="bottom"/>
            <w:hideMark/>
          </w:tcPr>
          <w:p w14:paraId="621C72B9"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0,3%</w:t>
            </w:r>
          </w:p>
        </w:tc>
        <w:tc>
          <w:tcPr>
            <w:tcW w:w="2040" w:type="dxa"/>
            <w:tcBorders>
              <w:top w:val="nil"/>
              <w:left w:val="nil"/>
              <w:bottom w:val="nil"/>
              <w:right w:val="nil"/>
            </w:tcBorders>
            <w:shd w:val="clear" w:color="auto" w:fill="auto"/>
            <w:noWrap/>
            <w:vAlign w:val="bottom"/>
            <w:hideMark/>
          </w:tcPr>
          <w:p w14:paraId="786A1D30"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1,4746</w:t>
            </w:r>
          </w:p>
        </w:tc>
        <w:tc>
          <w:tcPr>
            <w:tcW w:w="1487" w:type="dxa"/>
            <w:tcBorders>
              <w:top w:val="nil"/>
              <w:left w:val="nil"/>
              <w:bottom w:val="nil"/>
              <w:right w:val="nil"/>
            </w:tcBorders>
            <w:shd w:val="clear" w:color="auto" w:fill="auto"/>
            <w:noWrap/>
            <w:vAlign w:val="bottom"/>
            <w:hideMark/>
          </w:tcPr>
          <w:p w14:paraId="19EEAF8E"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2%</w:t>
            </w:r>
          </w:p>
        </w:tc>
        <w:tc>
          <w:tcPr>
            <w:tcW w:w="1826" w:type="dxa"/>
            <w:tcBorders>
              <w:top w:val="nil"/>
              <w:left w:val="nil"/>
              <w:bottom w:val="nil"/>
              <w:right w:val="nil"/>
            </w:tcBorders>
            <w:shd w:val="clear" w:color="000000" w:fill="A9D08E"/>
            <w:noWrap/>
            <w:vAlign w:val="bottom"/>
            <w:hideMark/>
          </w:tcPr>
          <w:p w14:paraId="74D18A76"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1,7455</w:t>
            </w:r>
          </w:p>
        </w:tc>
      </w:tr>
      <w:tr w:rsidR="00F25127" w:rsidRPr="00F25127" w14:paraId="2FD3DE4C" w14:textId="77777777" w:rsidTr="00F25127">
        <w:trPr>
          <w:trHeight w:val="272"/>
        </w:trPr>
        <w:tc>
          <w:tcPr>
            <w:tcW w:w="2040" w:type="dxa"/>
            <w:tcBorders>
              <w:top w:val="nil"/>
              <w:left w:val="nil"/>
              <w:bottom w:val="nil"/>
              <w:right w:val="nil"/>
            </w:tcBorders>
            <w:shd w:val="clear" w:color="000000" w:fill="D9D9D9"/>
            <w:noWrap/>
            <w:vAlign w:val="bottom"/>
            <w:hideMark/>
          </w:tcPr>
          <w:p w14:paraId="64FB0CD5"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3</w:t>
            </w:r>
          </w:p>
        </w:tc>
        <w:tc>
          <w:tcPr>
            <w:tcW w:w="2040" w:type="dxa"/>
            <w:tcBorders>
              <w:top w:val="nil"/>
              <w:left w:val="nil"/>
              <w:bottom w:val="nil"/>
              <w:right w:val="nil"/>
            </w:tcBorders>
            <w:shd w:val="clear" w:color="auto" w:fill="auto"/>
            <w:noWrap/>
            <w:vAlign w:val="bottom"/>
            <w:hideMark/>
          </w:tcPr>
          <w:p w14:paraId="0E2837ED"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0,2%</w:t>
            </w:r>
          </w:p>
        </w:tc>
        <w:tc>
          <w:tcPr>
            <w:tcW w:w="2040" w:type="dxa"/>
            <w:tcBorders>
              <w:top w:val="nil"/>
              <w:left w:val="nil"/>
              <w:bottom w:val="nil"/>
              <w:right w:val="nil"/>
            </w:tcBorders>
            <w:shd w:val="clear" w:color="auto" w:fill="auto"/>
            <w:noWrap/>
            <w:vAlign w:val="bottom"/>
            <w:hideMark/>
          </w:tcPr>
          <w:p w14:paraId="37F62BD5"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0,7701</w:t>
            </w:r>
          </w:p>
        </w:tc>
        <w:tc>
          <w:tcPr>
            <w:tcW w:w="1487" w:type="dxa"/>
            <w:tcBorders>
              <w:top w:val="nil"/>
              <w:left w:val="nil"/>
              <w:bottom w:val="nil"/>
              <w:right w:val="nil"/>
            </w:tcBorders>
            <w:shd w:val="clear" w:color="auto" w:fill="auto"/>
            <w:noWrap/>
            <w:vAlign w:val="bottom"/>
            <w:hideMark/>
          </w:tcPr>
          <w:p w14:paraId="79FC4EB6"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2%</w:t>
            </w:r>
          </w:p>
        </w:tc>
        <w:tc>
          <w:tcPr>
            <w:tcW w:w="1826" w:type="dxa"/>
            <w:tcBorders>
              <w:top w:val="nil"/>
              <w:left w:val="nil"/>
              <w:bottom w:val="nil"/>
              <w:right w:val="nil"/>
            </w:tcBorders>
            <w:shd w:val="clear" w:color="000000" w:fill="A9D08E"/>
            <w:noWrap/>
            <w:vAlign w:val="bottom"/>
            <w:hideMark/>
          </w:tcPr>
          <w:p w14:paraId="5F648F21"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1,8849</w:t>
            </w:r>
          </w:p>
        </w:tc>
      </w:tr>
      <w:tr w:rsidR="00F25127" w:rsidRPr="00F25127" w14:paraId="68087C05" w14:textId="77777777" w:rsidTr="00F25127">
        <w:trPr>
          <w:trHeight w:val="272"/>
        </w:trPr>
        <w:tc>
          <w:tcPr>
            <w:tcW w:w="2040" w:type="dxa"/>
            <w:tcBorders>
              <w:top w:val="nil"/>
              <w:left w:val="nil"/>
              <w:bottom w:val="nil"/>
              <w:right w:val="nil"/>
            </w:tcBorders>
            <w:shd w:val="clear" w:color="000000" w:fill="D9D9D9"/>
            <w:noWrap/>
            <w:vAlign w:val="bottom"/>
            <w:hideMark/>
          </w:tcPr>
          <w:p w14:paraId="6E03E65E"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4</w:t>
            </w:r>
          </w:p>
        </w:tc>
        <w:tc>
          <w:tcPr>
            <w:tcW w:w="2040" w:type="dxa"/>
            <w:tcBorders>
              <w:top w:val="nil"/>
              <w:left w:val="nil"/>
              <w:bottom w:val="nil"/>
              <w:right w:val="nil"/>
            </w:tcBorders>
            <w:shd w:val="clear" w:color="auto" w:fill="auto"/>
            <w:noWrap/>
            <w:vAlign w:val="bottom"/>
            <w:hideMark/>
          </w:tcPr>
          <w:p w14:paraId="26A99F68"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-0,1%</w:t>
            </w:r>
          </w:p>
        </w:tc>
        <w:tc>
          <w:tcPr>
            <w:tcW w:w="2040" w:type="dxa"/>
            <w:tcBorders>
              <w:top w:val="nil"/>
              <w:left w:val="nil"/>
              <w:bottom w:val="nil"/>
              <w:right w:val="nil"/>
            </w:tcBorders>
            <w:shd w:val="clear" w:color="auto" w:fill="auto"/>
            <w:noWrap/>
            <w:vAlign w:val="bottom"/>
            <w:hideMark/>
          </w:tcPr>
          <w:p w14:paraId="54552AFA"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-0,4023</w:t>
            </w:r>
          </w:p>
        </w:tc>
        <w:tc>
          <w:tcPr>
            <w:tcW w:w="1487" w:type="dxa"/>
            <w:tcBorders>
              <w:top w:val="nil"/>
              <w:left w:val="nil"/>
              <w:bottom w:val="nil"/>
              <w:right w:val="nil"/>
            </w:tcBorders>
            <w:shd w:val="clear" w:color="auto" w:fill="auto"/>
            <w:noWrap/>
            <w:vAlign w:val="bottom"/>
            <w:hideMark/>
          </w:tcPr>
          <w:p w14:paraId="625E9C9F"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2%</w:t>
            </w:r>
          </w:p>
        </w:tc>
        <w:tc>
          <w:tcPr>
            <w:tcW w:w="1826" w:type="dxa"/>
            <w:tcBorders>
              <w:top w:val="nil"/>
              <w:left w:val="nil"/>
              <w:bottom w:val="nil"/>
              <w:right w:val="nil"/>
            </w:tcBorders>
            <w:shd w:val="clear" w:color="000000" w:fill="A9D08E"/>
            <w:noWrap/>
            <w:vAlign w:val="bottom"/>
            <w:hideMark/>
          </w:tcPr>
          <w:p w14:paraId="62AB7DDD"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1,8121</w:t>
            </w:r>
          </w:p>
        </w:tc>
      </w:tr>
      <w:tr w:rsidR="00F25127" w:rsidRPr="00F25127" w14:paraId="218E65DD" w14:textId="77777777" w:rsidTr="00F25127">
        <w:trPr>
          <w:trHeight w:val="272"/>
        </w:trPr>
        <w:tc>
          <w:tcPr>
            <w:tcW w:w="2040" w:type="dxa"/>
            <w:tcBorders>
              <w:top w:val="nil"/>
              <w:left w:val="nil"/>
              <w:bottom w:val="nil"/>
              <w:right w:val="nil"/>
            </w:tcBorders>
            <w:shd w:val="clear" w:color="000000" w:fill="D9D9D9"/>
            <w:noWrap/>
            <w:vAlign w:val="bottom"/>
            <w:hideMark/>
          </w:tcPr>
          <w:p w14:paraId="288ACBDF"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5</w:t>
            </w:r>
          </w:p>
        </w:tc>
        <w:tc>
          <w:tcPr>
            <w:tcW w:w="2040" w:type="dxa"/>
            <w:tcBorders>
              <w:top w:val="nil"/>
              <w:left w:val="nil"/>
              <w:bottom w:val="nil"/>
              <w:right w:val="nil"/>
            </w:tcBorders>
            <w:shd w:val="clear" w:color="auto" w:fill="auto"/>
            <w:noWrap/>
            <w:vAlign w:val="bottom"/>
            <w:hideMark/>
          </w:tcPr>
          <w:p w14:paraId="6FBBEDBF"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-0,2%</w:t>
            </w:r>
          </w:p>
        </w:tc>
        <w:tc>
          <w:tcPr>
            <w:tcW w:w="2040" w:type="dxa"/>
            <w:tcBorders>
              <w:top w:val="nil"/>
              <w:left w:val="nil"/>
              <w:bottom w:val="nil"/>
              <w:right w:val="nil"/>
            </w:tcBorders>
            <w:shd w:val="clear" w:color="auto" w:fill="auto"/>
            <w:noWrap/>
            <w:vAlign w:val="bottom"/>
            <w:hideMark/>
          </w:tcPr>
          <w:p w14:paraId="179C9A05"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-0,8141</w:t>
            </w:r>
          </w:p>
        </w:tc>
        <w:tc>
          <w:tcPr>
            <w:tcW w:w="1487" w:type="dxa"/>
            <w:tcBorders>
              <w:top w:val="nil"/>
              <w:left w:val="nil"/>
              <w:bottom w:val="nil"/>
              <w:right w:val="nil"/>
            </w:tcBorders>
            <w:shd w:val="clear" w:color="auto" w:fill="auto"/>
            <w:noWrap/>
            <w:vAlign w:val="bottom"/>
            <w:hideMark/>
          </w:tcPr>
          <w:p w14:paraId="6DCD7F5D"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2%</w:t>
            </w:r>
          </w:p>
        </w:tc>
        <w:tc>
          <w:tcPr>
            <w:tcW w:w="1826" w:type="dxa"/>
            <w:tcBorders>
              <w:top w:val="nil"/>
              <w:left w:val="nil"/>
              <w:bottom w:val="nil"/>
              <w:right w:val="nil"/>
            </w:tcBorders>
            <w:shd w:val="clear" w:color="000000" w:fill="A9D08E"/>
            <w:noWrap/>
            <w:vAlign w:val="bottom"/>
            <w:hideMark/>
          </w:tcPr>
          <w:p w14:paraId="7F9C12E9"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1,6647</w:t>
            </w:r>
          </w:p>
        </w:tc>
      </w:tr>
      <w:tr w:rsidR="00F25127" w:rsidRPr="00F25127" w14:paraId="793285DB" w14:textId="77777777" w:rsidTr="00F25127">
        <w:trPr>
          <w:trHeight w:val="272"/>
        </w:trPr>
        <w:tc>
          <w:tcPr>
            <w:tcW w:w="2040" w:type="dxa"/>
            <w:tcBorders>
              <w:top w:val="nil"/>
              <w:left w:val="nil"/>
              <w:bottom w:val="nil"/>
              <w:right w:val="nil"/>
            </w:tcBorders>
            <w:shd w:val="clear" w:color="000000" w:fill="D9D9D9"/>
            <w:noWrap/>
            <w:vAlign w:val="bottom"/>
            <w:hideMark/>
          </w:tcPr>
          <w:p w14:paraId="6EE69471"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6</w:t>
            </w:r>
          </w:p>
        </w:tc>
        <w:tc>
          <w:tcPr>
            <w:tcW w:w="2040" w:type="dxa"/>
            <w:tcBorders>
              <w:top w:val="nil"/>
              <w:left w:val="nil"/>
              <w:bottom w:val="nil"/>
              <w:right w:val="nil"/>
            </w:tcBorders>
            <w:shd w:val="clear" w:color="auto" w:fill="auto"/>
            <w:noWrap/>
            <w:vAlign w:val="bottom"/>
            <w:hideMark/>
          </w:tcPr>
          <w:p w14:paraId="1ED9A5FE"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0,2%</w:t>
            </w:r>
          </w:p>
        </w:tc>
        <w:tc>
          <w:tcPr>
            <w:tcW w:w="2040" w:type="dxa"/>
            <w:tcBorders>
              <w:top w:val="nil"/>
              <w:left w:val="nil"/>
              <w:bottom w:val="nil"/>
              <w:right w:val="nil"/>
            </w:tcBorders>
            <w:shd w:val="clear" w:color="auto" w:fill="auto"/>
            <w:noWrap/>
            <w:vAlign w:val="bottom"/>
            <w:hideMark/>
          </w:tcPr>
          <w:p w14:paraId="1EC1CD54"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0,8164</w:t>
            </w:r>
          </w:p>
        </w:tc>
        <w:tc>
          <w:tcPr>
            <w:tcW w:w="1487" w:type="dxa"/>
            <w:tcBorders>
              <w:top w:val="nil"/>
              <w:left w:val="nil"/>
              <w:bottom w:val="nil"/>
              <w:right w:val="nil"/>
            </w:tcBorders>
            <w:shd w:val="clear" w:color="auto" w:fill="auto"/>
            <w:noWrap/>
            <w:vAlign w:val="bottom"/>
            <w:hideMark/>
          </w:tcPr>
          <w:p w14:paraId="0BEED102"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2%</w:t>
            </w:r>
          </w:p>
        </w:tc>
        <w:tc>
          <w:tcPr>
            <w:tcW w:w="1826" w:type="dxa"/>
            <w:tcBorders>
              <w:top w:val="nil"/>
              <w:left w:val="nil"/>
              <w:bottom w:val="nil"/>
              <w:right w:val="nil"/>
            </w:tcBorders>
            <w:shd w:val="clear" w:color="000000" w:fill="A9D08E"/>
            <w:noWrap/>
            <w:vAlign w:val="bottom"/>
            <w:hideMark/>
          </w:tcPr>
          <w:p w14:paraId="63D4E3C2"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1,8125</w:t>
            </w:r>
          </w:p>
        </w:tc>
      </w:tr>
      <w:tr w:rsidR="00F25127" w:rsidRPr="00F25127" w14:paraId="1F113D83" w14:textId="77777777" w:rsidTr="00F25127">
        <w:trPr>
          <w:trHeight w:val="272"/>
        </w:trPr>
        <w:tc>
          <w:tcPr>
            <w:tcW w:w="2040" w:type="dxa"/>
            <w:tcBorders>
              <w:top w:val="nil"/>
              <w:left w:val="nil"/>
              <w:bottom w:val="nil"/>
              <w:right w:val="nil"/>
            </w:tcBorders>
            <w:shd w:val="clear" w:color="000000" w:fill="D9D9D9"/>
            <w:noWrap/>
            <w:vAlign w:val="bottom"/>
            <w:hideMark/>
          </w:tcPr>
          <w:p w14:paraId="2246107B"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7</w:t>
            </w:r>
          </w:p>
        </w:tc>
        <w:tc>
          <w:tcPr>
            <w:tcW w:w="2040" w:type="dxa"/>
            <w:tcBorders>
              <w:top w:val="nil"/>
              <w:left w:val="nil"/>
              <w:bottom w:val="nil"/>
              <w:right w:val="nil"/>
            </w:tcBorders>
            <w:shd w:val="clear" w:color="auto" w:fill="auto"/>
            <w:noWrap/>
            <w:vAlign w:val="bottom"/>
            <w:hideMark/>
          </w:tcPr>
          <w:p w14:paraId="74F30424"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0,0%</w:t>
            </w:r>
          </w:p>
        </w:tc>
        <w:tc>
          <w:tcPr>
            <w:tcW w:w="2040" w:type="dxa"/>
            <w:tcBorders>
              <w:top w:val="nil"/>
              <w:left w:val="nil"/>
              <w:bottom w:val="nil"/>
              <w:right w:val="nil"/>
            </w:tcBorders>
            <w:shd w:val="clear" w:color="auto" w:fill="auto"/>
            <w:noWrap/>
            <w:vAlign w:val="bottom"/>
            <w:hideMark/>
          </w:tcPr>
          <w:p w14:paraId="29F2C188"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0,0997</w:t>
            </w:r>
          </w:p>
        </w:tc>
        <w:tc>
          <w:tcPr>
            <w:tcW w:w="1487" w:type="dxa"/>
            <w:tcBorders>
              <w:top w:val="nil"/>
              <w:left w:val="nil"/>
              <w:bottom w:val="nil"/>
              <w:right w:val="nil"/>
            </w:tcBorders>
            <w:shd w:val="clear" w:color="auto" w:fill="auto"/>
            <w:noWrap/>
            <w:vAlign w:val="bottom"/>
            <w:hideMark/>
          </w:tcPr>
          <w:p w14:paraId="60F739F9"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2%</w:t>
            </w:r>
          </w:p>
        </w:tc>
        <w:tc>
          <w:tcPr>
            <w:tcW w:w="1826" w:type="dxa"/>
            <w:tcBorders>
              <w:top w:val="nil"/>
              <w:left w:val="nil"/>
              <w:bottom w:val="nil"/>
              <w:right w:val="nil"/>
            </w:tcBorders>
            <w:shd w:val="clear" w:color="000000" w:fill="A9D08E"/>
            <w:noWrap/>
            <w:vAlign w:val="bottom"/>
            <w:hideMark/>
          </w:tcPr>
          <w:p w14:paraId="0777EECF"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1,8306</w:t>
            </w:r>
          </w:p>
        </w:tc>
      </w:tr>
      <w:tr w:rsidR="00F25127" w:rsidRPr="00F25127" w14:paraId="7BACD5BD" w14:textId="77777777" w:rsidTr="00F25127">
        <w:trPr>
          <w:trHeight w:val="272"/>
        </w:trPr>
        <w:tc>
          <w:tcPr>
            <w:tcW w:w="2040" w:type="dxa"/>
            <w:tcBorders>
              <w:top w:val="nil"/>
              <w:left w:val="nil"/>
              <w:bottom w:val="nil"/>
              <w:right w:val="nil"/>
            </w:tcBorders>
            <w:shd w:val="clear" w:color="000000" w:fill="D9D9D9"/>
            <w:noWrap/>
            <w:vAlign w:val="bottom"/>
            <w:hideMark/>
          </w:tcPr>
          <w:p w14:paraId="73719AE9"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8</w:t>
            </w:r>
          </w:p>
        </w:tc>
        <w:tc>
          <w:tcPr>
            <w:tcW w:w="2040" w:type="dxa"/>
            <w:tcBorders>
              <w:top w:val="nil"/>
              <w:left w:val="nil"/>
              <w:bottom w:val="nil"/>
              <w:right w:val="nil"/>
            </w:tcBorders>
            <w:shd w:val="clear" w:color="auto" w:fill="auto"/>
            <w:noWrap/>
            <w:vAlign w:val="bottom"/>
            <w:hideMark/>
          </w:tcPr>
          <w:p w14:paraId="6850D20E"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0,4%</w:t>
            </w:r>
          </w:p>
        </w:tc>
        <w:tc>
          <w:tcPr>
            <w:tcW w:w="2040" w:type="dxa"/>
            <w:tcBorders>
              <w:top w:val="nil"/>
              <w:left w:val="nil"/>
              <w:bottom w:val="nil"/>
              <w:right w:val="nil"/>
            </w:tcBorders>
            <w:shd w:val="clear" w:color="000000" w:fill="C6E0B4"/>
            <w:noWrap/>
            <w:vAlign w:val="bottom"/>
            <w:hideMark/>
          </w:tcPr>
          <w:p w14:paraId="7F975533"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1,6871</w:t>
            </w:r>
          </w:p>
        </w:tc>
        <w:tc>
          <w:tcPr>
            <w:tcW w:w="1487" w:type="dxa"/>
            <w:tcBorders>
              <w:top w:val="nil"/>
              <w:left w:val="nil"/>
              <w:bottom w:val="nil"/>
              <w:right w:val="nil"/>
            </w:tcBorders>
            <w:shd w:val="clear" w:color="auto" w:fill="auto"/>
            <w:noWrap/>
            <w:vAlign w:val="bottom"/>
            <w:hideMark/>
          </w:tcPr>
          <w:p w14:paraId="6BAC77DE"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3%</w:t>
            </w:r>
          </w:p>
        </w:tc>
        <w:tc>
          <w:tcPr>
            <w:tcW w:w="1826" w:type="dxa"/>
            <w:tcBorders>
              <w:top w:val="nil"/>
              <w:left w:val="nil"/>
              <w:bottom w:val="nil"/>
              <w:right w:val="nil"/>
            </w:tcBorders>
            <w:shd w:val="clear" w:color="000000" w:fill="A9D08E"/>
            <w:noWrap/>
            <w:vAlign w:val="bottom"/>
            <w:hideMark/>
          </w:tcPr>
          <w:p w14:paraId="527F60AE"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2,1360</w:t>
            </w:r>
          </w:p>
        </w:tc>
      </w:tr>
      <w:tr w:rsidR="00F25127" w:rsidRPr="00F25127" w14:paraId="5CB75F2B" w14:textId="77777777" w:rsidTr="00F25127">
        <w:trPr>
          <w:trHeight w:val="272"/>
        </w:trPr>
        <w:tc>
          <w:tcPr>
            <w:tcW w:w="2040" w:type="dxa"/>
            <w:tcBorders>
              <w:top w:val="nil"/>
              <w:left w:val="nil"/>
              <w:bottom w:val="nil"/>
              <w:right w:val="nil"/>
            </w:tcBorders>
            <w:shd w:val="clear" w:color="000000" w:fill="D9D9D9"/>
            <w:noWrap/>
            <w:vAlign w:val="bottom"/>
            <w:hideMark/>
          </w:tcPr>
          <w:p w14:paraId="3090AE65"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9</w:t>
            </w:r>
          </w:p>
        </w:tc>
        <w:tc>
          <w:tcPr>
            <w:tcW w:w="2040" w:type="dxa"/>
            <w:tcBorders>
              <w:top w:val="nil"/>
              <w:left w:val="nil"/>
              <w:bottom w:val="nil"/>
              <w:right w:val="nil"/>
            </w:tcBorders>
            <w:shd w:val="clear" w:color="auto" w:fill="auto"/>
            <w:noWrap/>
            <w:vAlign w:val="bottom"/>
            <w:hideMark/>
          </w:tcPr>
          <w:p w14:paraId="397F208C"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0,2%</w:t>
            </w:r>
          </w:p>
        </w:tc>
        <w:tc>
          <w:tcPr>
            <w:tcW w:w="2040" w:type="dxa"/>
            <w:tcBorders>
              <w:top w:val="nil"/>
              <w:left w:val="nil"/>
              <w:bottom w:val="nil"/>
              <w:right w:val="nil"/>
            </w:tcBorders>
            <w:shd w:val="clear" w:color="auto" w:fill="auto"/>
            <w:noWrap/>
            <w:vAlign w:val="bottom"/>
            <w:hideMark/>
          </w:tcPr>
          <w:p w14:paraId="5D107C1D"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1,1170</w:t>
            </w:r>
          </w:p>
        </w:tc>
        <w:tc>
          <w:tcPr>
            <w:tcW w:w="1487" w:type="dxa"/>
            <w:tcBorders>
              <w:top w:val="nil"/>
              <w:left w:val="nil"/>
              <w:bottom w:val="nil"/>
              <w:right w:val="nil"/>
            </w:tcBorders>
            <w:shd w:val="clear" w:color="auto" w:fill="auto"/>
            <w:noWrap/>
            <w:vAlign w:val="bottom"/>
            <w:hideMark/>
          </w:tcPr>
          <w:p w14:paraId="5C765BE5"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3%</w:t>
            </w:r>
          </w:p>
        </w:tc>
        <w:tc>
          <w:tcPr>
            <w:tcW w:w="1826" w:type="dxa"/>
            <w:tcBorders>
              <w:top w:val="nil"/>
              <w:left w:val="nil"/>
              <w:bottom w:val="nil"/>
              <w:right w:val="nil"/>
            </w:tcBorders>
            <w:shd w:val="clear" w:color="000000" w:fill="A9D08E"/>
            <w:noWrap/>
            <w:vAlign w:val="bottom"/>
            <w:hideMark/>
          </w:tcPr>
          <w:p w14:paraId="43B04798"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2,3382</w:t>
            </w:r>
          </w:p>
        </w:tc>
      </w:tr>
      <w:tr w:rsidR="00F25127" w:rsidRPr="00F25127" w14:paraId="65D96751" w14:textId="77777777" w:rsidTr="00F25127">
        <w:trPr>
          <w:trHeight w:val="272"/>
        </w:trPr>
        <w:tc>
          <w:tcPr>
            <w:tcW w:w="2040" w:type="dxa"/>
            <w:tcBorders>
              <w:top w:val="nil"/>
              <w:left w:val="nil"/>
              <w:bottom w:val="nil"/>
              <w:right w:val="nil"/>
            </w:tcBorders>
            <w:shd w:val="clear" w:color="000000" w:fill="D9D9D9"/>
            <w:noWrap/>
            <w:vAlign w:val="bottom"/>
            <w:hideMark/>
          </w:tcPr>
          <w:p w14:paraId="01CAE35F"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10</w:t>
            </w:r>
          </w:p>
        </w:tc>
        <w:tc>
          <w:tcPr>
            <w:tcW w:w="2040" w:type="dxa"/>
            <w:tcBorders>
              <w:top w:val="nil"/>
              <w:left w:val="nil"/>
              <w:bottom w:val="nil"/>
              <w:right w:val="nil"/>
            </w:tcBorders>
            <w:shd w:val="clear" w:color="auto" w:fill="auto"/>
            <w:noWrap/>
            <w:vAlign w:val="bottom"/>
            <w:hideMark/>
          </w:tcPr>
          <w:p w14:paraId="5F815275"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-0,3%</w:t>
            </w:r>
          </w:p>
        </w:tc>
        <w:tc>
          <w:tcPr>
            <w:tcW w:w="2040" w:type="dxa"/>
            <w:tcBorders>
              <w:top w:val="nil"/>
              <w:left w:val="nil"/>
              <w:bottom w:val="nil"/>
              <w:right w:val="nil"/>
            </w:tcBorders>
            <w:shd w:val="clear" w:color="auto" w:fill="auto"/>
            <w:noWrap/>
            <w:vAlign w:val="bottom"/>
            <w:hideMark/>
          </w:tcPr>
          <w:p w14:paraId="7F452D04"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-1,4415</w:t>
            </w:r>
          </w:p>
        </w:tc>
        <w:tc>
          <w:tcPr>
            <w:tcW w:w="1487" w:type="dxa"/>
            <w:tcBorders>
              <w:top w:val="nil"/>
              <w:left w:val="nil"/>
              <w:bottom w:val="nil"/>
              <w:right w:val="nil"/>
            </w:tcBorders>
            <w:shd w:val="clear" w:color="auto" w:fill="auto"/>
            <w:noWrap/>
            <w:vAlign w:val="bottom"/>
            <w:hideMark/>
          </w:tcPr>
          <w:p w14:paraId="1BDCF37B"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2,46%</w:t>
            </w:r>
          </w:p>
        </w:tc>
        <w:tc>
          <w:tcPr>
            <w:tcW w:w="1826" w:type="dxa"/>
            <w:tcBorders>
              <w:top w:val="nil"/>
              <w:left w:val="nil"/>
              <w:bottom w:val="nil"/>
              <w:right w:val="nil"/>
            </w:tcBorders>
            <w:shd w:val="clear" w:color="000000" w:fill="A9D08E"/>
            <w:noWrap/>
            <w:vAlign w:val="bottom"/>
            <w:hideMark/>
          </w:tcPr>
          <w:p w14:paraId="0675876F" w14:textId="77777777" w:rsidR="00F25127" w:rsidRPr="00F25127" w:rsidRDefault="00F25127" w:rsidP="00F25127">
            <w:pPr>
              <w:spacing w:line="240" w:lineRule="auto"/>
              <w:ind w:firstLine="0"/>
              <w:jc w:val="center"/>
              <w:rPr>
                <w:rFonts w:ascii="Calibri" w:eastAsia="Times New Roman" w:hAnsi="Calibri" w:cs="Calibri"/>
                <w:color w:val="000000"/>
                <w:sz w:val="20"/>
                <w:szCs w:val="20"/>
                <w:lang w:val="en-US"/>
              </w:rPr>
            </w:pPr>
            <w:r w:rsidRPr="00F25127">
              <w:rPr>
                <w:rFonts w:ascii="Calibri" w:eastAsia="Times New Roman" w:hAnsi="Calibri" w:cs="Calibri"/>
                <w:color w:val="000000"/>
                <w:sz w:val="20"/>
                <w:szCs w:val="20"/>
                <w:lang w:val="en-US"/>
              </w:rPr>
              <w:t>2,0773</w:t>
            </w:r>
          </w:p>
        </w:tc>
      </w:tr>
    </w:tbl>
    <w:p w14:paraId="5206284A" w14:textId="514EFA45" w:rsidR="00F25127" w:rsidRDefault="00F25127" w:rsidP="00F25127">
      <w:pPr>
        <w:ind w:firstLine="0"/>
        <w:rPr>
          <w:b/>
          <w:bCs/>
        </w:rPr>
      </w:pPr>
      <w:r w:rsidRPr="00E4570D">
        <w:rPr>
          <w:b/>
          <w:bCs/>
        </w:rPr>
        <w:t xml:space="preserve">Приложение </w:t>
      </w:r>
      <w:r>
        <w:rPr>
          <w:b/>
          <w:bCs/>
        </w:rPr>
        <w:t>3</w:t>
      </w:r>
      <w:r w:rsidRPr="00E4570D">
        <w:rPr>
          <w:b/>
          <w:bCs/>
        </w:rPr>
        <w:t xml:space="preserve">. </w:t>
      </w:r>
      <w:r w:rsidR="00494977" w:rsidRPr="00E4570D">
        <w:rPr>
          <w:b/>
          <w:bCs/>
        </w:rPr>
        <w:t xml:space="preserve">Результат </w:t>
      </w:r>
      <w:r w:rsidR="00494977">
        <w:rPr>
          <w:b/>
          <w:bCs/>
        </w:rPr>
        <w:t>применения метода анализа событий (</w:t>
      </w:r>
      <w:r w:rsidR="00494977">
        <w:rPr>
          <w:b/>
          <w:bCs/>
          <w:lang w:val="en-US"/>
        </w:rPr>
        <w:t>“event study”)</w:t>
      </w:r>
      <w:r w:rsidR="00494977" w:rsidRPr="00E4570D">
        <w:rPr>
          <w:b/>
          <w:bCs/>
        </w:rPr>
        <w:t xml:space="preserve"> </w:t>
      </w:r>
      <w:r w:rsidRPr="00E4570D">
        <w:rPr>
          <w:b/>
          <w:bCs/>
        </w:rPr>
        <w:t xml:space="preserve">для </w:t>
      </w:r>
      <w:r>
        <w:rPr>
          <w:b/>
          <w:bCs/>
        </w:rPr>
        <w:t>китайской</w:t>
      </w:r>
      <w:r w:rsidRPr="00E4570D">
        <w:rPr>
          <w:b/>
          <w:bCs/>
        </w:rPr>
        <w:t xml:space="preserve"> выборки, случай </w:t>
      </w:r>
      <w:r>
        <w:rPr>
          <w:b/>
          <w:bCs/>
        </w:rPr>
        <w:t>негативног</w:t>
      </w:r>
      <w:r w:rsidRPr="00E4570D">
        <w:rPr>
          <w:b/>
          <w:bCs/>
        </w:rPr>
        <w:t>о сюрприза</w:t>
      </w:r>
    </w:p>
    <w:tbl>
      <w:tblPr>
        <w:tblW w:w="9368" w:type="dxa"/>
        <w:tblLook w:val="04A0" w:firstRow="1" w:lastRow="0" w:firstColumn="1" w:lastColumn="0" w:noHBand="0" w:noVBand="1"/>
      </w:tblPr>
      <w:tblGrid>
        <w:gridCol w:w="2026"/>
        <w:gridCol w:w="2026"/>
        <w:gridCol w:w="2026"/>
        <w:gridCol w:w="1476"/>
        <w:gridCol w:w="1814"/>
      </w:tblGrid>
      <w:tr w:rsidR="005E216C" w:rsidRPr="005E216C" w14:paraId="10F734D8" w14:textId="77777777" w:rsidTr="005E216C">
        <w:trPr>
          <w:trHeight w:val="252"/>
        </w:trPr>
        <w:tc>
          <w:tcPr>
            <w:tcW w:w="2026" w:type="dxa"/>
            <w:tcBorders>
              <w:top w:val="nil"/>
              <w:left w:val="nil"/>
              <w:bottom w:val="nil"/>
              <w:right w:val="nil"/>
            </w:tcBorders>
            <w:shd w:val="clear" w:color="auto" w:fill="auto"/>
            <w:noWrap/>
            <w:vAlign w:val="bottom"/>
            <w:hideMark/>
          </w:tcPr>
          <w:p w14:paraId="17DD7857" w14:textId="77777777" w:rsidR="005E216C" w:rsidRPr="005E216C" w:rsidRDefault="005E216C" w:rsidP="005E216C">
            <w:pPr>
              <w:spacing w:line="240" w:lineRule="auto"/>
              <w:ind w:firstLine="0"/>
              <w:jc w:val="center"/>
              <w:rPr>
                <w:rFonts w:ascii="Calibri" w:eastAsia="Times New Roman" w:hAnsi="Calibri" w:cs="Calibri"/>
                <w:b/>
                <w:bCs/>
                <w:color w:val="000000"/>
                <w:sz w:val="20"/>
                <w:szCs w:val="20"/>
                <w:lang w:val="en-US"/>
              </w:rPr>
            </w:pPr>
            <w:r w:rsidRPr="005E216C">
              <w:rPr>
                <w:rFonts w:ascii="Calibri" w:eastAsia="Times New Roman" w:hAnsi="Calibri" w:cs="Calibri"/>
                <w:b/>
                <w:bCs/>
                <w:color w:val="000000"/>
                <w:sz w:val="20"/>
                <w:szCs w:val="20"/>
                <w:lang w:val="en-US"/>
              </w:rPr>
              <w:t>Day relative to event</w:t>
            </w:r>
          </w:p>
        </w:tc>
        <w:tc>
          <w:tcPr>
            <w:tcW w:w="2026" w:type="dxa"/>
            <w:tcBorders>
              <w:top w:val="nil"/>
              <w:left w:val="nil"/>
              <w:bottom w:val="nil"/>
              <w:right w:val="nil"/>
            </w:tcBorders>
            <w:shd w:val="clear" w:color="auto" w:fill="auto"/>
            <w:noWrap/>
            <w:vAlign w:val="bottom"/>
            <w:hideMark/>
          </w:tcPr>
          <w:p w14:paraId="265E6963" w14:textId="77777777" w:rsidR="005E216C" w:rsidRPr="005E216C" w:rsidRDefault="005E216C" w:rsidP="005E216C">
            <w:pPr>
              <w:spacing w:line="240" w:lineRule="auto"/>
              <w:ind w:firstLine="0"/>
              <w:jc w:val="center"/>
              <w:rPr>
                <w:rFonts w:ascii="Calibri" w:eastAsia="Times New Roman" w:hAnsi="Calibri" w:cs="Calibri"/>
                <w:b/>
                <w:bCs/>
                <w:color w:val="000000"/>
                <w:sz w:val="20"/>
                <w:szCs w:val="20"/>
                <w:lang w:val="en-US"/>
              </w:rPr>
            </w:pPr>
            <w:r w:rsidRPr="005E216C">
              <w:rPr>
                <w:rFonts w:ascii="Calibri" w:eastAsia="Times New Roman" w:hAnsi="Calibri" w:cs="Calibri"/>
                <w:b/>
                <w:bCs/>
                <w:color w:val="000000"/>
                <w:sz w:val="20"/>
                <w:szCs w:val="20"/>
                <w:lang w:val="en-US"/>
              </w:rPr>
              <w:t>средний AAR</w:t>
            </w:r>
          </w:p>
        </w:tc>
        <w:tc>
          <w:tcPr>
            <w:tcW w:w="2026" w:type="dxa"/>
            <w:tcBorders>
              <w:top w:val="nil"/>
              <w:left w:val="nil"/>
              <w:bottom w:val="nil"/>
              <w:right w:val="nil"/>
            </w:tcBorders>
            <w:shd w:val="clear" w:color="auto" w:fill="auto"/>
            <w:noWrap/>
            <w:vAlign w:val="bottom"/>
            <w:hideMark/>
          </w:tcPr>
          <w:p w14:paraId="0EFDD542" w14:textId="77777777" w:rsidR="005E216C" w:rsidRPr="005E216C" w:rsidRDefault="005E216C" w:rsidP="005E216C">
            <w:pPr>
              <w:spacing w:line="240" w:lineRule="auto"/>
              <w:ind w:firstLine="0"/>
              <w:jc w:val="center"/>
              <w:rPr>
                <w:rFonts w:ascii="Calibri" w:eastAsia="Times New Roman" w:hAnsi="Calibri" w:cs="Calibri"/>
                <w:b/>
                <w:bCs/>
                <w:color w:val="000000"/>
                <w:sz w:val="20"/>
                <w:szCs w:val="20"/>
                <w:lang w:val="en-US"/>
              </w:rPr>
            </w:pPr>
            <w:r w:rsidRPr="005E216C">
              <w:rPr>
                <w:rFonts w:ascii="Calibri" w:eastAsia="Times New Roman" w:hAnsi="Calibri" w:cs="Calibri"/>
                <w:b/>
                <w:bCs/>
                <w:color w:val="000000"/>
                <w:sz w:val="20"/>
                <w:szCs w:val="20"/>
                <w:lang w:val="en-US"/>
              </w:rPr>
              <w:t>t-value AAR</w:t>
            </w:r>
          </w:p>
        </w:tc>
        <w:tc>
          <w:tcPr>
            <w:tcW w:w="1476" w:type="dxa"/>
            <w:tcBorders>
              <w:top w:val="nil"/>
              <w:left w:val="nil"/>
              <w:bottom w:val="nil"/>
              <w:right w:val="nil"/>
            </w:tcBorders>
            <w:shd w:val="clear" w:color="auto" w:fill="auto"/>
            <w:noWrap/>
            <w:vAlign w:val="bottom"/>
            <w:hideMark/>
          </w:tcPr>
          <w:p w14:paraId="3AEAF3BC" w14:textId="77777777" w:rsidR="005E216C" w:rsidRPr="005E216C" w:rsidRDefault="005E216C" w:rsidP="005E216C">
            <w:pPr>
              <w:spacing w:line="240" w:lineRule="auto"/>
              <w:ind w:firstLine="0"/>
              <w:jc w:val="center"/>
              <w:rPr>
                <w:rFonts w:ascii="Calibri" w:eastAsia="Times New Roman" w:hAnsi="Calibri" w:cs="Calibri"/>
                <w:b/>
                <w:bCs/>
                <w:color w:val="000000"/>
                <w:sz w:val="20"/>
                <w:szCs w:val="20"/>
                <w:lang w:val="en-US"/>
              </w:rPr>
            </w:pPr>
            <w:r w:rsidRPr="005E216C">
              <w:rPr>
                <w:rFonts w:ascii="Calibri" w:eastAsia="Times New Roman" w:hAnsi="Calibri" w:cs="Calibri"/>
                <w:b/>
                <w:bCs/>
                <w:color w:val="000000"/>
                <w:sz w:val="20"/>
                <w:szCs w:val="20"/>
                <w:lang w:val="en-US"/>
              </w:rPr>
              <w:t>CAAR</w:t>
            </w:r>
          </w:p>
        </w:tc>
        <w:tc>
          <w:tcPr>
            <w:tcW w:w="1814" w:type="dxa"/>
            <w:tcBorders>
              <w:top w:val="nil"/>
              <w:left w:val="nil"/>
              <w:bottom w:val="nil"/>
              <w:right w:val="nil"/>
            </w:tcBorders>
            <w:shd w:val="clear" w:color="auto" w:fill="auto"/>
            <w:noWrap/>
            <w:vAlign w:val="bottom"/>
            <w:hideMark/>
          </w:tcPr>
          <w:p w14:paraId="629533F5" w14:textId="77777777" w:rsidR="005E216C" w:rsidRPr="005E216C" w:rsidRDefault="005E216C" w:rsidP="005E216C">
            <w:pPr>
              <w:spacing w:line="240" w:lineRule="auto"/>
              <w:ind w:firstLine="0"/>
              <w:jc w:val="center"/>
              <w:rPr>
                <w:rFonts w:ascii="Calibri" w:eastAsia="Times New Roman" w:hAnsi="Calibri" w:cs="Calibri"/>
                <w:b/>
                <w:bCs/>
                <w:color w:val="000000"/>
                <w:sz w:val="20"/>
                <w:szCs w:val="20"/>
                <w:lang w:val="en-US"/>
              </w:rPr>
            </w:pPr>
            <w:r w:rsidRPr="005E216C">
              <w:rPr>
                <w:rFonts w:ascii="Calibri" w:eastAsia="Times New Roman" w:hAnsi="Calibri" w:cs="Calibri"/>
                <w:b/>
                <w:bCs/>
                <w:color w:val="000000"/>
                <w:sz w:val="20"/>
                <w:szCs w:val="20"/>
                <w:lang w:val="en-US"/>
              </w:rPr>
              <w:t>t-value CAR</w:t>
            </w:r>
          </w:p>
        </w:tc>
      </w:tr>
      <w:tr w:rsidR="005E216C" w:rsidRPr="005E216C" w14:paraId="2AF017DB" w14:textId="77777777" w:rsidTr="005E216C">
        <w:trPr>
          <w:trHeight w:val="252"/>
        </w:trPr>
        <w:tc>
          <w:tcPr>
            <w:tcW w:w="2026" w:type="dxa"/>
            <w:tcBorders>
              <w:top w:val="nil"/>
              <w:left w:val="nil"/>
              <w:bottom w:val="nil"/>
              <w:right w:val="nil"/>
            </w:tcBorders>
            <w:shd w:val="clear" w:color="000000" w:fill="D9D9D9"/>
            <w:noWrap/>
            <w:vAlign w:val="bottom"/>
            <w:hideMark/>
          </w:tcPr>
          <w:p w14:paraId="76B2F917"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-10</w:t>
            </w:r>
          </w:p>
        </w:tc>
        <w:tc>
          <w:tcPr>
            <w:tcW w:w="2026" w:type="dxa"/>
            <w:tcBorders>
              <w:top w:val="nil"/>
              <w:left w:val="nil"/>
              <w:bottom w:val="nil"/>
              <w:right w:val="nil"/>
            </w:tcBorders>
            <w:shd w:val="clear" w:color="auto" w:fill="auto"/>
            <w:noWrap/>
            <w:vAlign w:val="bottom"/>
            <w:hideMark/>
          </w:tcPr>
          <w:p w14:paraId="4B0AD127"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0,24%</w:t>
            </w:r>
          </w:p>
        </w:tc>
        <w:tc>
          <w:tcPr>
            <w:tcW w:w="2026" w:type="dxa"/>
            <w:tcBorders>
              <w:top w:val="nil"/>
              <w:left w:val="nil"/>
              <w:bottom w:val="nil"/>
              <w:right w:val="nil"/>
            </w:tcBorders>
            <w:shd w:val="clear" w:color="auto" w:fill="auto"/>
            <w:noWrap/>
            <w:vAlign w:val="bottom"/>
            <w:hideMark/>
          </w:tcPr>
          <w:p w14:paraId="7906B149"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1,0416</w:t>
            </w:r>
          </w:p>
        </w:tc>
        <w:tc>
          <w:tcPr>
            <w:tcW w:w="1476" w:type="dxa"/>
            <w:tcBorders>
              <w:top w:val="nil"/>
              <w:left w:val="nil"/>
              <w:bottom w:val="nil"/>
              <w:right w:val="nil"/>
            </w:tcBorders>
            <w:shd w:val="clear" w:color="auto" w:fill="auto"/>
            <w:noWrap/>
            <w:vAlign w:val="bottom"/>
            <w:hideMark/>
          </w:tcPr>
          <w:p w14:paraId="10CC41D9"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w:t>
            </w:r>
          </w:p>
        </w:tc>
        <w:tc>
          <w:tcPr>
            <w:tcW w:w="1814" w:type="dxa"/>
            <w:tcBorders>
              <w:top w:val="nil"/>
              <w:left w:val="nil"/>
              <w:bottom w:val="nil"/>
              <w:right w:val="nil"/>
            </w:tcBorders>
            <w:shd w:val="clear" w:color="auto" w:fill="auto"/>
            <w:noWrap/>
            <w:vAlign w:val="bottom"/>
            <w:hideMark/>
          </w:tcPr>
          <w:p w14:paraId="0706CCEB"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0,2509</w:t>
            </w:r>
          </w:p>
        </w:tc>
      </w:tr>
      <w:tr w:rsidR="005E216C" w:rsidRPr="005E216C" w14:paraId="00FD263F" w14:textId="77777777" w:rsidTr="005E216C">
        <w:trPr>
          <w:trHeight w:val="252"/>
        </w:trPr>
        <w:tc>
          <w:tcPr>
            <w:tcW w:w="2026" w:type="dxa"/>
            <w:tcBorders>
              <w:top w:val="nil"/>
              <w:left w:val="nil"/>
              <w:bottom w:val="nil"/>
              <w:right w:val="nil"/>
            </w:tcBorders>
            <w:shd w:val="clear" w:color="000000" w:fill="D9D9D9"/>
            <w:noWrap/>
            <w:vAlign w:val="bottom"/>
            <w:hideMark/>
          </w:tcPr>
          <w:p w14:paraId="57D00725"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-9</w:t>
            </w:r>
          </w:p>
        </w:tc>
        <w:tc>
          <w:tcPr>
            <w:tcW w:w="2026" w:type="dxa"/>
            <w:tcBorders>
              <w:top w:val="nil"/>
              <w:left w:val="nil"/>
              <w:bottom w:val="nil"/>
              <w:right w:val="nil"/>
            </w:tcBorders>
            <w:shd w:val="clear" w:color="auto" w:fill="auto"/>
            <w:noWrap/>
            <w:vAlign w:val="bottom"/>
            <w:hideMark/>
          </w:tcPr>
          <w:p w14:paraId="62AF076E"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-0,35%</w:t>
            </w:r>
          </w:p>
        </w:tc>
        <w:tc>
          <w:tcPr>
            <w:tcW w:w="2026" w:type="dxa"/>
            <w:tcBorders>
              <w:top w:val="nil"/>
              <w:left w:val="nil"/>
              <w:bottom w:val="nil"/>
              <w:right w:val="nil"/>
            </w:tcBorders>
            <w:shd w:val="clear" w:color="auto" w:fill="auto"/>
            <w:noWrap/>
            <w:vAlign w:val="bottom"/>
            <w:hideMark/>
          </w:tcPr>
          <w:p w14:paraId="6FBD03DD"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-1,5265</w:t>
            </w:r>
          </w:p>
        </w:tc>
        <w:tc>
          <w:tcPr>
            <w:tcW w:w="1476" w:type="dxa"/>
            <w:tcBorders>
              <w:top w:val="nil"/>
              <w:left w:val="nil"/>
              <w:bottom w:val="nil"/>
              <w:right w:val="nil"/>
            </w:tcBorders>
            <w:shd w:val="clear" w:color="auto" w:fill="auto"/>
            <w:noWrap/>
            <w:vAlign w:val="bottom"/>
            <w:hideMark/>
          </w:tcPr>
          <w:p w14:paraId="414A2D9F"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w:t>
            </w:r>
          </w:p>
        </w:tc>
        <w:tc>
          <w:tcPr>
            <w:tcW w:w="1814" w:type="dxa"/>
            <w:tcBorders>
              <w:top w:val="nil"/>
              <w:left w:val="nil"/>
              <w:bottom w:val="nil"/>
              <w:right w:val="nil"/>
            </w:tcBorders>
            <w:shd w:val="clear" w:color="auto" w:fill="auto"/>
            <w:noWrap/>
            <w:vAlign w:val="bottom"/>
            <w:hideMark/>
          </w:tcPr>
          <w:p w14:paraId="55C4FBCF"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-0,1168</w:t>
            </w:r>
          </w:p>
        </w:tc>
      </w:tr>
      <w:tr w:rsidR="005E216C" w:rsidRPr="005E216C" w14:paraId="5FB7452E" w14:textId="77777777" w:rsidTr="005E216C">
        <w:trPr>
          <w:trHeight w:val="252"/>
        </w:trPr>
        <w:tc>
          <w:tcPr>
            <w:tcW w:w="2026" w:type="dxa"/>
            <w:tcBorders>
              <w:top w:val="nil"/>
              <w:left w:val="nil"/>
              <w:bottom w:val="nil"/>
              <w:right w:val="nil"/>
            </w:tcBorders>
            <w:shd w:val="clear" w:color="000000" w:fill="D9D9D9"/>
            <w:noWrap/>
            <w:vAlign w:val="bottom"/>
            <w:hideMark/>
          </w:tcPr>
          <w:p w14:paraId="0AB0DD89"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-8</w:t>
            </w:r>
          </w:p>
        </w:tc>
        <w:tc>
          <w:tcPr>
            <w:tcW w:w="2026" w:type="dxa"/>
            <w:tcBorders>
              <w:top w:val="nil"/>
              <w:left w:val="nil"/>
              <w:bottom w:val="nil"/>
              <w:right w:val="nil"/>
            </w:tcBorders>
            <w:shd w:val="clear" w:color="auto" w:fill="auto"/>
            <w:noWrap/>
            <w:vAlign w:val="bottom"/>
            <w:hideMark/>
          </w:tcPr>
          <w:p w14:paraId="3E2F8F69"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0,12%</w:t>
            </w:r>
          </w:p>
        </w:tc>
        <w:tc>
          <w:tcPr>
            <w:tcW w:w="2026" w:type="dxa"/>
            <w:tcBorders>
              <w:top w:val="nil"/>
              <w:left w:val="nil"/>
              <w:bottom w:val="nil"/>
              <w:right w:val="nil"/>
            </w:tcBorders>
            <w:shd w:val="clear" w:color="auto" w:fill="auto"/>
            <w:noWrap/>
            <w:vAlign w:val="bottom"/>
            <w:hideMark/>
          </w:tcPr>
          <w:p w14:paraId="419D8ECA"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0,5018</w:t>
            </w:r>
          </w:p>
        </w:tc>
        <w:tc>
          <w:tcPr>
            <w:tcW w:w="1476" w:type="dxa"/>
            <w:tcBorders>
              <w:top w:val="nil"/>
              <w:left w:val="nil"/>
              <w:bottom w:val="nil"/>
              <w:right w:val="nil"/>
            </w:tcBorders>
            <w:shd w:val="clear" w:color="auto" w:fill="auto"/>
            <w:noWrap/>
            <w:vAlign w:val="bottom"/>
            <w:hideMark/>
          </w:tcPr>
          <w:p w14:paraId="547BC33C"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w:t>
            </w:r>
          </w:p>
        </w:tc>
        <w:tc>
          <w:tcPr>
            <w:tcW w:w="1814" w:type="dxa"/>
            <w:tcBorders>
              <w:top w:val="nil"/>
              <w:left w:val="nil"/>
              <w:bottom w:val="nil"/>
              <w:right w:val="nil"/>
            </w:tcBorders>
            <w:shd w:val="clear" w:color="auto" w:fill="auto"/>
            <w:noWrap/>
            <w:vAlign w:val="bottom"/>
            <w:hideMark/>
          </w:tcPr>
          <w:p w14:paraId="2AFDA532"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0,0041</w:t>
            </w:r>
          </w:p>
        </w:tc>
      </w:tr>
      <w:tr w:rsidR="005E216C" w:rsidRPr="005E216C" w14:paraId="246CB178" w14:textId="77777777" w:rsidTr="005E216C">
        <w:trPr>
          <w:trHeight w:val="252"/>
        </w:trPr>
        <w:tc>
          <w:tcPr>
            <w:tcW w:w="2026" w:type="dxa"/>
            <w:tcBorders>
              <w:top w:val="nil"/>
              <w:left w:val="nil"/>
              <w:bottom w:val="nil"/>
              <w:right w:val="nil"/>
            </w:tcBorders>
            <w:shd w:val="clear" w:color="000000" w:fill="D9D9D9"/>
            <w:noWrap/>
            <w:vAlign w:val="bottom"/>
            <w:hideMark/>
          </w:tcPr>
          <w:p w14:paraId="14E5E3A2"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-7</w:t>
            </w:r>
          </w:p>
        </w:tc>
        <w:tc>
          <w:tcPr>
            <w:tcW w:w="2026" w:type="dxa"/>
            <w:tcBorders>
              <w:top w:val="nil"/>
              <w:left w:val="nil"/>
              <w:bottom w:val="nil"/>
              <w:right w:val="nil"/>
            </w:tcBorders>
            <w:shd w:val="clear" w:color="auto" w:fill="auto"/>
            <w:noWrap/>
            <w:vAlign w:val="bottom"/>
            <w:hideMark/>
          </w:tcPr>
          <w:p w14:paraId="525A833C"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0,31%</w:t>
            </w:r>
          </w:p>
        </w:tc>
        <w:tc>
          <w:tcPr>
            <w:tcW w:w="2026" w:type="dxa"/>
            <w:tcBorders>
              <w:top w:val="nil"/>
              <w:left w:val="nil"/>
              <w:bottom w:val="nil"/>
              <w:right w:val="nil"/>
            </w:tcBorders>
            <w:shd w:val="clear" w:color="auto" w:fill="auto"/>
            <w:noWrap/>
            <w:vAlign w:val="bottom"/>
            <w:hideMark/>
          </w:tcPr>
          <w:p w14:paraId="75697647"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1,3314</w:t>
            </w:r>
          </w:p>
        </w:tc>
        <w:tc>
          <w:tcPr>
            <w:tcW w:w="1476" w:type="dxa"/>
            <w:tcBorders>
              <w:top w:val="nil"/>
              <w:left w:val="nil"/>
              <w:bottom w:val="nil"/>
              <w:right w:val="nil"/>
            </w:tcBorders>
            <w:shd w:val="clear" w:color="auto" w:fill="auto"/>
            <w:noWrap/>
            <w:vAlign w:val="bottom"/>
            <w:hideMark/>
          </w:tcPr>
          <w:p w14:paraId="69EB67B1"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w:t>
            </w:r>
          </w:p>
        </w:tc>
        <w:tc>
          <w:tcPr>
            <w:tcW w:w="1814" w:type="dxa"/>
            <w:tcBorders>
              <w:top w:val="nil"/>
              <w:left w:val="nil"/>
              <w:bottom w:val="nil"/>
              <w:right w:val="nil"/>
            </w:tcBorders>
            <w:shd w:val="clear" w:color="auto" w:fill="auto"/>
            <w:noWrap/>
            <w:vAlign w:val="bottom"/>
            <w:hideMark/>
          </w:tcPr>
          <w:p w14:paraId="06F5F2B5"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0,3247</w:t>
            </w:r>
          </w:p>
        </w:tc>
      </w:tr>
      <w:tr w:rsidR="005E216C" w:rsidRPr="005E216C" w14:paraId="5A6504A6" w14:textId="77777777" w:rsidTr="005E216C">
        <w:trPr>
          <w:trHeight w:val="252"/>
        </w:trPr>
        <w:tc>
          <w:tcPr>
            <w:tcW w:w="2026" w:type="dxa"/>
            <w:tcBorders>
              <w:top w:val="nil"/>
              <w:left w:val="nil"/>
              <w:bottom w:val="nil"/>
              <w:right w:val="nil"/>
            </w:tcBorders>
            <w:shd w:val="clear" w:color="000000" w:fill="D9D9D9"/>
            <w:noWrap/>
            <w:vAlign w:val="bottom"/>
            <w:hideMark/>
          </w:tcPr>
          <w:p w14:paraId="78E10668"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-6</w:t>
            </w:r>
          </w:p>
        </w:tc>
        <w:tc>
          <w:tcPr>
            <w:tcW w:w="2026" w:type="dxa"/>
            <w:tcBorders>
              <w:top w:val="nil"/>
              <w:left w:val="nil"/>
              <w:bottom w:val="nil"/>
              <w:right w:val="nil"/>
            </w:tcBorders>
            <w:shd w:val="clear" w:color="auto" w:fill="auto"/>
            <w:noWrap/>
            <w:vAlign w:val="bottom"/>
            <w:hideMark/>
          </w:tcPr>
          <w:p w14:paraId="6BBFBE5D"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0,17%</w:t>
            </w:r>
          </w:p>
        </w:tc>
        <w:tc>
          <w:tcPr>
            <w:tcW w:w="2026" w:type="dxa"/>
            <w:tcBorders>
              <w:top w:val="nil"/>
              <w:left w:val="nil"/>
              <w:bottom w:val="nil"/>
              <w:right w:val="nil"/>
            </w:tcBorders>
            <w:shd w:val="clear" w:color="auto" w:fill="auto"/>
            <w:noWrap/>
            <w:vAlign w:val="bottom"/>
            <w:hideMark/>
          </w:tcPr>
          <w:p w14:paraId="35F6D5EB"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0,7458</w:t>
            </w:r>
          </w:p>
        </w:tc>
        <w:tc>
          <w:tcPr>
            <w:tcW w:w="1476" w:type="dxa"/>
            <w:tcBorders>
              <w:top w:val="nil"/>
              <w:left w:val="nil"/>
              <w:bottom w:val="nil"/>
              <w:right w:val="nil"/>
            </w:tcBorders>
            <w:shd w:val="clear" w:color="auto" w:fill="auto"/>
            <w:noWrap/>
            <w:vAlign w:val="bottom"/>
            <w:hideMark/>
          </w:tcPr>
          <w:p w14:paraId="59797402"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w:t>
            </w:r>
          </w:p>
        </w:tc>
        <w:tc>
          <w:tcPr>
            <w:tcW w:w="1814" w:type="dxa"/>
            <w:tcBorders>
              <w:top w:val="nil"/>
              <w:left w:val="nil"/>
              <w:bottom w:val="nil"/>
              <w:right w:val="nil"/>
            </w:tcBorders>
            <w:shd w:val="clear" w:color="auto" w:fill="auto"/>
            <w:noWrap/>
            <w:vAlign w:val="bottom"/>
            <w:hideMark/>
          </w:tcPr>
          <w:p w14:paraId="23645030"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0,5043</w:t>
            </w:r>
          </w:p>
        </w:tc>
      </w:tr>
      <w:tr w:rsidR="005E216C" w:rsidRPr="005E216C" w14:paraId="36911ABD" w14:textId="77777777" w:rsidTr="005E216C">
        <w:trPr>
          <w:trHeight w:val="252"/>
        </w:trPr>
        <w:tc>
          <w:tcPr>
            <w:tcW w:w="2026" w:type="dxa"/>
            <w:tcBorders>
              <w:top w:val="nil"/>
              <w:left w:val="nil"/>
              <w:bottom w:val="nil"/>
              <w:right w:val="nil"/>
            </w:tcBorders>
            <w:shd w:val="clear" w:color="000000" w:fill="D9D9D9"/>
            <w:noWrap/>
            <w:vAlign w:val="bottom"/>
            <w:hideMark/>
          </w:tcPr>
          <w:p w14:paraId="70702B85"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-5</w:t>
            </w:r>
          </w:p>
        </w:tc>
        <w:tc>
          <w:tcPr>
            <w:tcW w:w="2026" w:type="dxa"/>
            <w:tcBorders>
              <w:top w:val="nil"/>
              <w:left w:val="nil"/>
              <w:bottom w:val="nil"/>
              <w:right w:val="nil"/>
            </w:tcBorders>
            <w:shd w:val="clear" w:color="auto" w:fill="auto"/>
            <w:noWrap/>
            <w:vAlign w:val="bottom"/>
            <w:hideMark/>
          </w:tcPr>
          <w:p w14:paraId="1A4277A4"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-0,51%</w:t>
            </w:r>
          </w:p>
        </w:tc>
        <w:tc>
          <w:tcPr>
            <w:tcW w:w="2026" w:type="dxa"/>
            <w:tcBorders>
              <w:top w:val="nil"/>
              <w:left w:val="nil"/>
              <w:bottom w:val="nil"/>
              <w:right w:val="nil"/>
            </w:tcBorders>
            <w:shd w:val="clear" w:color="000000" w:fill="A9D08E"/>
            <w:noWrap/>
            <w:vAlign w:val="bottom"/>
            <w:hideMark/>
          </w:tcPr>
          <w:p w14:paraId="02F49ED5"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-2,2128</w:t>
            </w:r>
          </w:p>
        </w:tc>
        <w:tc>
          <w:tcPr>
            <w:tcW w:w="1476" w:type="dxa"/>
            <w:tcBorders>
              <w:top w:val="nil"/>
              <w:left w:val="nil"/>
              <w:bottom w:val="nil"/>
              <w:right w:val="nil"/>
            </w:tcBorders>
            <w:shd w:val="clear" w:color="auto" w:fill="auto"/>
            <w:noWrap/>
            <w:vAlign w:val="bottom"/>
            <w:hideMark/>
          </w:tcPr>
          <w:p w14:paraId="7D7DF318"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w:t>
            </w:r>
          </w:p>
        </w:tc>
        <w:tc>
          <w:tcPr>
            <w:tcW w:w="1814" w:type="dxa"/>
            <w:tcBorders>
              <w:top w:val="nil"/>
              <w:left w:val="nil"/>
              <w:bottom w:val="nil"/>
              <w:right w:val="nil"/>
            </w:tcBorders>
            <w:shd w:val="clear" w:color="auto" w:fill="auto"/>
            <w:noWrap/>
            <w:vAlign w:val="bottom"/>
            <w:hideMark/>
          </w:tcPr>
          <w:p w14:paraId="63E3D5E2"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-0,0286</w:t>
            </w:r>
          </w:p>
        </w:tc>
      </w:tr>
      <w:tr w:rsidR="005E216C" w:rsidRPr="005E216C" w14:paraId="60FEE573" w14:textId="77777777" w:rsidTr="005E216C">
        <w:trPr>
          <w:trHeight w:val="252"/>
        </w:trPr>
        <w:tc>
          <w:tcPr>
            <w:tcW w:w="2026" w:type="dxa"/>
            <w:tcBorders>
              <w:top w:val="nil"/>
              <w:left w:val="nil"/>
              <w:bottom w:val="nil"/>
              <w:right w:val="nil"/>
            </w:tcBorders>
            <w:shd w:val="clear" w:color="000000" w:fill="D9D9D9"/>
            <w:noWrap/>
            <w:vAlign w:val="bottom"/>
            <w:hideMark/>
          </w:tcPr>
          <w:p w14:paraId="77BBA41E"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-4</w:t>
            </w:r>
          </w:p>
        </w:tc>
        <w:tc>
          <w:tcPr>
            <w:tcW w:w="2026" w:type="dxa"/>
            <w:tcBorders>
              <w:top w:val="nil"/>
              <w:left w:val="nil"/>
              <w:bottom w:val="nil"/>
              <w:right w:val="nil"/>
            </w:tcBorders>
            <w:shd w:val="clear" w:color="auto" w:fill="auto"/>
            <w:noWrap/>
            <w:vAlign w:val="bottom"/>
            <w:hideMark/>
          </w:tcPr>
          <w:p w14:paraId="7493FC78"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-0,09%</w:t>
            </w:r>
          </w:p>
        </w:tc>
        <w:tc>
          <w:tcPr>
            <w:tcW w:w="2026" w:type="dxa"/>
            <w:tcBorders>
              <w:top w:val="nil"/>
              <w:left w:val="nil"/>
              <w:bottom w:val="nil"/>
              <w:right w:val="nil"/>
            </w:tcBorders>
            <w:shd w:val="clear" w:color="auto" w:fill="auto"/>
            <w:noWrap/>
            <w:vAlign w:val="bottom"/>
            <w:hideMark/>
          </w:tcPr>
          <w:p w14:paraId="6C49853F"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-0,3929</w:t>
            </w:r>
          </w:p>
        </w:tc>
        <w:tc>
          <w:tcPr>
            <w:tcW w:w="1476" w:type="dxa"/>
            <w:tcBorders>
              <w:top w:val="nil"/>
              <w:left w:val="nil"/>
              <w:bottom w:val="nil"/>
              <w:right w:val="nil"/>
            </w:tcBorders>
            <w:shd w:val="clear" w:color="auto" w:fill="auto"/>
            <w:noWrap/>
            <w:vAlign w:val="bottom"/>
            <w:hideMark/>
          </w:tcPr>
          <w:p w14:paraId="5B89B340"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w:t>
            </w:r>
          </w:p>
        </w:tc>
        <w:tc>
          <w:tcPr>
            <w:tcW w:w="1814" w:type="dxa"/>
            <w:tcBorders>
              <w:top w:val="nil"/>
              <w:left w:val="nil"/>
              <w:bottom w:val="nil"/>
              <w:right w:val="nil"/>
            </w:tcBorders>
            <w:shd w:val="clear" w:color="auto" w:fill="auto"/>
            <w:noWrap/>
            <w:vAlign w:val="bottom"/>
            <w:hideMark/>
          </w:tcPr>
          <w:p w14:paraId="4CAE97B5"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-0,1232</w:t>
            </w:r>
          </w:p>
        </w:tc>
      </w:tr>
      <w:tr w:rsidR="005E216C" w:rsidRPr="005E216C" w14:paraId="71A62DD7" w14:textId="77777777" w:rsidTr="005E216C">
        <w:trPr>
          <w:trHeight w:val="252"/>
        </w:trPr>
        <w:tc>
          <w:tcPr>
            <w:tcW w:w="2026" w:type="dxa"/>
            <w:tcBorders>
              <w:top w:val="nil"/>
              <w:left w:val="nil"/>
              <w:bottom w:val="nil"/>
              <w:right w:val="nil"/>
            </w:tcBorders>
            <w:shd w:val="clear" w:color="000000" w:fill="D9D9D9"/>
            <w:noWrap/>
            <w:vAlign w:val="bottom"/>
            <w:hideMark/>
          </w:tcPr>
          <w:p w14:paraId="2DB55FCB"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-3</w:t>
            </w:r>
          </w:p>
        </w:tc>
        <w:tc>
          <w:tcPr>
            <w:tcW w:w="2026" w:type="dxa"/>
            <w:tcBorders>
              <w:top w:val="nil"/>
              <w:left w:val="nil"/>
              <w:bottom w:val="nil"/>
              <w:right w:val="nil"/>
            </w:tcBorders>
            <w:shd w:val="clear" w:color="auto" w:fill="auto"/>
            <w:noWrap/>
            <w:vAlign w:val="bottom"/>
            <w:hideMark/>
          </w:tcPr>
          <w:p w14:paraId="2228C19E"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-0,05%</w:t>
            </w:r>
          </w:p>
        </w:tc>
        <w:tc>
          <w:tcPr>
            <w:tcW w:w="2026" w:type="dxa"/>
            <w:tcBorders>
              <w:top w:val="nil"/>
              <w:left w:val="nil"/>
              <w:bottom w:val="nil"/>
              <w:right w:val="nil"/>
            </w:tcBorders>
            <w:shd w:val="clear" w:color="auto" w:fill="auto"/>
            <w:noWrap/>
            <w:vAlign w:val="bottom"/>
            <w:hideMark/>
          </w:tcPr>
          <w:p w14:paraId="1098A032"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-0,2262</w:t>
            </w:r>
          </w:p>
        </w:tc>
        <w:tc>
          <w:tcPr>
            <w:tcW w:w="1476" w:type="dxa"/>
            <w:tcBorders>
              <w:top w:val="nil"/>
              <w:left w:val="nil"/>
              <w:bottom w:val="nil"/>
              <w:right w:val="nil"/>
            </w:tcBorders>
            <w:shd w:val="clear" w:color="auto" w:fill="auto"/>
            <w:noWrap/>
            <w:vAlign w:val="bottom"/>
            <w:hideMark/>
          </w:tcPr>
          <w:p w14:paraId="4A4650D1"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w:t>
            </w:r>
          </w:p>
        </w:tc>
        <w:tc>
          <w:tcPr>
            <w:tcW w:w="1814" w:type="dxa"/>
            <w:tcBorders>
              <w:top w:val="nil"/>
              <w:left w:val="nil"/>
              <w:bottom w:val="nil"/>
              <w:right w:val="nil"/>
            </w:tcBorders>
            <w:shd w:val="clear" w:color="auto" w:fill="auto"/>
            <w:noWrap/>
            <w:vAlign w:val="bottom"/>
            <w:hideMark/>
          </w:tcPr>
          <w:p w14:paraId="069733AD"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-0,1777</w:t>
            </w:r>
          </w:p>
        </w:tc>
      </w:tr>
      <w:tr w:rsidR="005E216C" w:rsidRPr="005E216C" w14:paraId="31CD7429" w14:textId="77777777" w:rsidTr="005E216C">
        <w:trPr>
          <w:trHeight w:val="252"/>
        </w:trPr>
        <w:tc>
          <w:tcPr>
            <w:tcW w:w="2026" w:type="dxa"/>
            <w:tcBorders>
              <w:top w:val="nil"/>
              <w:left w:val="nil"/>
              <w:bottom w:val="nil"/>
              <w:right w:val="nil"/>
            </w:tcBorders>
            <w:shd w:val="clear" w:color="000000" w:fill="D9D9D9"/>
            <w:noWrap/>
            <w:vAlign w:val="bottom"/>
            <w:hideMark/>
          </w:tcPr>
          <w:p w14:paraId="0F398193"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-2</w:t>
            </w:r>
          </w:p>
        </w:tc>
        <w:tc>
          <w:tcPr>
            <w:tcW w:w="2026" w:type="dxa"/>
            <w:tcBorders>
              <w:top w:val="nil"/>
              <w:left w:val="nil"/>
              <w:bottom w:val="nil"/>
              <w:right w:val="nil"/>
            </w:tcBorders>
            <w:shd w:val="clear" w:color="auto" w:fill="auto"/>
            <w:noWrap/>
            <w:vAlign w:val="bottom"/>
            <w:hideMark/>
          </w:tcPr>
          <w:p w14:paraId="2C2CB09B"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-0,27%</w:t>
            </w:r>
          </w:p>
        </w:tc>
        <w:tc>
          <w:tcPr>
            <w:tcW w:w="2026" w:type="dxa"/>
            <w:tcBorders>
              <w:top w:val="nil"/>
              <w:left w:val="nil"/>
              <w:bottom w:val="nil"/>
              <w:right w:val="nil"/>
            </w:tcBorders>
            <w:shd w:val="clear" w:color="auto" w:fill="auto"/>
            <w:noWrap/>
            <w:vAlign w:val="bottom"/>
            <w:hideMark/>
          </w:tcPr>
          <w:p w14:paraId="497FF9BB"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-1,1642</w:t>
            </w:r>
          </w:p>
        </w:tc>
        <w:tc>
          <w:tcPr>
            <w:tcW w:w="1476" w:type="dxa"/>
            <w:tcBorders>
              <w:top w:val="nil"/>
              <w:left w:val="nil"/>
              <w:bottom w:val="nil"/>
              <w:right w:val="nil"/>
            </w:tcBorders>
            <w:shd w:val="clear" w:color="auto" w:fill="auto"/>
            <w:noWrap/>
            <w:vAlign w:val="bottom"/>
            <w:hideMark/>
          </w:tcPr>
          <w:p w14:paraId="4D9C6974"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w:t>
            </w:r>
          </w:p>
        </w:tc>
        <w:tc>
          <w:tcPr>
            <w:tcW w:w="1814" w:type="dxa"/>
            <w:tcBorders>
              <w:top w:val="nil"/>
              <w:left w:val="nil"/>
              <w:bottom w:val="nil"/>
              <w:right w:val="nil"/>
            </w:tcBorders>
            <w:shd w:val="clear" w:color="auto" w:fill="auto"/>
            <w:noWrap/>
            <w:vAlign w:val="bottom"/>
            <w:hideMark/>
          </w:tcPr>
          <w:p w14:paraId="04865DE9"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-0,4581</w:t>
            </w:r>
          </w:p>
        </w:tc>
      </w:tr>
      <w:tr w:rsidR="005E216C" w:rsidRPr="005E216C" w14:paraId="5BE3C505" w14:textId="77777777" w:rsidTr="005E216C">
        <w:trPr>
          <w:trHeight w:val="252"/>
        </w:trPr>
        <w:tc>
          <w:tcPr>
            <w:tcW w:w="2026" w:type="dxa"/>
            <w:tcBorders>
              <w:top w:val="nil"/>
              <w:left w:val="nil"/>
              <w:bottom w:val="nil"/>
              <w:right w:val="nil"/>
            </w:tcBorders>
            <w:shd w:val="clear" w:color="000000" w:fill="D9D9D9"/>
            <w:noWrap/>
            <w:vAlign w:val="bottom"/>
            <w:hideMark/>
          </w:tcPr>
          <w:p w14:paraId="31EE0B6F"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-1</w:t>
            </w:r>
          </w:p>
        </w:tc>
        <w:tc>
          <w:tcPr>
            <w:tcW w:w="2026" w:type="dxa"/>
            <w:tcBorders>
              <w:top w:val="nil"/>
              <w:left w:val="nil"/>
              <w:bottom w:val="nil"/>
              <w:right w:val="nil"/>
            </w:tcBorders>
            <w:shd w:val="clear" w:color="auto" w:fill="auto"/>
            <w:noWrap/>
            <w:vAlign w:val="bottom"/>
            <w:hideMark/>
          </w:tcPr>
          <w:p w14:paraId="14396031"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0,55%</w:t>
            </w:r>
          </w:p>
        </w:tc>
        <w:tc>
          <w:tcPr>
            <w:tcW w:w="2026" w:type="dxa"/>
            <w:tcBorders>
              <w:top w:val="nil"/>
              <w:left w:val="nil"/>
              <w:bottom w:val="nil"/>
              <w:right w:val="nil"/>
            </w:tcBorders>
            <w:shd w:val="clear" w:color="000000" w:fill="A9D08E"/>
            <w:noWrap/>
            <w:vAlign w:val="bottom"/>
            <w:hideMark/>
          </w:tcPr>
          <w:p w14:paraId="782BFA7C"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2,3695</w:t>
            </w:r>
          </w:p>
        </w:tc>
        <w:tc>
          <w:tcPr>
            <w:tcW w:w="1476" w:type="dxa"/>
            <w:tcBorders>
              <w:top w:val="nil"/>
              <w:left w:val="nil"/>
              <w:bottom w:val="nil"/>
              <w:right w:val="nil"/>
            </w:tcBorders>
            <w:shd w:val="clear" w:color="auto" w:fill="auto"/>
            <w:noWrap/>
            <w:vAlign w:val="bottom"/>
            <w:hideMark/>
          </w:tcPr>
          <w:p w14:paraId="4A355A36"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w:t>
            </w:r>
          </w:p>
        </w:tc>
        <w:tc>
          <w:tcPr>
            <w:tcW w:w="1814" w:type="dxa"/>
            <w:tcBorders>
              <w:top w:val="nil"/>
              <w:left w:val="nil"/>
              <w:bottom w:val="nil"/>
              <w:right w:val="nil"/>
            </w:tcBorders>
            <w:shd w:val="clear" w:color="auto" w:fill="auto"/>
            <w:noWrap/>
            <w:vAlign w:val="bottom"/>
            <w:hideMark/>
          </w:tcPr>
          <w:p w14:paraId="7BD2AA7F"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0,1126</w:t>
            </w:r>
          </w:p>
        </w:tc>
      </w:tr>
      <w:tr w:rsidR="005E216C" w:rsidRPr="005E216C" w14:paraId="09EA2FC7" w14:textId="77777777" w:rsidTr="005E216C">
        <w:trPr>
          <w:trHeight w:val="252"/>
        </w:trPr>
        <w:tc>
          <w:tcPr>
            <w:tcW w:w="2026" w:type="dxa"/>
            <w:tcBorders>
              <w:top w:val="nil"/>
              <w:left w:val="nil"/>
              <w:bottom w:val="nil"/>
              <w:right w:val="nil"/>
            </w:tcBorders>
            <w:shd w:val="clear" w:color="000000" w:fill="D9D9D9"/>
            <w:noWrap/>
            <w:vAlign w:val="bottom"/>
            <w:hideMark/>
          </w:tcPr>
          <w:p w14:paraId="4C0A2676"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w:t>
            </w:r>
          </w:p>
        </w:tc>
        <w:tc>
          <w:tcPr>
            <w:tcW w:w="2026" w:type="dxa"/>
            <w:tcBorders>
              <w:top w:val="nil"/>
              <w:left w:val="nil"/>
              <w:bottom w:val="nil"/>
              <w:right w:val="nil"/>
            </w:tcBorders>
            <w:shd w:val="clear" w:color="auto" w:fill="auto"/>
            <w:noWrap/>
            <w:vAlign w:val="bottom"/>
            <w:hideMark/>
          </w:tcPr>
          <w:p w14:paraId="3C7247F2"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-0,44%</w:t>
            </w:r>
          </w:p>
        </w:tc>
        <w:tc>
          <w:tcPr>
            <w:tcW w:w="2026" w:type="dxa"/>
            <w:tcBorders>
              <w:top w:val="nil"/>
              <w:left w:val="nil"/>
              <w:bottom w:val="nil"/>
              <w:right w:val="nil"/>
            </w:tcBorders>
            <w:shd w:val="clear" w:color="000000" w:fill="E2EFDA"/>
            <w:noWrap/>
            <w:vAlign w:val="bottom"/>
            <w:hideMark/>
          </w:tcPr>
          <w:p w14:paraId="073EE8E8"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-1,8763</w:t>
            </w:r>
          </w:p>
        </w:tc>
        <w:tc>
          <w:tcPr>
            <w:tcW w:w="1476" w:type="dxa"/>
            <w:tcBorders>
              <w:top w:val="nil"/>
              <w:left w:val="nil"/>
              <w:bottom w:val="nil"/>
              <w:right w:val="nil"/>
            </w:tcBorders>
            <w:shd w:val="clear" w:color="auto" w:fill="auto"/>
            <w:noWrap/>
            <w:vAlign w:val="bottom"/>
            <w:hideMark/>
          </w:tcPr>
          <w:p w14:paraId="1379C588"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w:t>
            </w:r>
          </w:p>
        </w:tc>
        <w:tc>
          <w:tcPr>
            <w:tcW w:w="1814" w:type="dxa"/>
            <w:tcBorders>
              <w:top w:val="nil"/>
              <w:left w:val="nil"/>
              <w:bottom w:val="nil"/>
              <w:right w:val="nil"/>
            </w:tcBorders>
            <w:shd w:val="clear" w:color="auto" w:fill="auto"/>
            <w:noWrap/>
            <w:vAlign w:val="bottom"/>
            <w:hideMark/>
          </w:tcPr>
          <w:p w14:paraId="419B9D31"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-0,3393</w:t>
            </w:r>
          </w:p>
        </w:tc>
      </w:tr>
      <w:tr w:rsidR="005E216C" w:rsidRPr="005E216C" w14:paraId="63CB2BDD" w14:textId="77777777" w:rsidTr="005E216C">
        <w:trPr>
          <w:trHeight w:val="252"/>
        </w:trPr>
        <w:tc>
          <w:tcPr>
            <w:tcW w:w="2026" w:type="dxa"/>
            <w:tcBorders>
              <w:top w:val="nil"/>
              <w:left w:val="nil"/>
              <w:bottom w:val="nil"/>
              <w:right w:val="nil"/>
            </w:tcBorders>
            <w:shd w:val="clear" w:color="000000" w:fill="D9D9D9"/>
            <w:noWrap/>
            <w:vAlign w:val="bottom"/>
            <w:hideMark/>
          </w:tcPr>
          <w:p w14:paraId="7837AA00"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1</w:t>
            </w:r>
          </w:p>
        </w:tc>
        <w:tc>
          <w:tcPr>
            <w:tcW w:w="2026" w:type="dxa"/>
            <w:tcBorders>
              <w:top w:val="nil"/>
              <w:left w:val="nil"/>
              <w:bottom w:val="nil"/>
              <w:right w:val="nil"/>
            </w:tcBorders>
            <w:shd w:val="clear" w:color="auto" w:fill="auto"/>
            <w:noWrap/>
            <w:vAlign w:val="bottom"/>
            <w:hideMark/>
          </w:tcPr>
          <w:p w14:paraId="0A81B17F"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-0,03%</w:t>
            </w:r>
          </w:p>
        </w:tc>
        <w:tc>
          <w:tcPr>
            <w:tcW w:w="2026" w:type="dxa"/>
            <w:tcBorders>
              <w:top w:val="nil"/>
              <w:left w:val="nil"/>
              <w:bottom w:val="nil"/>
              <w:right w:val="nil"/>
            </w:tcBorders>
            <w:shd w:val="clear" w:color="auto" w:fill="auto"/>
            <w:noWrap/>
            <w:vAlign w:val="bottom"/>
            <w:hideMark/>
          </w:tcPr>
          <w:p w14:paraId="2C831367"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-0,1142</w:t>
            </w:r>
          </w:p>
        </w:tc>
        <w:tc>
          <w:tcPr>
            <w:tcW w:w="1476" w:type="dxa"/>
            <w:tcBorders>
              <w:top w:val="nil"/>
              <w:left w:val="nil"/>
              <w:bottom w:val="nil"/>
              <w:right w:val="nil"/>
            </w:tcBorders>
            <w:shd w:val="clear" w:color="auto" w:fill="auto"/>
            <w:noWrap/>
            <w:vAlign w:val="bottom"/>
            <w:hideMark/>
          </w:tcPr>
          <w:p w14:paraId="3B8C2E16"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w:t>
            </w:r>
          </w:p>
        </w:tc>
        <w:tc>
          <w:tcPr>
            <w:tcW w:w="1814" w:type="dxa"/>
            <w:tcBorders>
              <w:top w:val="nil"/>
              <w:left w:val="nil"/>
              <w:bottom w:val="nil"/>
              <w:right w:val="nil"/>
            </w:tcBorders>
            <w:shd w:val="clear" w:color="auto" w:fill="auto"/>
            <w:noWrap/>
            <w:vAlign w:val="bottom"/>
            <w:hideMark/>
          </w:tcPr>
          <w:p w14:paraId="0BD0C967"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-0,3668</w:t>
            </w:r>
          </w:p>
        </w:tc>
      </w:tr>
      <w:tr w:rsidR="005E216C" w:rsidRPr="005E216C" w14:paraId="2C58C5CC" w14:textId="77777777" w:rsidTr="005E216C">
        <w:trPr>
          <w:trHeight w:val="252"/>
        </w:trPr>
        <w:tc>
          <w:tcPr>
            <w:tcW w:w="2026" w:type="dxa"/>
            <w:tcBorders>
              <w:top w:val="nil"/>
              <w:left w:val="nil"/>
              <w:bottom w:val="nil"/>
              <w:right w:val="nil"/>
            </w:tcBorders>
            <w:shd w:val="clear" w:color="000000" w:fill="D9D9D9"/>
            <w:noWrap/>
            <w:vAlign w:val="bottom"/>
            <w:hideMark/>
          </w:tcPr>
          <w:p w14:paraId="045EA703"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2</w:t>
            </w:r>
          </w:p>
        </w:tc>
        <w:tc>
          <w:tcPr>
            <w:tcW w:w="2026" w:type="dxa"/>
            <w:tcBorders>
              <w:top w:val="nil"/>
              <w:left w:val="nil"/>
              <w:bottom w:val="nil"/>
              <w:right w:val="nil"/>
            </w:tcBorders>
            <w:shd w:val="clear" w:color="auto" w:fill="auto"/>
            <w:noWrap/>
            <w:vAlign w:val="bottom"/>
            <w:hideMark/>
          </w:tcPr>
          <w:p w14:paraId="3E39DCE1"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0,31%</w:t>
            </w:r>
          </w:p>
        </w:tc>
        <w:tc>
          <w:tcPr>
            <w:tcW w:w="2026" w:type="dxa"/>
            <w:tcBorders>
              <w:top w:val="nil"/>
              <w:left w:val="nil"/>
              <w:bottom w:val="nil"/>
              <w:right w:val="nil"/>
            </w:tcBorders>
            <w:shd w:val="clear" w:color="auto" w:fill="auto"/>
            <w:noWrap/>
            <w:vAlign w:val="bottom"/>
            <w:hideMark/>
          </w:tcPr>
          <w:p w14:paraId="4CDB85D2"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1,3223</w:t>
            </w:r>
          </w:p>
        </w:tc>
        <w:tc>
          <w:tcPr>
            <w:tcW w:w="1476" w:type="dxa"/>
            <w:tcBorders>
              <w:top w:val="nil"/>
              <w:left w:val="nil"/>
              <w:bottom w:val="nil"/>
              <w:right w:val="nil"/>
            </w:tcBorders>
            <w:shd w:val="clear" w:color="auto" w:fill="auto"/>
            <w:noWrap/>
            <w:vAlign w:val="bottom"/>
            <w:hideMark/>
          </w:tcPr>
          <w:p w14:paraId="1CA99A37"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w:t>
            </w:r>
          </w:p>
        </w:tc>
        <w:tc>
          <w:tcPr>
            <w:tcW w:w="1814" w:type="dxa"/>
            <w:tcBorders>
              <w:top w:val="nil"/>
              <w:left w:val="nil"/>
              <w:bottom w:val="nil"/>
              <w:right w:val="nil"/>
            </w:tcBorders>
            <w:shd w:val="clear" w:color="auto" w:fill="auto"/>
            <w:noWrap/>
            <w:vAlign w:val="bottom"/>
            <w:hideMark/>
          </w:tcPr>
          <w:p w14:paraId="318DEA0D"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-0,0484</w:t>
            </w:r>
          </w:p>
        </w:tc>
      </w:tr>
      <w:tr w:rsidR="005E216C" w:rsidRPr="005E216C" w14:paraId="78A8623C" w14:textId="77777777" w:rsidTr="005E216C">
        <w:trPr>
          <w:trHeight w:val="252"/>
        </w:trPr>
        <w:tc>
          <w:tcPr>
            <w:tcW w:w="2026" w:type="dxa"/>
            <w:tcBorders>
              <w:top w:val="nil"/>
              <w:left w:val="nil"/>
              <w:bottom w:val="nil"/>
              <w:right w:val="nil"/>
            </w:tcBorders>
            <w:shd w:val="clear" w:color="000000" w:fill="D9D9D9"/>
            <w:noWrap/>
            <w:vAlign w:val="bottom"/>
            <w:hideMark/>
          </w:tcPr>
          <w:p w14:paraId="64A8EB1D"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3</w:t>
            </w:r>
          </w:p>
        </w:tc>
        <w:tc>
          <w:tcPr>
            <w:tcW w:w="2026" w:type="dxa"/>
            <w:tcBorders>
              <w:top w:val="nil"/>
              <w:left w:val="nil"/>
              <w:bottom w:val="nil"/>
              <w:right w:val="nil"/>
            </w:tcBorders>
            <w:shd w:val="clear" w:color="auto" w:fill="auto"/>
            <w:noWrap/>
            <w:vAlign w:val="bottom"/>
            <w:hideMark/>
          </w:tcPr>
          <w:p w14:paraId="3F50A6BB"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0,07%</w:t>
            </w:r>
          </w:p>
        </w:tc>
        <w:tc>
          <w:tcPr>
            <w:tcW w:w="2026" w:type="dxa"/>
            <w:tcBorders>
              <w:top w:val="nil"/>
              <w:left w:val="nil"/>
              <w:bottom w:val="nil"/>
              <w:right w:val="nil"/>
            </w:tcBorders>
            <w:shd w:val="clear" w:color="auto" w:fill="auto"/>
            <w:noWrap/>
            <w:vAlign w:val="bottom"/>
            <w:hideMark/>
          </w:tcPr>
          <w:p w14:paraId="14191CB1"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0,2968</w:t>
            </w:r>
          </w:p>
        </w:tc>
        <w:tc>
          <w:tcPr>
            <w:tcW w:w="1476" w:type="dxa"/>
            <w:tcBorders>
              <w:top w:val="nil"/>
              <w:left w:val="nil"/>
              <w:bottom w:val="nil"/>
              <w:right w:val="nil"/>
            </w:tcBorders>
            <w:shd w:val="clear" w:color="auto" w:fill="auto"/>
            <w:noWrap/>
            <w:vAlign w:val="bottom"/>
            <w:hideMark/>
          </w:tcPr>
          <w:p w14:paraId="226E7417"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w:t>
            </w:r>
          </w:p>
        </w:tc>
        <w:tc>
          <w:tcPr>
            <w:tcW w:w="1814" w:type="dxa"/>
            <w:tcBorders>
              <w:top w:val="nil"/>
              <w:left w:val="nil"/>
              <w:bottom w:val="nil"/>
              <w:right w:val="nil"/>
            </w:tcBorders>
            <w:shd w:val="clear" w:color="auto" w:fill="auto"/>
            <w:noWrap/>
            <w:vAlign w:val="bottom"/>
            <w:hideMark/>
          </w:tcPr>
          <w:p w14:paraId="02685C45"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0,0231</w:t>
            </w:r>
          </w:p>
        </w:tc>
      </w:tr>
      <w:tr w:rsidR="005E216C" w:rsidRPr="005E216C" w14:paraId="5A05B872" w14:textId="77777777" w:rsidTr="005E216C">
        <w:trPr>
          <w:trHeight w:val="252"/>
        </w:trPr>
        <w:tc>
          <w:tcPr>
            <w:tcW w:w="2026" w:type="dxa"/>
            <w:tcBorders>
              <w:top w:val="nil"/>
              <w:left w:val="nil"/>
              <w:bottom w:val="nil"/>
              <w:right w:val="nil"/>
            </w:tcBorders>
            <w:shd w:val="clear" w:color="000000" w:fill="D9D9D9"/>
            <w:noWrap/>
            <w:vAlign w:val="bottom"/>
            <w:hideMark/>
          </w:tcPr>
          <w:p w14:paraId="6ECD8737"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4</w:t>
            </w:r>
          </w:p>
        </w:tc>
        <w:tc>
          <w:tcPr>
            <w:tcW w:w="2026" w:type="dxa"/>
            <w:tcBorders>
              <w:top w:val="nil"/>
              <w:left w:val="nil"/>
              <w:bottom w:val="nil"/>
              <w:right w:val="nil"/>
            </w:tcBorders>
            <w:shd w:val="clear" w:color="auto" w:fill="auto"/>
            <w:noWrap/>
            <w:vAlign w:val="bottom"/>
            <w:hideMark/>
          </w:tcPr>
          <w:p w14:paraId="5DC93DA4"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-0,02%</w:t>
            </w:r>
          </w:p>
        </w:tc>
        <w:tc>
          <w:tcPr>
            <w:tcW w:w="2026" w:type="dxa"/>
            <w:tcBorders>
              <w:top w:val="nil"/>
              <w:left w:val="nil"/>
              <w:bottom w:val="nil"/>
              <w:right w:val="nil"/>
            </w:tcBorders>
            <w:shd w:val="clear" w:color="auto" w:fill="auto"/>
            <w:noWrap/>
            <w:vAlign w:val="bottom"/>
            <w:hideMark/>
          </w:tcPr>
          <w:p w14:paraId="0C4EB5BE"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-0,0736</w:t>
            </w:r>
          </w:p>
        </w:tc>
        <w:tc>
          <w:tcPr>
            <w:tcW w:w="1476" w:type="dxa"/>
            <w:tcBorders>
              <w:top w:val="nil"/>
              <w:left w:val="nil"/>
              <w:bottom w:val="nil"/>
              <w:right w:val="nil"/>
            </w:tcBorders>
            <w:shd w:val="clear" w:color="auto" w:fill="auto"/>
            <w:noWrap/>
            <w:vAlign w:val="bottom"/>
            <w:hideMark/>
          </w:tcPr>
          <w:p w14:paraId="429EE27C"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w:t>
            </w:r>
          </w:p>
        </w:tc>
        <w:tc>
          <w:tcPr>
            <w:tcW w:w="1814" w:type="dxa"/>
            <w:tcBorders>
              <w:top w:val="nil"/>
              <w:left w:val="nil"/>
              <w:bottom w:val="nil"/>
              <w:right w:val="nil"/>
            </w:tcBorders>
            <w:shd w:val="clear" w:color="auto" w:fill="auto"/>
            <w:noWrap/>
            <w:vAlign w:val="bottom"/>
            <w:hideMark/>
          </w:tcPr>
          <w:p w14:paraId="64638C2E"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0,0054</w:t>
            </w:r>
          </w:p>
        </w:tc>
      </w:tr>
      <w:tr w:rsidR="005E216C" w:rsidRPr="005E216C" w14:paraId="008A2DA6" w14:textId="77777777" w:rsidTr="005E216C">
        <w:trPr>
          <w:trHeight w:val="252"/>
        </w:trPr>
        <w:tc>
          <w:tcPr>
            <w:tcW w:w="2026" w:type="dxa"/>
            <w:tcBorders>
              <w:top w:val="nil"/>
              <w:left w:val="nil"/>
              <w:bottom w:val="nil"/>
              <w:right w:val="nil"/>
            </w:tcBorders>
            <w:shd w:val="clear" w:color="000000" w:fill="D9D9D9"/>
            <w:noWrap/>
            <w:vAlign w:val="bottom"/>
            <w:hideMark/>
          </w:tcPr>
          <w:p w14:paraId="2881D14C"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5</w:t>
            </w:r>
          </w:p>
        </w:tc>
        <w:tc>
          <w:tcPr>
            <w:tcW w:w="2026" w:type="dxa"/>
            <w:tcBorders>
              <w:top w:val="nil"/>
              <w:left w:val="nil"/>
              <w:bottom w:val="nil"/>
              <w:right w:val="nil"/>
            </w:tcBorders>
            <w:shd w:val="clear" w:color="auto" w:fill="auto"/>
            <w:noWrap/>
            <w:vAlign w:val="bottom"/>
            <w:hideMark/>
          </w:tcPr>
          <w:p w14:paraId="174708F5"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-0,08%</w:t>
            </w:r>
          </w:p>
        </w:tc>
        <w:tc>
          <w:tcPr>
            <w:tcW w:w="2026" w:type="dxa"/>
            <w:tcBorders>
              <w:top w:val="nil"/>
              <w:left w:val="nil"/>
              <w:bottom w:val="nil"/>
              <w:right w:val="nil"/>
            </w:tcBorders>
            <w:shd w:val="clear" w:color="auto" w:fill="auto"/>
            <w:noWrap/>
            <w:vAlign w:val="bottom"/>
            <w:hideMark/>
          </w:tcPr>
          <w:p w14:paraId="1B2F6943"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-0,3288</w:t>
            </w:r>
          </w:p>
        </w:tc>
        <w:tc>
          <w:tcPr>
            <w:tcW w:w="1476" w:type="dxa"/>
            <w:tcBorders>
              <w:top w:val="nil"/>
              <w:left w:val="nil"/>
              <w:bottom w:val="nil"/>
              <w:right w:val="nil"/>
            </w:tcBorders>
            <w:shd w:val="clear" w:color="auto" w:fill="auto"/>
            <w:noWrap/>
            <w:vAlign w:val="bottom"/>
            <w:hideMark/>
          </w:tcPr>
          <w:p w14:paraId="04E5E30B"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w:t>
            </w:r>
          </w:p>
        </w:tc>
        <w:tc>
          <w:tcPr>
            <w:tcW w:w="1814" w:type="dxa"/>
            <w:tcBorders>
              <w:top w:val="nil"/>
              <w:left w:val="nil"/>
              <w:bottom w:val="nil"/>
              <w:right w:val="nil"/>
            </w:tcBorders>
            <w:shd w:val="clear" w:color="auto" w:fill="auto"/>
            <w:noWrap/>
            <w:vAlign w:val="bottom"/>
            <w:hideMark/>
          </w:tcPr>
          <w:p w14:paraId="0243DD37"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-0,0738</w:t>
            </w:r>
          </w:p>
        </w:tc>
      </w:tr>
      <w:tr w:rsidR="005E216C" w:rsidRPr="005E216C" w14:paraId="7DFC6E17" w14:textId="77777777" w:rsidTr="005E216C">
        <w:trPr>
          <w:trHeight w:val="252"/>
        </w:trPr>
        <w:tc>
          <w:tcPr>
            <w:tcW w:w="2026" w:type="dxa"/>
            <w:tcBorders>
              <w:top w:val="nil"/>
              <w:left w:val="nil"/>
              <w:bottom w:val="nil"/>
              <w:right w:val="nil"/>
            </w:tcBorders>
            <w:shd w:val="clear" w:color="000000" w:fill="D9D9D9"/>
            <w:noWrap/>
            <w:vAlign w:val="bottom"/>
            <w:hideMark/>
          </w:tcPr>
          <w:p w14:paraId="5005E24B"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6</w:t>
            </w:r>
          </w:p>
        </w:tc>
        <w:tc>
          <w:tcPr>
            <w:tcW w:w="2026" w:type="dxa"/>
            <w:tcBorders>
              <w:top w:val="nil"/>
              <w:left w:val="nil"/>
              <w:bottom w:val="nil"/>
              <w:right w:val="nil"/>
            </w:tcBorders>
            <w:shd w:val="clear" w:color="auto" w:fill="auto"/>
            <w:noWrap/>
            <w:vAlign w:val="bottom"/>
            <w:hideMark/>
          </w:tcPr>
          <w:p w14:paraId="0CC72F6F"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-0,37%</w:t>
            </w:r>
          </w:p>
        </w:tc>
        <w:tc>
          <w:tcPr>
            <w:tcW w:w="2026" w:type="dxa"/>
            <w:tcBorders>
              <w:top w:val="nil"/>
              <w:left w:val="nil"/>
              <w:bottom w:val="nil"/>
              <w:right w:val="nil"/>
            </w:tcBorders>
            <w:shd w:val="clear" w:color="auto" w:fill="auto"/>
            <w:noWrap/>
            <w:vAlign w:val="bottom"/>
            <w:hideMark/>
          </w:tcPr>
          <w:p w14:paraId="5073740A"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-1,5777</w:t>
            </w:r>
          </w:p>
        </w:tc>
        <w:tc>
          <w:tcPr>
            <w:tcW w:w="1476" w:type="dxa"/>
            <w:tcBorders>
              <w:top w:val="nil"/>
              <w:left w:val="nil"/>
              <w:bottom w:val="nil"/>
              <w:right w:val="nil"/>
            </w:tcBorders>
            <w:shd w:val="clear" w:color="auto" w:fill="auto"/>
            <w:noWrap/>
            <w:vAlign w:val="bottom"/>
            <w:hideMark/>
          </w:tcPr>
          <w:p w14:paraId="78377EBE"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w:t>
            </w:r>
          </w:p>
        </w:tc>
        <w:tc>
          <w:tcPr>
            <w:tcW w:w="1814" w:type="dxa"/>
            <w:tcBorders>
              <w:top w:val="nil"/>
              <w:left w:val="nil"/>
              <w:bottom w:val="nil"/>
              <w:right w:val="nil"/>
            </w:tcBorders>
            <w:shd w:val="clear" w:color="auto" w:fill="auto"/>
            <w:noWrap/>
            <w:vAlign w:val="bottom"/>
            <w:hideMark/>
          </w:tcPr>
          <w:p w14:paraId="04063A6F"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-0,4538</w:t>
            </w:r>
          </w:p>
        </w:tc>
      </w:tr>
      <w:tr w:rsidR="005E216C" w:rsidRPr="005E216C" w14:paraId="476176FA" w14:textId="77777777" w:rsidTr="005E216C">
        <w:trPr>
          <w:trHeight w:val="252"/>
        </w:trPr>
        <w:tc>
          <w:tcPr>
            <w:tcW w:w="2026" w:type="dxa"/>
            <w:tcBorders>
              <w:top w:val="nil"/>
              <w:left w:val="nil"/>
              <w:bottom w:val="nil"/>
              <w:right w:val="nil"/>
            </w:tcBorders>
            <w:shd w:val="clear" w:color="000000" w:fill="D9D9D9"/>
            <w:noWrap/>
            <w:vAlign w:val="bottom"/>
            <w:hideMark/>
          </w:tcPr>
          <w:p w14:paraId="58186A48"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7</w:t>
            </w:r>
          </w:p>
        </w:tc>
        <w:tc>
          <w:tcPr>
            <w:tcW w:w="2026" w:type="dxa"/>
            <w:tcBorders>
              <w:top w:val="nil"/>
              <w:left w:val="nil"/>
              <w:bottom w:val="nil"/>
              <w:right w:val="nil"/>
            </w:tcBorders>
            <w:shd w:val="clear" w:color="auto" w:fill="auto"/>
            <w:noWrap/>
            <w:vAlign w:val="bottom"/>
            <w:hideMark/>
          </w:tcPr>
          <w:p w14:paraId="3BB224CC"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-0,47%</w:t>
            </w:r>
          </w:p>
        </w:tc>
        <w:tc>
          <w:tcPr>
            <w:tcW w:w="2026" w:type="dxa"/>
            <w:tcBorders>
              <w:top w:val="nil"/>
              <w:left w:val="nil"/>
              <w:bottom w:val="nil"/>
              <w:right w:val="nil"/>
            </w:tcBorders>
            <w:shd w:val="clear" w:color="000000" w:fill="C6E0B4"/>
            <w:noWrap/>
            <w:vAlign w:val="bottom"/>
            <w:hideMark/>
          </w:tcPr>
          <w:p w14:paraId="3C3A7B61"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-2,0154</w:t>
            </w:r>
          </w:p>
        </w:tc>
        <w:tc>
          <w:tcPr>
            <w:tcW w:w="1476" w:type="dxa"/>
            <w:tcBorders>
              <w:top w:val="nil"/>
              <w:left w:val="nil"/>
              <w:bottom w:val="nil"/>
              <w:right w:val="nil"/>
            </w:tcBorders>
            <w:shd w:val="clear" w:color="auto" w:fill="auto"/>
            <w:noWrap/>
            <w:vAlign w:val="bottom"/>
            <w:hideMark/>
          </w:tcPr>
          <w:p w14:paraId="2A9C06D7"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-1%</w:t>
            </w:r>
          </w:p>
        </w:tc>
        <w:tc>
          <w:tcPr>
            <w:tcW w:w="1814" w:type="dxa"/>
            <w:tcBorders>
              <w:top w:val="nil"/>
              <w:left w:val="nil"/>
              <w:bottom w:val="nil"/>
              <w:right w:val="nil"/>
            </w:tcBorders>
            <w:shd w:val="clear" w:color="auto" w:fill="auto"/>
            <w:noWrap/>
            <w:vAlign w:val="bottom"/>
            <w:hideMark/>
          </w:tcPr>
          <w:p w14:paraId="3EBF2E56"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-0,9392</w:t>
            </w:r>
          </w:p>
        </w:tc>
      </w:tr>
      <w:tr w:rsidR="005E216C" w:rsidRPr="005E216C" w14:paraId="2E54107E" w14:textId="77777777" w:rsidTr="005E216C">
        <w:trPr>
          <w:trHeight w:val="252"/>
        </w:trPr>
        <w:tc>
          <w:tcPr>
            <w:tcW w:w="2026" w:type="dxa"/>
            <w:tcBorders>
              <w:top w:val="nil"/>
              <w:left w:val="nil"/>
              <w:bottom w:val="nil"/>
              <w:right w:val="nil"/>
            </w:tcBorders>
            <w:shd w:val="clear" w:color="000000" w:fill="D9D9D9"/>
            <w:noWrap/>
            <w:vAlign w:val="bottom"/>
            <w:hideMark/>
          </w:tcPr>
          <w:p w14:paraId="011E3794"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8</w:t>
            </w:r>
          </w:p>
        </w:tc>
        <w:tc>
          <w:tcPr>
            <w:tcW w:w="2026" w:type="dxa"/>
            <w:tcBorders>
              <w:top w:val="nil"/>
              <w:left w:val="nil"/>
              <w:bottom w:val="nil"/>
              <w:right w:val="nil"/>
            </w:tcBorders>
            <w:shd w:val="clear" w:color="auto" w:fill="auto"/>
            <w:noWrap/>
            <w:vAlign w:val="bottom"/>
            <w:hideMark/>
          </w:tcPr>
          <w:p w14:paraId="7F46EBAC"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-0,52%</w:t>
            </w:r>
          </w:p>
        </w:tc>
        <w:tc>
          <w:tcPr>
            <w:tcW w:w="2026" w:type="dxa"/>
            <w:tcBorders>
              <w:top w:val="nil"/>
              <w:left w:val="nil"/>
              <w:bottom w:val="nil"/>
              <w:right w:val="nil"/>
            </w:tcBorders>
            <w:shd w:val="clear" w:color="000000" w:fill="C6E0B4"/>
            <w:noWrap/>
            <w:vAlign w:val="bottom"/>
            <w:hideMark/>
          </w:tcPr>
          <w:p w14:paraId="5ECC2D8E"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-2,2245</w:t>
            </w:r>
          </w:p>
        </w:tc>
        <w:tc>
          <w:tcPr>
            <w:tcW w:w="1476" w:type="dxa"/>
            <w:tcBorders>
              <w:top w:val="nil"/>
              <w:left w:val="nil"/>
              <w:bottom w:val="nil"/>
              <w:right w:val="nil"/>
            </w:tcBorders>
            <w:shd w:val="clear" w:color="auto" w:fill="auto"/>
            <w:noWrap/>
            <w:vAlign w:val="bottom"/>
            <w:hideMark/>
          </w:tcPr>
          <w:p w14:paraId="59FC8091"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-1%</w:t>
            </w:r>
          </w:p>
        </w:tc>
        <w:tc>
          <w:tcPr>
            <w:tcW w:w="1814" w:type="dxa"/>
            <w:tcBorders>
              <w:top w:val="nil"/>
              <w:left w:val="nil"/>
              <w:bottom w:val="nil"/>
              <w:right w:val="nil"/>
            </w:tcBorders>
            <w:shd w:val="clear" w:color="000000" w:fill="FFFFFF"/>
            <w:noWrap/>
            <w:vAlign w:val="bottom"/>
            <w:hideMark/>
          </w:tcPr>
          <w:p w14:paraId="46DD2EAA"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-1,4749</w:t>
            </w:r>
          </w:p>
        </w:tc>
      </w:tr>
      <w:tr w:rsidR="005E216C" w:rsidRPr="005E216C" w14:paraId="1DC6568D" w14:textId="77777777" w:rsidTr="005E216C">
        <w:trPr>
          <w:trHeight w:val="252"/>
        </w:trPr>
        <w:tc>
          <w:tcPr>
            <w:tcW w:w="2026" w:type="dxa"/>
            <w:tcBorders>
              <w:top w:val="nil"/>
              <w:left w:val="nil"/>
              <w:bottom w:val="nil"/>
              <w:right w:val="nil"/>
            </w:tcBorders>
            <w:shd w:val="clear" w:color="000000" w:fill="D9D9D9"/>
            <w:noWrap/>
            <w:vAlign w:val="bottom"/>
            <w:hideMark/>
          </w:tcPr>
          <w:p w14:paraId="6A09785B"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9</w:t>
            </w:r>
          </w:p>
        </w:tc>
        <w:tc>
          <w:tcPr>
            <w:tcW w:w="2026" w:type="dxa"/>
            <w:tcBorders>
              <w:top w:val="nil"/>
              <w:left w:val="nil"/>
              <w:bottom w:val="nil"/>
              <w:right w:val="nil"/>
            </w:tcBorders>
            <w:shd w:val="clear" w:color="auto" w:fill="auto"/>
            <w:noWrap/>
            <w:vAlign w:val="bottom"/>
            <w:hideMark/>
          </w:tcPr>
          <w:p w14:paraId="085B18F3"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-0,29%</w:t>
            </w:r>
          </w:p>
        </w:tc>
        <w:tc>
          <w:tcPr>
            <w:tcW w:w="2026" w:type="dxa"/>
            <w:tcBorders>
              <w:top w:val="nil"/>
              <w:left w:val="nil"/>
              <w:bottom w:val="nil"/>
              <w:right w:val="nil"/>
            </w:tcBorders>
            <w:shd w:val="clear" w:color="auto" w:fill="auto"/>
            <w:noWrap/>
            <w:vAlign w:val="bottom"/>
            <w:hideMark/>
          </w:tcPr>
          <w:p w14:paraId="29D8C63F"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-1,2637</w:t>
            </w:r>
          </w:p>
        </w:tc>
        <w:tc>
          <w:tcPr>
            <w:tcW w:w="1476" w:type="dxa"/>
            <w:tcBorders>
              <w:top w:val="nil"/>
              <w:left w:val="nil"/>
              <w:bottom w:val="nil"/>
              <w:right w:val="nil"/>
            </w:tcBorders>
            <w:shd w:val="clear" w:color="auto" w:fill="auto"/>
            <w:noWrap/>
            <w:vAlign w:val="bottom"/>
            <w:hideMark/>
          </w:tcPr>
          <w:p w14:paraId="7C3A198D"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-2%</w:t>
            </w:r>
          </w:p>
        </w:tc>
        <w:tc>
          <w:tcPr>
            <w:tcW w:w="1814" w:type="dxa"/>
            <w:tcBorders>
              <w:top w:val="nil"/>
              <w:left w:val="nil"/>
              <w:bottom w:val="nil"/>
              <w:right w:val="nil"/>
            </w:tcBorders>
            <w:shd w:val="clear" w:color="000000" w:fill="E2EFDA"/>
            <w:noWrap/>
            <w:vAlign w:val="bottom"/>
            <w:hideMark/>
          </w:tcPr>
          <w:p w14:paraId="5BF33F0A"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-1,7793</w:t>
            </w:r>
          </w:p>
        </w:tc>
      </w:tr>
      <w:tr w:rsidR="005E216C" w:rsidRPr="005E216C" w14:paraId="4C6375D0" w14:textId="77777777" w:rsidTr="005E216C">
        <w:trPr>
          <w:trHeight w:val="252"/>
        </w:trPr>
        <w:tc>
          <w:tcPr>
            <w:tcW w:w="2026" w:type="dxa"/>
            <w:tcBorders>
              <w:top w:val="nil"/>
              <w:left w:val="nil"/>
              <w:bottom w:val="nil"/>
              <w:right w:val="nil"/>
            </w:tcBorders>
            <w:shd w:val="clear" w:color="000000" w:fill="D9D9D9"/>
            <w:noWrap/>
            <w:vAlign w:val="bottom"/>
            <w:hideMark/>
          </w:tcPr>
          <w:p w14:paraId="5CF3129F"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10</w:t>
            </w:r>
          </w:p>
        </w:tc>
        <w:tc>
          <w:tcPr>
            <w:tcW w:w="2026" w:type="dxa"/>
            <w:tcBorders>
              <w:top w:val="nil"/>
              <w:left w:val="nil"/>
              <w:bottom w:val="nil"/>
              <w:right w:val="nil"/>
            </w:tcBorders>
            <w:shd w:val="clear" w:color="auto" w:fill="auto"/>
            <w:noWrap/>
            <w:vAlign w:val="bottom"/>
            <w:hideMark/>
          </w:tcPr>
          <w:p w14:paraId="741E4ED3"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-0,23%</w:t>
            </w:r>
          </w:p>
        </w:tc>
        <w:tc>
          <w:tcPr>
            <w:tcW w:w="2026" w:type="dxa"/>
            <w:tcBorders>
              <w:top w:val="nil"/>
              <w:left w:val="nil"/>
              <w:bottom w:val="nil"/>
              <w:right w:val="nil"/>
            </w:tcBorders>
            <w:shd w:val="clear" w:color="auto" w:fill="auto"/>
            <w:noWrap/>
            <w:vAlign w:val="bottom"/>
            <w:hideMark/>
          </w:tcPr>
          <w:p w14:paraId="49C2F887"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-0,9996</w:t>
            </w:r>
          </w:p>
        </w:tc>
        <w:tc>
          <w:tcPr>
            <w:tcW w:w="1476" w:type="dxa"/>
            <w:tcBorders>
              <w:top w:val="nil"/>
              <w:left w:val="nil"/>
              <w:bottom w:val="nil"/>
              <w:right w:val="nil"/>
            </w:tcBorders>
            <w:shd w:val="clear" w:color="auto" w:fill="auto"/>
            <w:noWrap/>
            <w:vAlign w:val="bottom"/>
            <w:hideMark/>
          </w:tcPr>
          <w:p w14:paraId="57C520E4"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-1,95%</w:t>
            </w:r>
          </w:p>
        </w:tc>
        <w:tc>
          <w:tcPr>
            <w:tcW w:w="1814" w:type="dxa"/>
            <w:tcBorders>
              <w:top w:val="nil"/>
              <w:left w:val="nil"/>
              <w:bottom w:val="nil"/>
              <w:right w:val="nil"/>
            </w:tcBorders>
            <w:shd w:val="clear" w:color="000000" w:fill="A9D08E"/>
            <w:noWrap/>
            <w:vAlign w:val="bottom"/>
            <w:hideMark/>
          </w:tcPr>
          <w:p w14:paraId="408BC077"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-2,0200</w:t>
            </w:r>
          </w:p>
        </w:tc>
      </w:tr>
    </w:tbl>
    <w:p w14:paraId="58519FD9" w14:textId="77777777" w:rsidR="005E216C" w:rsidRPr="00F25127" w:rsidRDefault="005E216C" w:rsidP="00F25127">
      <w:pPr>
        <w:ind w:firstLine="0"/>
        <w:rPr>
          <w:b/>
          <w:bCs/>
        </w:rPr>
      </w:pPr>
    </w:p>
    <w:p w14:paraId="2E1F9F9A" w14:textId="0E9E17FA" w:rsidR="00CE133B" w:rsidRPr="00F25127" w:rsidRDefault="00CE133B" w:rsidP="00CE133B">
      <w:pPr>
        <w:ind w:firstLine="0"/>
        <w:rPr>
          <w:b/>
          <w:bCs/>
        </w:rPr>
      </w:pPr>
      <w:r w:rsidRPr="00E4570D">
        <w:rPr>
          <w:b/>
          <w:bCs/>
        </w:rPr>
        <w:t xml:space="preserve">Приложение </w:t>
      </w:r>
      <w:r>
        <w:rPr>
          <w:b/>
          <w:bCs/>
        </w:rPr>
        <w:t>4</w:t>
      </w:r>
      <w:r w:rsidRPr="00E4570D">
        <w:rPr>
          <w:b/>
          <w:bCs/>
        </w:rPr>
        <w:t xml:space="preserve">. </w:t>
      </w:r>
      <w:r w:rsidR="00494977" w:rsidRPr="00E4570D">
        <w:rPr>
          <w:b/>
          <w:bCs/>
        </w:rPr>
        <w:t xml:space="preserve">Результат </w:t>
      </w:r>
      <w:r w:rsidR="00494977">
        <w:rPr>
          <w:b/>
          <w:bCs/>
        </w:rPr>
        <w:t>применения метода анализа событий (</w:t>
      </w:r>
      <w:r w:rsidR="00494977">
        <w:rPr>
          <w:b/>
          <w:bCs/>
          <w:lang w:val="en-US"/>
        </w:rPr>
        <w:t>“event study”)</w:t>
      </w:r>
      <w:r w:rsidR="00494977" w:rsidRPr="00E4570D">
        <w:rPr>
          <w:b/>
          <w:bCs/>
        </w:rPr>
        <w:t xml:space="preserve"> </w:t>
      </w:r>
      <w:r w:rsidRPr="00E4570D">
        <w:rPr>
          <w:b/>
          <w:bCs/>
        </w:rPr>
        <w:t xml:space="preserve">для </w:t>
      </w:r>
      <w:r>
        <w:rPr>
          <w:b/>
          <w:bCs/>
        </w:rPr>
        <w:t>китайской</w:t>
      </w:r>
      <w:r w:rsidRPr="00E4570D">
        <w:rPr>
          <w:b/>
          <w:bCs/>
        </w:rPr>
        <w:t xml:space="preserve"> выборки, случай </w:t>
      </w:r>
      <w:r>
        <w:rPr>
          <w:b/>
          <w:bCs/>
        </w:rPr>
        <w:t>позитивного</w:t>
      </w:r>
      <w:r w:rsidRPr="00E4570D">
        <w:rPr>
          <w:b/>
          <w:bCs/>
        </w:rPr>
        <w:t xml:space="preserve"> сюрприза</w:t>
      </w:r>
    </w:p>
    <w:p w14:paraId="23F32F83" w14:textId="77777777" w:rsidR="00F25127" w:rsidRDefault="00F25127" w:rsidP="00CE133B">
      <w:pPr>
        <w:ind w:firstLine="0"/>
      </w:pPr>
    </w:p>
    <w:tbl>
      <w:tblPr>
        <w:tblW w:w="9446" w:type="dxa"/>
        <w:tblLook w:val="04A0" w:firstRow="1" w:lastRow="0" w:firstColumn="1" w:lastColumn="0" w:noHBand="0" w:noVBand="1"/>
      </w:tblPr>
      <w:tblGrid>
        <w:gridCol w:w="2043"/>
        <w:gridCol w:w="2043"/>
        <w:gridCol w:w="2043"/>
        <w:gridCol w:w="1488"/>
        <w:gridCol w:w="1829"/>
      </w:tblGrid>
      <w:tr w:rsidR="005E216C" w:rsidRPr="005E216C" w14:paraId="7D21E9E5" w14:textId="77777777" w:rsidTr="005E216C">
        <w:trPr>
          <w:trHeight w:val="260"/>
        </w:trPr>
        <w:tc>
          <w:tcPr>
            <w:tcW w:w="2043" w:type="dxa"/>
            <w:tcBorders>
              <w:top w:val="nil"/>
              <w:left w:val="nil"/>
              <w:bottom w:val="nil"/>
              <w:right w:val="nil"/>
            </w:tcBorders>
            <w:shd w:val="clear" w:color="auto" w:fill="auto"/>
            <w:noWrap/>
            <w:vAlign w:val="bottom"/>
            <w:hideMark/>
          </w:tcPr>
          <w:p w14:paraId="54E6DE3F" w14:textId="77777777" w:rsidR="005E216C" w:rsidRPr="005E216C" w:rsidRDefault="005E216C" w:rsidP="005E216C">
            <w:pPr>
              <w:spacing w:line="240" w:lineRule="auto"/>
              <w:ind w:firstLine="0"/>
              <w:jc w:val="center"/>
              <w:rPr>
                <w:rFonts w:ascii="Calibri" w:eastAsia="Times New Roman" w:hAnsi="Calibri" w:cs="Calibri"/>
                <w:b/>
                <w:bCs/>
                <w:color w:val="000000"/>
                <w:sz w:val="20"/>
                <w:szCs w:val="20"/>
                <w:lang w:val="en-US"/>
              </w:rPr>
            </w:pPr>
            <w:r w:rsidRPr="005E216C">
              <w:rPr>
                <w:rFonts w:ascii="Calibri" w:eastAsia="Times New Roman" w:hAnsi="Calibri" w:cs="Calibri"/>
                <w:b/>
                <w:bCs/>
                <w:color w:val="000000"/>
                <w:sz w:val="20"/>
                <w:szCs w:val="20"/>
                <w:lang w:val="en-US"/>
              </w:rPr>
              <w:t>Day relative to event</w:t>
            </w:r>
          </w:p>
        </w:tc>
        <w:tc>
          <w:tcPr>
            <w:tcW w:w="2043" w:type="dxa"/>
            <w:tcBorders>
              <w:top w:val="nil"/>
              <w:left w:val="nil"/>
              <w:bottom w:val="nil"/>
              <w:right w:val="nil"/>
            </w:tcBorders>
            <w:shd w:val="clear" w:color="auto" w:fill="auto"/>
            <w:noWrap/>
            <w:vAlign w:val="bottom"/>
            <w:hideMark/>
          </w:tcPr>
          <w:p w14:paraId="37E8F107" w14:textId="77777777" w:rsidR="005E216C" w:rsidRPr="005E216C" w:rsidRDefault="005E216C" w:rsidP="005E216C">
            <w:pPr>
              <w:spacing w:line="240" w:lineRule="auto"/>
              <w:ind w:firstLine="0"/>
              <w:jc w:val="center"/>
              <w:rPr>
                <w:rFonts w:ascii="Calibri" w:eastAsia="Times New Roman" w:hAnsi="Calibri" w:cs="Calibri"/>
                <w:b/>
                <w:bCs/>
                <w:color w:val="000000"/>
                <w:sz w:val="20"/>
                <w:szCs w:val="20"/>
                <w:lang w:val="en-US"/>
              </w:rPr>
            </w:pPr>
            <w:r w:rsidRPr="005E216C">
              <w:rPr>
                <w:rFonts w:ascii="Calibri" w:eastAsia="Times New Roman" w:hAnsi="Calibri" w:cs="Calibri"/>
                <w:b/>
                <w:bCs/>
                <w:color w:val="000000"/>
                <w:sz w:val="20"/>
                <w:szCs w:val="20"/>
                <w:lang w:val="en-US"/>
              </w:rPr>
              <w:t>средний AAR</w:t>
            </w:r>
          </w:p>
        </w:tc>
        <w:tc>
          <w:tcPr>
            <w:tcW w:w="2043" w:type="dxa"/>
            <w:tcBorders>
              <w:top w:val="nil"/>
              <w:left w:val="nil"/>
              <w:bottom w:val="nil"/>
              <w:right w:val="nil"/>
            </w:tcBorders>
            <w:shd w:val="clear" w:color="auto" w:fill="auto"/>
            <w:noWrap/>
            <w:vAlign w:val="bottom"/>
            <w:hideMark/>
          </w:tcPr>
          <w:p w14:paraId="7E7360B9" w14:textId="77777777" w:rsidR="005E216C" w:rsidRPr="005E216C" w:rsidRDefault="005E216C" w:rsidP="005E216C">
            <w:pPr>
              <w:spacing w:line="240" w:lineRule="auto"/>
              <w:ind w:firstLine="0"/>
              <w:jc w:val="center"/>
              <w:rPr>
                <w:rFonts w:ascii="Calibri" w:eastAsia="Times New Roman" w:hAnsi="Calibri" w:cs="Calibri"/>
                <w:b/>
                <w:bCs/>
                <w:color w:val="000000"/>
                <w:sz w:val="20"/>
                <w:szCs w:val="20"/>
                <w:lang w:val="en-US"/>
              </w:rPr>
            </w:pPr>
            <w:r w:rsidRPr="005E216C">
              <w:rPr>
                <w:rFonts w:ascii="Calibri" w:eastAsia="Times New Roman" w:hAnsi="Calibri" w:cs="Calibri"/>
                <w:b/>
                <w:bCs/>
                <w:color w:val="000000"/>
                <w:sz w:val="20"/>
                <w:szCs w:val="20"/>
                <w:lang w:val="en-US"/>
              </w:rPr>
              <w:t>t-value AAR</w:t>
            </w:r>
          </w:p>
        </w:tc>
        <w:tc>
          <w:tcPr>
            <w:tcW w:w="1488" w:type="dxa"/>
            <w:tcBorders>
              <w:top w:val="nil"/>
              <w:left w:val="nil"/>
              <w:bottom w:val="nil"/>
              <w:right w:val="nil"/>
            </w:tcBorders>
            <w:shd w:val="clear" w:color="auto" w:fill="auto"/>
            <w:noWrap/>
            <w:vAlign w:val="bottom"/>
            <w:hideMark/>
          </w:tcPr>
          <w:p w14:paraId="2B52887A" w14:textId="77777777" w:rsidR="005E216C" w:rsidRPr="005E216C" w:rsidRDefault="005E216C" w:rsidP="005E216C">
            <w:pPr>
              <w:spacing w:line="240" w:lineRule="auto"/>
              <w:ind w:firstLine="0"/>
              <w:jc w:val="center"/>
              <w:rPr>
                <w:rFonts w:ascii="Calibri" w:eastAsia="Times New Roman" w:hAnsi="Calibri" w:cs="Calibri"/>
                <w:b/>
                <w:bCs/>
                <w:color w:val="000000"/>
                <w:sz w:val="20"/>
                <w:szCs w:val="20"/>
                <w:lang w:val="en-US"/>
              </w:rPr>
            </w:pPr>
            <w:r w:rsidRPr="005E216C">
              <w:rPr>
                <w:rFonts w:ascii="Calibri" w:eastAsia="Times New Roman" w:hAnsi="Calibri" w:cs="Calibri"/>
                <w:b/>
                <w:bCs/>
                <w:color w:val="000000"/>
                <w:sz w:val="20"/>
                <w:szCs w:val="20"/>
                <w:lang w:val="en-US"/>
              </w:rPr>
              <w:t>CAAR</w:t>
            </w:r>
          </w:p>
        </w:tc>
        <w:tc>
          <w:tcPr>
            <w:tcW w:w="1829" w:type="dxa"/>
            <w:tcBorders>
              <w:top w:val="nil"/>
              <w:left w:val="nil"/>
              <w:bottom w:val="nil"/>
              <w:right w:val="nil"/>
            </w:tcBorders>
            <w:shd w:val="clear" w:color="auto" w:fill="auto"/>
            <w:noWrap/>
            <w:vAlign w:val="bottom"/>
            <w:hideMark/>
          </w:tcPr>
          <w:p w14:paraId="184A801F" w14:textId="77777777" w:rsidR="005E216C" w:rsidRPr="005E216C" w:rsidRDefault="005E216C" w:rsidP="005E216C">
            <w:pPr>
              <w:spacing w:line="240" w:lineRule="auto"/>
              <w:ind w:firstLine="0"/>
              <w:jc w:val="center"/>
              <w:rPr>
                <w:rFonts w:ascii="Calibri" w:eastAsia="Times New Roman" w:hAnsi="Calibri" w:cs="Calibri"/>
                <w:b/>
                <w:bCs/>
                <w:color w:val="000000"/>
                <w:sz w:val="20"/>
                <w:szCs w:val="20"/>
                <w:lang w:val="en-US"/>
              </w:rPr>
            </w:pPr>
            <w:r w:rsidRPr="005E216C">
              <w:rPr>
                <w:rFonts w:ascii="Calibri" w:eastAsia="Times New Roman" w:hAnsi="Calibri" w:cs="Calibri"/>
                <w:b/>
                <w:bCs/>
                <w:color w:val="000000"/>
                <w:sz w:val="20"/>
                <w:szCs w:val="20"/>
                <w:lang w:val="en-US"/>
              </w:rPr>
              <w:t>t-value CAR</w:t>
            </w:r>
          </w:p>
        </w:tc>
      </w:tr>
      <w:tr w:rsidR="005E216C" w:rsidRPr="005E216C" w14:paraId="3A9C7D71" w14:textId="77777777" w:rsidTr="005E216C">
        <w:trPr>
          <w:trHeight w:val="260"/>
        </w:trPr>
        <w:tc>
          <w:tcPr>
            <w:tcW w:w="2043" w:type="dxa"/>
            <w:tcBorders>
              <w:top w:val="nil"/>
              <w:left w:val="nil"/>
              <w:bottom w:val="nil"/>
              <w:right w:val="nil"/>
            </w:tcBorders>
            <w:shd w:val="clear" w:color="000000" w:fill="D9D9D9"/>
            <w:noWrap/>
            <w:vAlign w:val="bottom"/>
            <w:hideMark/>
          </w:tcPr>
          <w:p w14:paraId="1916DEB8"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-10</w:t>
            </w:r>
          </w:p>
        </w:tc>
        <w:tc>
          <w:tcPr>
            <w:tcW w:w="2043" w:type="dxa"/>
            <w:tcBorders>
              <w:top w:val="nil"/>
              <w:left w:val="nil"/>
              <w:bottom w:val="nil"/>
              <w:right w:val="nil"/>
            </w:tcBorders>
            <w:shd w:val="clear" w:color="auto" w:fill="auto"/>
            <w:noWrap/>
            <w:vAlign w:val="bottom"/>
            <w:hideMark/>
          </w:tcPr>
          <w:p w14:paraId="1D6AFB4F"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0,11%</w:t>
            </w:r>
          </w:p>
        </w:tc>
        <w:tc>
          <w:tcPr>
            <w:tcW w:w="2043" w:type="dxa"/>
            <w:tcBorders>
              <w:top w:val="nil"/>
              <w:left w:val="nil"/>
              <w:bottom w:val="nil"/>
              <w:right w:val="nil"/>
            </w:tcBorders>
            <w:shd w:val="clear" w:color="auto" w:fill="auto"/>
            <w:noWrap/>
            <w:vAlign w:val="bottom"/>
            <w:hideMark/>
          </w:tcPr>
          <w:p w14:paraId="2C37BD99"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0,3465</w:t>
            </w:r>
          </w:p>
        </w:tc>
        <w:tc>
          <w:tcPr>
            <w:tcW w:w="1488" w:type="dxa"/>
            <w:tcBorders>
              <w:top w:val="nil"/>
              <w:left w:val="nil"/>
              <w:bottom w:val="nil"/>
              <w:right w:val="nil"/>
            </w:tcBorders>
            <w:shd w:val="clear" w:color="auto" w:fill="auto"/>
            <w:noWrap/>
            <w:vAlign w:val="bottom"/>
            <w:hideMark/>
          </w:tcPr>
          <w:p w14:paraId="71715D63"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w:t>
            </w:r>
          </w:p>
        </w:tc>
        <w:tc>
          <w:tcPr>
            <w:tcW w:w="1829" w:type="dxa"/>
            <w:tcBorders>
              <w:top w:val="nil"/>
              <w:left w:val="nil"/>
              <w:bottom w:val="nil"/>
              <w:right w:val="nil"/>
            </w:tcBorders>
            <w:shd w:val="clear" w:color="auto" w:fill="auto"/>
            <w:noWrap/>
            <w:vAlign w:val="bottom"/>
            <w:hideMark/>
          </w:tcPr>
          <w:p w14:paraId="251891C2"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0,1202</w:t>
            </w:r>
          </w:p>
        </w:tc>
      </w:tr>
      <w:tr w:rsidR="005E216C" w:rsidRPr="005E216C" w14:paraId="7A9D97B2" w14:textId="77777777" w:rsidTr="005E216C">
        <w:trPr>
          <w:trHeight w:val="260"/>
        </w:trPr>
        <w:tc>
          <w:tcPr>
            <w:tcW w:w="2043" w:type="dxa"/>
            <w:tcBorders>
              <w:top w:val="nil"/>
              <w:left w:val="nil"/>
              <w:bottom w:val="nil"/>
              <w:right w:val="nil"/>
            </w:tcBorders>
            <w:shd w:val="clear" w:color="000000" w:fill="D9D9D9"/>
            <w:noWrap/>
            <w:vAlign w:val="bottom"/>
            <w:hideMark/>
          </w:tcPr>
          <w:p w14:paraId="20853A36"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-9</w:t>
            </w:r>
          </w:p>
        </w:tc>
        <w:tc>
          <w:tcPr>
            <w:tcW w:w="2043" w:type="dxa"/>
            <w:tcBorders>
              <w:top w:val="nil"/>
              <w:left w:val="nil"/>
              <w:bottom w:val="nil"/>
              <w:right w:val="nil"/>
            </w:tcBorders>
            <w:shd w:val="clear" w:color="auto" w:fill="auto"/>
            <w:noWrap/>
            <w:vAlign w:val="bottom"/>
            <w:hideMark/>
          </w:tcPr>
          <w:p w14:paraId="3216DB25"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-0,08%</w:t>
            </w:r>
          </w:p>
        </w:tc>
        <w:tc>
          <w:tcPr>
            <w:tcW w:w="2043" w:type="dxa"/>
            <w:tcBorders>
              <w:top w:val="nil"/>
              <w:left w:val="nil"/>
              <w:bottom w:val="nil"/>
              <w:right w:val="nil"/>
            </w:tcBorders>
            <w:shd w:val="clear" w:color="auto" w:fill="auto"/>
            <w:noWrap/>
            <w:vAlign w:val="bottom"/>
            <w:hideMark/>
          </w:tcPr>
          <w:p w14:paraId="31E1F6C1"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-0,2631</w:t>
            </w:r>
          </w:p>
        </w:tc>
        <w:tc>
          <w:tcPr>
            <w:tcW w:w="1488" w:type="dxa"/>
            <w:tcBorders>
              <w:top w:val="nil"/>
              <w:left w:val="nil"/>
              <w:bottom w:val="nil"/>
              <w:right w:val="nil"/>
            </w:tcBorders>
            <w:shd w:val="clear" w:color="auto" w:fill="auto"/>
            <w:noWrap/>
            <w:vAlign w:val="bottom"/>
            <w:hideMark/>
          </w:tcPr>
          <w:p w14:paraId="44C41B8F"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w:t>
            </w:r>
          </w:p>
        </w:tc>
        <w:tc>
          <w:tcPr>
            <w:tcW w:w="1829" w:type="dxa"/>
            <w:tcBorders>
              <w:top w:val="nil"/>
              <w:left w:val="nil"/>
              <w:bottom w:val="nil"/>
              <w:right w:val="nil"/>
            </w:tcBorders>
            <w:shd w:val="clear" w:color="auto" w:fill="auto"/>
            <w:noWrap/>
            <w:vAlign w:val="bottom"/>
            <w:hideMark/>
          </w:tcPr>
          <w:p w14:paraId="326227CC"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0,0289</w:t>
            </w:r>
          </w:p>
        </w:tc>
      </w:tr>
      <w:tr w:rsidR="005E216C" w:rsidRPr="005E216C" w14:paraId="0EEAB786" w14:textId="77777777" w:rsidTr="005E216C">
        <w:trPr>
          <w:trHeight w:val="260"/>
        </w:trPr>
        <w:tc>
          <w:tcPr>
            <w:tcW w:w="2043" w:type="dxa"/>
            <w:tcBorders>
              <w:top w:val="nil"/>
              <w:left w:val="nil"/>
              <w:bottom w:val="nil"/>
              <w:right w:val="nil"/>
            </w:tcBorders>
            <w:shd w:val="clear" w:color="000000" w:fill="D9D9D9"/>
            <w:noWrap/>
            <w:vAlign w:val="bottom"/>
            <w:hideMark/>
          </w:tcPr>
          <w:p w14:paraId="0AD178A9"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-8</w:t>
            </w:r>
          </w:p>
        </w:tc>
        <w:tc>
          <w:tcPr>
            <w:tcW w:w="2043" w:type="dxa"/>
            <w:tcBorders>
              <w:top w:val="nil"/>
              <w:left w:val="nil"/>
              <w:bottom w:val="nil"/>
              <w:right w:val="nil"/>
            </w:tcBorders>
            <w:shd w:val="clear" w:color="auto" w:fill="auto"/>
            <w:noWrap/>
            <w:vAlign w:val="bottom"/>
            <w:hideMark/>
          </w:tcPr>
          <w:p w14:paraId="210E9B93"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0,05%</w:t>
            </w:r>
          </w:p>
        </w:tc>
        <w:tc>
          <w:tcPr>
            <w:tcW w:w="2043" w:type="dxa"/>
            <w:tcBorders>
              <w:top w:val="nil"/>
              <w:left w:val="nil"/>
              <w:bottom w:val="nil"/>
              <w:right w:val="nil"/>
            </w:tcBorders>
            <w:shd w:val="clear" w:color="auto" w:fill="auto"/>
            <w:noWrap/>
            <w:vAlign w:val="bottom"/>
            <w:hideMark/>
          </w:tcPr>
          <w:p w14:paraId="48732860"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0,1589</w:t>
            </w:r>
          </w:p>
        </w:tc>
        <w:tc>
          <w:tcPr>
            <w:tcW w:w="1488" w:type="dxa"/>
            <w:tcBorders>
              <w:top w:val="nil"/>
              <w:left w:val="nil"/>
              <w:bottom w:val="nil"/>
              <w:right w:val="nil"/>
            </w:tcBorders>
            <w:shd w:val="clear" w:color="auto" w:fill="auto"/>
            <w:noWrap/>
            <w:vAlign w:val="bottom"/>
            <w:hideMark/>
          </w:tcPr>
          <w:p w14:paraId="04E0B9C7"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w:t>
            </w:r>
          </w:p>
        </w:tc>
        <w:tc>
          <w:tcPr>
            <w:tcW w:w="1829" w:type="dxa"/>
            <w:tcBorders>
              <w:top w:val="nil"/>
              <w:left w:val="nil"/>
              <w:bottom w:val="nil"/>
              <w:right w:val="nil"/>
            </w:tcBorders>
            <w:shd w:val="clear" w:color="auto" w:fill="auto"/>
            <w:noWrap/>
            <w:vAlign w:val="bottom"/>
            <w:hideMark/>
          </w:tcPr>
          <w:p w14:paraId="3C43C509"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0,0840</w:t>
            </w:r>
          </w:p>
        </w:tc>
      </w:tr>
      <w:tr w:rsidR="005E216C" w:rsidRPr="005E216C" w14:paraId="4D04D508" w14:textId="77777777" w:rsidTr="005E216C">
        <w:trPr>
          <w:trHeight w:val="260"/>
        </w:trPr>
        <w:tc>
          <w:tcPr>
            <w:tcW w:w="2043" w:type="dxa"/>
            <w:tcBorders>
              <w:top w:val="nil"/>
              <w:left w:val="nil"/>
              <w:bottom w:val="nil"/>
              <w:right w:val="nil"/>
            </w:tcBorders>
            <w:shd w:val="clear" w:color="000000" w:fill="D9D9D9"/>
            <w:noWrap/>
            <w:vAlign w:val="bottom"/>
            <w:hideMark/>
          </w:tcPr>
          <w:p w14:paraId="5D8F4D92"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-7</w:t>
            </w:r>
          </w:p>
        </w:tc>
        <w:tc>
          <w:tcPr>
            <w:tcW w:w="2043" w:type="dxa"/>
            <w:tcBorders>
              <w:top w:val="nil"/>
              <w:left w:val="nil"/>
              <w:bottom w:val="nil"/>
              <w:right w:val="nil"/>
            </w:tcBorders>
            <w:shd w:val="clear" w:color="auto" w:fill="auto"/>
            <w:noWrap/>
            <w:vAlign w:val="bottom"/>
            <w:hideMark/>
          </w:tcPr>
          <w:p w14:paraId="5D9FB53A"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0,20%</w:t>
            </w:r>
          </w:p>
        </w:tc>
        <w:tc>
          <w:tcPr>
            <w:tcW w:w="2043" w:type="dxa"/>
            <w:tcBorders>
              <w:top w:val="nil"/>
              <w:left w:val="nil"/>
              <w:bottom w:val="nil"/>
              <w:right w:val="nil"/>
            </w:tcBorders>
            <w:shd w:val="clear" w:color="auto" w:fill="auto"/>
            <w:noWrap/>
            <w:vAlign w:val="bottom"/>
            <w:hideMark/>
          </w:tcPr>
          <w:p w14:paraId="52F84E15"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0,6228</w:t>
            </w:r>
          </w:p>
        </w:tc>
        <w:tc>
          <w:tcPr>
            <w:tcW w:w="1488" w:type="dxa"/>
            <w:tcBorders>
              <w:top w:val="nil"/>
              <w:left w:val="nil"/>
              <w:bottom w:val="nil"/>
              <w:right w:val="nil"/>
            </w:tcBorders>
            <w:shd w:val="clear" w:color="auto" w:fill="auto"/>
            <w:noWrap/>
            <w:vAlign w:val="bottom"/>
            <w:hideMark/>
          </w:tcPr>
          <w:p w14:paraId="1AD85792"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w:t>
            </w:r>
          </w:p>
        </w:tc>
        <w:tc>
          <w:tcPr>
            <w:tcW w:w="1829" w:type="dxa"/>
            <w:tcBorders>
              <w:top w:val="nil"/>
              <w:left w:val="nil"/>
              <w:bottom w:val="nil"/>
              <w:right w:val="nil"/>
            </w:tcBorders>
            <w:shd w:val="clear" w:color="auto" w:fill="auto"/>
            <w:noWrap/>
            <w:vAlign w:val="bottom"/>
            <w:hideMark/>
          </w:tcPr>
          <w:p w14:paraId="78A42AA4"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0,3001</w:t>
            </w:r>
          </w:p>
        </w:tc>
      </w:tr>
      <w:tr w:rsidR="005E216C" w:rsidRPr="005E216C" w14:paraId="77C673E6" w14:textId="77777777" w:rsidTr="005E216C">
        <w:trPr>
          <w:trHeight w:val="260"/>
        </w:trPr>
        <w:tc>
          <w:tcPr>
            <w:tcW w:w="2043" w:type="dxa"/>
            <w:tcBorders>
              <w:top w:val="nil"/>
              <w:left w:val="nil"/>
              <w:bottom w:val="nil"/>
              <w:right w:val="nil"/>
            </w:tcBorders>
            <w:shd w:val="clear" w:color="000000" w:fill="D9D9D9"/>
            <w:noWrap/>
            <w:vAlign w:val="bottom"/>
            <w:hideMark/>
          </w:tcPr>
          <w:p w14:paraId="4D6D6CB2"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-6</w:t>
            </w:r>
          </w:p>
        </w:tc>
        <w:tc>
          <w:tcPr>
            <w:tcW w:w="2043" w:type="dxa"/>
            <w:tcBorders>
              <w:top w:val="nil"/>
              <w:left w:val="nil"/>
              <w:bottom w:val="nil"/>
              <w:right w:val="nil"/>
            </w:tcBorders>
            <w:shd w:val="clear" w:color="auto" w:fill="auto"/>
            <w:noWrap/>
            <w:vAlign w:val="bottom"/>
            <w:hideMark/>
          </w:tcPr>
          <w:p w14:paraId="79EFCBDE"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0,49%</w:t>
            </w:r>
          </w:p>
        </w:tc>
        <w:tc>
          <w:tcPr>
            <w:tcW w:w="2043" w:type="dxa"/>
            <w:tcBorders>
              <w:top w:val="nil"/>
              <w:left w:val="nil"/>
              <w:bottom w:val="nil"/>
              <w:right w:val="nil"/>
            </w:tcBorders>
            <w:shd w:val="clear" w:color="auto" w:fill="auto"/>
            <w:noWrap/>
            <w:vAlign w:val="bottom"/>
            <w:hideMark/>
          </w:tcPr>
          <w:p w14:paraId="7F6CF05E"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1,5461</w:t>
            </w:r>
          </w:p>
        </w:tc>
        <w:tc>
          <w:tcPr>
            <w:tcW w:w="1488" w:type="dxa"/>
            <w:tcBorders>
              <w:top w:val="nil"/>
              <w:left w:val="nil"/>
              <w:bottom w:val="nil"/>
              <w:right w:val="nil"/>
            </w:tcBorders>
            <w:shd w:val="clear" w:color="auto" w:fill="auto"/>
            <w:noWrap/>
            <w:vAlign w:val="bottom"/>
            <w:hideMark/>
          </w:tcPr>
          <w:p w14:paraId="114E3592"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1%</w:t>
            </w:r>
          </w:p>
        </w:tc>
        <w:tc>
          <w:tcPr>
            <w:tcW w:w="1829" w:type="dxa"/>
            <w:tcBorders>
              <w:top w:val="nil"/>
              <w:left w:val="nil"/>
              <w:bottom w:val="nil"/>
              <w:right w:val="nil"/>
            </w:tcBorders>
            <w:shd w:val="clear" w:color="auto" w:fill="auto"/>
            <w:noWrap/>
            <w:vAlign w:val="bottom"/>
            <w:hideMark/>
          </w:tcPr>
          <w:p w14:paraId="0069D96A"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0,8363</w:t>
            </w:r>
          </w:p>
        </w:tc>
      </w:tr>
      <w:tr w:rsidR="005E216C" w:rsidRPr="005E216C" w14:paraId="2FF3EB9A" w14:textId="77777777" w:rsidTr="005E216C">
        <w:trPr>
          <w:trHeight w:val="260"/>
        </w:trPr>
        <w:tc>
          <w:tcPr>
            <w:tcW w:w="2043" w:type="dxa"/>
            <w:tcBorders>
              <w:top w:val="nil"/>
              <w:left w:val="nil"/>
              <w:bottom w:val="nil"/>
              <w:right w:val="nil"/>
            </w:tcBorders>
            <w:shd w:val="clear" w:color="000000" w:fill="D9D9D9"/>
            <w:noWrap/>
            <w:vAlign w:val="bottom"/>
            <w:hideMark/>
          </w:tcPr>
          <w:p w14:paraId="135927D5"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-5</w:t>
            </w:r>
          </w:p>
        </w:tc>
        <w:tc>
          <w:tcPr>
            <w:tcW w:w="2043" w:type="dxa"/>
            <w:tcBorders>
              <w:top w:val="nil"/>
              <w:left w:val="nil"/>
              <w:bottom w:val="nil"/>
              <w:right w:val="nil"/>
            </w:tcBorders>
            <w:shd w:val="clear" w:color="auto" w:fill="auto"/>
            <w:noWrap/>
            <w:vAlign w:val="bottom"/>
            <w:hideMark/>
          </w:tcPr>
          <w:p w14:paraId="5E59E02F"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-0,21%</w:t>
            </w:r>
          </w:p>
        </w:tc>
        <w:tc>
          <w:tcPr>
            <w:tcW w:w="2043" w:type="dxa"/>
            <w:tcBorders>
              <w:top w:val="nil"/>
              <w:left w:val="nil"/>
              <w:bottom w:val="nil"/>
              <w:right w:val="nil"/>
            </w:tcBorders>
            <w:shd w:val="clear" w:color="auto" w:fill="auto"/>
            <w:noWrap/>
            <w:vAlign w:val="bottom"/>
            <w:hideMark/>
          </w:tcPr>
          <w:p w14:paraId="38FA41B1"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-0,6540</w:t>
            </w:r>
          </w:p>
        </w:tc>
        <w:tc>
          <w:tcPr>
            <w:tcW w:w="1488" w:type="dxa"/>
            <w:tcBorders>
              <w:top w:val="nil"/>
              <w:left w:val="nil"/>
              <w:bottom w:val="nil"/>
              <w:right w:val="nil"/>
            </w:tcBorders>
            <w:shd w:val="clear" w:color="auto" w:fill="auto"/>
            <w:noWrap/>
            <w:vAlign w:val="bottom"/>
            <w:hideMark/>
          </w:tcPr>
          <w:p w14:paraId="73B6FC3D"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1%</w:t>
            </w:r>
          </w:p>
        </w:tc>
        <w:tc>
          <w:tcPr>
            <w:tcW w:w="1829" w:type="dxa"/>
            <w:tcBorders>
              <w:top w:val="nil"/>
              <w:left w:val="nil"/>
              <w:bottom w:val="nil"/>
              <w:right w:val="nil"/>
            </w:tcBorders>
            <w:shd w:val="clear" w:color="auto" w:fill="auto"/>
            <w:noWrap/>
            <w:vAlign w:val="bottom"/>
            <w:hideMark/>
          </w:tcPr>
          <w:p w14:paraId="4DF7A14D"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0,6095</w:t>
            </w:r>
          </w:p>
        </w:tc>
      </w:tr>
      <w:tr w:rsidR="005E216C" w:rsidRPr="005E216C" w14:paraId="490912CD" w14:textId="77777777" w:rsidTr="005E216C">
        <w:trPr>
          <w:trHeight w:val="260"/>
        </w:trPr>
        <w:tc>
          <w:tcPr>
            <w:tcW w:w="2043" w:type="dxa"/>
            <w:tcBorders>
              <w:top w:val="nil"/>
              <w:left w:val="nil"/>
              <w:bottom w:val="nil"/>
              <w:right w:val="nil"/>
            </w:tcBorders>
            <w:shd w:val="clear" w:color="000000" w:fill="D9D9D9"/>
            <w:noWrap/>
            <w:vAlign w:val="bottom"/>
            <w:hideMark/>
          </w:tcPr>
          <w:p w14:paraId="3BA24A9D"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-4</w:t>
            </w:r>
          </w:p>
        </w:tc>
        <w:tc>
          <w:tcPr>
            <w:tcW w:w="2043" w:type="dxa"/>
            <w:tcBorders>
              <w:top w:val="nil"/>
              <w:left w:val="nil"/>
              <w:bottom w:val="nil"/>
              <w:right w:val="nil"/>
            </w:tcBorders>
            <w:shd w:val="clear" w:color="auto" w:fill="auto"/>
            <w:noWrap/>
            <w:vAlign w:val="bottom"/>
            <w:hideMark/>
          </w:tcPr>
          <w:p w14:paraId="5C153071"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-0,05%</w:t>
            </w:r>
          </w:p>
        </w:tc>
        <w:tc>
          <w:tcPr>
            <w:tcW w:w="2043" w:type="dxa"/>
            <w:tcBorders>
              <w:top w:val="nil"/>
              <w:left w:val="nil"/>
              <w:bottom w:val="nil"/>
              <w:right w:val="nil"/>
            </w:tcBorders>
            <w:shd w:val="clear" w:color="auto" w:fill="auto"/>
            <w:noWrap/>
            <w:vAlign w:val="bottom"/>
            <w:hideMark/>
          </w:tcPr>
          <w:p w14:paraId="33F03CDD"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-0,1586</w:t>
            </w:r>
          </w:p>
        </w:tc>
        <w:tc>
          <w:tcPr>
            <w:tcW w:w="1488" w:type="dxa"/>
            <w:tcBorders>
              <w:top w:val="nil"/>
              <w:left w:val="nil"/>
              <w:bottom w:val="nil"/>
              <w:right w:val="nil"/>
            </w:tcBorders>
            <w:shd w:val="clear" w:color="auto" w:fill="auto"/>
            <w:noWrap/>
            <w:vAlign w:val="bottom"/>
            <w:hideMark/>
          </w:tcPr>
          <w:p w14:paraId="225BADA6"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1%</w:t>
            </w:r>
          </w:p>
        </w:tc>
        <w:tc>
          <w:tcPr>
            <w:tcW w:w="1829" w:type="dxa"/>
            <w:tcBorders>
              <w:top w:val="nil"/>
              <w:left w:val="nil"/>
              <w:bottom w:val="nil"/>
              <w:right w:val="nil"/>
            </w:tcBorders>
            <w:shd w:val="clear" w:color="auto" w:fill="auto"/>
            <w:noWrap/>
            <w:vAlign w:val="bottom"/>
            <w:hideMark/>
          </w:tcPr>
          <w:p w14:paraId="32217819"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0,5545</w:t>
            </w:r>
          </w:p>
        </w:tc>
      </w:tr>
      <w:tr w:rsidR="005E216C" w:rsidRPr="005E216C" w14:paraId="7CCB2166" w14:textId="77777777" w:rsidTr="005E216C">
        <w:trPr>
          <w:trHeight w:val="260"/>
        </w:trPr>
        <w:tc>
          <w:tcPr>
            <w:tcW w:w="2043" w:type="dxa"/>
            <w:tcBorders>
              <w:top w:val="nil"/>
              <w:left w:val="nil"/>
              <w:bottom w:val="nil"/>
              <w:right w:val="nil"/>
            </w:tcBorders>
            <w:shd w:val="clear" w:color="000000" w:fill="D9D9D9"/>
            <w:noWrap/>
            <w:vAlign w:val="bottom"/>
            <w:hideMark/>
          </w:tcPr>
          <w:p w14:paraId="7C231364"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-3</w:t>
            </w:r>
          </w:p>
        </w:tc>
        <w:tc>
          <w:tcPr>
            <w:tcW w:w="2043" w:type="dxa"/>
            <w:tcBorders>
              <w:top w:val="nil"/>
              <w:left w:val="nil"/>
              <w:bottom w:val="nil"/>
              <w:right w:val="nil"/>
            </w:tcBorders>
            <w:shd w:val="clear" w:color="auto" w:fill="auto"/>
            <w:noWrap/>
            <w:vAlign w:val="bottom"/>
            <w:hideMark/>
          </w:tcPr>
          <w:p w14:paraId="68ABEA1F"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0,18%</w:t>
            </w:r>
          </w:p>
        </w:tc>
        <w:tc>
          <w:tcPr>
            <w:tcW w:w="2043" w:type="dxa"/>
            <w:tcBorders>
              <w:top w:val="nil"/>
              <w:left w:val="nil"/>
              <w:bottom w:val="nil"/>
              <w:right w:val="nil"/>
            </w:tcBorders>
            <w:shd w:val="clear" w:color="auto" w:fill="auto"/>
            <w:noWrap/>
            <w:vAlign w:val="bottom"/>
            <w:hideMark/>
          </w:tcPr>
          <w:p w14:paraId="26419EC6"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0,5782</w:t>
            </w:r>
          </w:p>
        </w:tc>
        <w:tc>
          <w:tcPr>
            <w:tcW w:w="1488" w:type="dxa"/>
            <w:tcBorders>
              <w:top w:val="nil"/>
              <w:left w:val="nil"/>
              <w:bottom w:val="nil"/>
              <w:right w:val="nil"/>
            </w:tcBorders>
            <w:shd w:val="clear" w:color="auto" w:fill="auto"/>
            <w:noWrap/>
            <w:vAlign w:val="bottom"/>
            <w:hideMark/>
          </w:tcPr>
          <w:p w14:paraId="3E74E0E8"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1%</w:t>
            </w:r>
          </w:p>
        </w:tc>
        <w:tc>
          <w:tcPr>
            <w:tcW w:w="1829" w:type="dxa"/>
            <w:tcBorders>
              <w:top w:val="nil"/>
              <w:left w:val="nil"/>
              <w:bottom w:val="nil"/>
              <w:right w:val="nil"/>
            </w:tcBorders>
            <w:shd w:val="clear" w:color="auto" w:fill="auto"/>
            <w:noWrap/>
            <w:vAlign w:val="bottom"/>
            <w:hideMark/>
          </w:tcPr>
          <w:p w14:paraId="24E4E8FE"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0,7550</w:t>
            </w:r>
          </w:p>
        </w:tc>
      </w:tr>
      <w:tr w:rsidR="005E216C" w:rsidRPr="005E216C" w14:paraId="6900F200" w14:textId="77777777" w:rsidTr="005E216C">
        <w:trPr>
          <w:trHeight w:val="260"/>
        </w:trPr>
        <w:tc>
          <w:tcPr>
            <w:tcW w:w="2043" w:type="dxa"/>
            <w:tcBorders>
              <w:top w:val="nil"/>
              <w:left w:val="nil"/>
              <w:bottom w:val="nil"/>
              <w:right w:val="nil"/>
            </w:tcBorders>
            <w:shd w:val="clear" w:color="000000" w:fill="D9D9D9"/>
            <w:noWrap/>
            <w:vAlign w:val="bottom"/>
            <w:hideMark/>
          </w:tcPr>
          <w:p w14:paraId="17CD510D"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-2</w:t>
            </w:r>
          </w:p>
        </w:tc>
        <w:tc>
          <w:tcPr>
            <w:tcW w:w="2043" w:type="dxa"/>
            <w:tcBorders>
              <w:top w:val="nil"/>
              <w:left w:val="nil"/>
              <w:bottom w:val="nil"/>
              <w:right w:val="nil"/>
            </w:tcBorders>
            <w:shd w:val="clear" w:color="auto" w:fill="auto"/>
            <w:noWrap/>
            <w:vAlign w:val="bottom"/>
            <w:hideMark/>
          </w:tcPr>
          <w:p w14:paraId="3AAB111A"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0,41%</w:t>
            </w:r>
          </w:p>
        </w:tc>
        <w:tc>
          <w:tcPr>
            <w:tcW w:w="2043" w:type="dxa"/>
            <w:tcBorders>
              <w:top w:val="nil"/>
              <w:left w:val="nil"/>
              <w:bottom w:val="nil"/>
              <w:right w:val="nil"/>
            </w:tcBorders>
            <w:shd w:val="clear" w:color="auto" w:fill="auto"/>
            <w:noWrap/>
            <w:vAlign w:val="bottom"/>
            <w:hideMark/>
          </w:tcPr>
          <w:p w14:paraId="4FBBE0D2"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1,2940</w:t>
            </w:r>
          </w:p>
        </w:tc>
        <w:tc>
          <w:tcPr>
            <w:tcW w:w="1488" w:type="dxa"/>
            <w:tcBorders>
              <w:top w:val="nil"/>
              <w:left w:val="nil"/>
              <w:bottom w:val="nil"/>
              <w:right w:val="nil"/>
            </w:tcBorders>
            <w:shd w:val="clear" w:color="auto" w:fill="auto"/>
            <w:noWrap/>
            <w:vAlign w:val="bottom"/>
            <w:hideMark/>
          </w:tcPr>
          <w:p w14:paraId="75ACB1FA"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1%</w:t>
            </w:r>
          </w:p>
        </w:tc>
        <w:tc>
          <w:tcPr>
            <w:tcW w:w="1829" w:type="dxa"/>
            <w:tcBorders>
              <w:top w:val="nil"/>
              <w:left w:val="nil"/>
              <w:bottom w:val="nil"/>
              <w:right w:val="nil"/>
            </w:tcBorders>
            <w:shd w:val="clear" w:color="auto" w:fill="auto"/>
            <w:noWrap/>
            <w:vAlign w:val="bottom"/>
            <w:hideMark/>
          </w:tcPr>
          <w:p w14:paraId="7D34ADEA"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1,2038</w:t>
            </w:r>
          </w:p>
        </w:tc>
      </w:tr>
      <w:tr w:rsidR="005E216C" w:rsidRPr="005E216C" w14:paraId="2A181A7E" w14:textId="77777777" w:rsidTr="005E216C">
        <w:trPr>
          <w:trHeight w:val="260"/>
        </w:trPr>
        <w:tc>
          <w:tcPr>
            <w:tcW w:w="2043" w:type="dxa"/>
            <w:tcBorders>
              <w:top w:val="nil"/>
              <w:left w:val="nil"/>
              <w:bottom w:val="nil"/>
              <w:right w:val="nil"/>
            </w:tcBorders>
            <w:shd w:val="clear" w:color="000000" w:fill="D9D9D9"/>
            <w:noWrap/>
            <w:vAlign w:val="bottom"/>
            <w:hideMark/>
          </w:tcPr>
          <w:p w14:paraId="6450DDEA"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-1</w:t>
            </w:r>
          </w:p>
        </w:tc>
        <w:tc>
          <w:tcPr>
            <w:tcW w:w="2043" w:type="dxa"/>
            <w:tcBorders>
              <w:top w:val="nil"/>
              <w:left w:val="nil"/>
              <w:bottom w:val="nil"/>
              <w:right w:val="nil"/>
            </w:tcBorders>
            <w:shd w:val="clear" w:color="auto" w:fill="auto"/>
            <w:noWrap/>
            <w:vAlign w:val="bottom"/>
            <w:hideMark/>
          </w:tcPr>
          <w:p w14:paraId="0D5E33C6"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0,12%</w:t>
            </w:r>
          </w:p>
        </w:tc>
        <w:tc>
          <w:tcPr>
            <w:tcW w:w="2043" w:type="dxa"/>
            <w:tcBorders>
              <w:top w:val="nil"/>
              <w:left w:val="nil"/>
              <w:bottom w:val="nil"/>
              <w:right w:val="nil"/>
            </w:tcBorders>
            <w:shd w:val="clear" w:color="auto" w:fill="auto"/>
            <w:noWrap/>
            <w:vAlign w:val="bottom"/>
            <w:hideMark/>
          </w:tcPr>
          <w:p w14:paraId="71F4FDA1"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0,3837</w:t>
            </w:r>
          </w:p>
        </w:tc>
        <w:tc>
          <w:tcPr>
            <w:tcW w:w="1488" w:type="dxa"/>
            <w:tcBorders>
              <w:top w:val="nil"/>
              <w:left w:val="nil"/>
              <w:bottom w:val="nil"/>
              <w:right w:val="nil"/>
            </w:tcBorders>
            <w:shd w:val="clear" w:color="auto" w:fill="auto"/>
            <w:noWrap/>
            <w:vAlign w:val="bottom"/>
            <w:hideMark/>
          </w:tcPr>
          <w:p w14:paraId="5EB30D5C"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1%</w:t>
            </w:r>
          </w:p>
        </w:tc>
        <w:tc>
          <w:tcPr>
            <w:tcW w:w="1829" w:type="dxa"/>
            <w:tcBorders>
              <w:top w:val="nil"/>
              <w:left w:val="nil"/>
              <w:bottom w:val="nil"/>
              <w:right w:val="nil"/>
            </w:tcBorders>
            <w:shd w:val="clear" w:color="auto" w:fill="auto"/>
            <w:noWrap/>
            <w:vAlign w:val="bottom"/>
            <w:hideMark/>
          </w:tcPr>
          <w:p w14:paraId="161476A3"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1,3370</w:t>
            </w:r>
          </w:p>
        </w:tc>
      </w:tr>
      <w:tr w:rsidR="005E216C" w:rsidRPr="005E216C" w14:paraId="042230D7" w14:textId="77777777" w:rsidTr="005E216C">
        <w:trPr>
          <w:trHeight w:val="260"/>
        </w:trPr>
        <w:tc>
          <w:tcPr>
            <w:tcW w:w="2043" w:type="dxa"/>
            <w:tcBorders>
              <w:top w:val="nil"/>
              <w:left w:val="nil"/>
              <w:bottom w:val="nil"/>
              <w:right w:val="nil"/>
            </w:tcBorders>
            <w:shd w:val="clear" w:color="000000" w:fill="D9D9D9"/>
            <w:noWrap/>
            <w:vAlign w:val="bottom"/>
            <w:hideMark/>
          </w:tcPr>
          <w:p w14:paraId="79BD0DFD"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w:t>
            </w:r>
          </w:p>
        </w:tc>
        <w:tc>
          <w:tcPr>
            <w:tcW w:w="2043" w:type="dxa"/>
            <w:tcBorders>
              <w:top w:val="nil"/>
              <w:left w:val="nil"/>
              <w:bottom w:val="nil"/>
              <w:right w:val="nil"/>
            </w:tcBorders>
            <w:shd w:val="clear" w:color="auto" w:fill="auto"/>
            <w:noWrap/>
            <w:vAlign w:val="bottom"/>
            <w:hideMark/>
          </w:tcPr>
          <w:p w14:paraId="64CEA848"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0,18%</w:t>
            </w:r>
          </w:p>
        </w:tc>
        <w:tc>
          <w:tcPr>
            <w:tcW w:w="2043" w:type="dxa"/>
            <w:tcBorders>
              <w:top w:val="nil"/>
              <w:left w:val="nil"/>
              <w:bottom w:val="nil"/>
              <w:right w:val="nil"/>
            </w:tcBorders>
            <w:shd w:val="clear" w:color="auto" w:fill="auto"/>
            <w:noWrap/>
            <w:vAlign w:val="bottom"/>
            <w:hideMark/>
          </w:tcPr>
          <w:p w14:paraId="671AB848"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0,5657</w:t>
            </w:r>
          </w:p>
        </w:tc>
        <w:tc>
          <w:tcPr>
            <w:tcW w:w="1488" w:type="dxa"/>
            <w:tcBorders>
              <w:top w:val="nil"/>
              <w:left w:val="nil"/>
              <w:bottom w:val="nil"/>
              <w:right w:val="nil"/>
            </w:tcBorders>
            <w:shd w:val="clear" w:color="auto" w:fill="auto"/>
            <w:noWrap/>
            <w:vAlign w:val="bottom"/>
            <w:hideMark/>
          </w:tcPr>
          <w:p w14:paraId="071C921A"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1%</w:t>
            </w:r>
          </w:p>
        </w:tc>
        <w:tc>
          <w:tcPr>
            <w:tcW w:w="1829" w:type="dxa"/>
            <w:tcBorders>
              <w:top w:val="nil"/>
              <w:left w:val="nil"/>
              <w:bottom w:val="nil"/>
              <w:right w:val="nil"/>
            </w:tcBorders>
            <w:shd w:val="clear" w:color="auto" w:fill="auto"/>
            <w:noWrap/>
            <w:vAlign w:val="bottom"/>
            <w:hideMark/>
          </w:tcPr>
          <w:p w14:paraId="6E1DB128"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1,5332</w:t>
            </w:r>
          </w:p>
        </w:tc>
      </w:tr>
      <w:tr w:rsidR="005E216C" w:rsidRPr="005E216C" w14:paraId="6D8E200B" w14:textId="77777777" w:rsidTr="005E216C">
        <w:trPr>
          <w:trHeight w:val="260"/>
        </w:trPr>
        <w:tc>
          <w:tcPr>
            <w:tcW w:w="2043" w:type="dxa"/>
            <w:tcBorders>
              <w:top w:val="nil"/>
              <w:left w:val="nil"/>
              <w:bottom w:val="nil"/>
              <w:right w:val="nil"/>
            </w:tcBorders>
            <w:shd w:val="clear" w:color="000000" w:fill="D9D9D9"/>
            <w:noWrap/>
            <w:vAlign w:val="bottom"/>
            <w:hideMark/>
          </w:tcPr>
          <w:p w14:paraId="2EB84B66"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1</w:t>
            </w:r>
          </w:p>
        </w:tc>
        <w:tc>
          <w:tcPr>
            <w:tcW w:w="2043" w:type="dxa"/>
            <w:tcBorders>
              <w:top w:val="nil"/>
              <w:left w:val="nil"/>
              <w:bottom w:val="nil"/>
              <w:right w:val="nil"/>
            </w:tcBorders>
            <w:shd w:val="clear" w:color="auto" w:fill="auto"/>
            <w:noWrap/>
            <w:vAlign w:val="bottom"/>
            <w:hideMark/>
          </w:tcPr>
          <w:p w14:paraId="6F3150BC"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0,37%</w:t>
            </w:r>
          </w:p>
        </w:tc>
        <w:tc>
          <w:tcPr>
            <w:tcW w:w="2043" w:type="dxa"/>
            <w:tcBorders>
              <w:top w:val="nil"/>
              <w:left w:val="nil"/>
              <w:bottom w:val="nil"/>
              <w:right w:val="nil"/>
            </w:tcBorders>
            <w:shd w:val="clear" w:color="auto" w:fill="auto"/>
            <w:noWrap/>
            <w:vAlign w:val="bottom"/>
            <w:hideMark/>
          </w:tcPr>
          <w:p w14:paraId="51F31D7A"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1,1756</w:t>
            </w:r>
          </w:p>
        </w:tc>
        <w:tc>
          <w:tcPr>
            <w:tcW w:w="1488" w:type="dxa"/>
            <w:tcBorders>
              <w:top w:val="nil"/>
              <w:left w:val="nil"/>
              <w:bottom w:val="nil"/>
              <w:right w:val="nil"/>
            </w:tcBorders>
            <w:shd w:val="clear" w:color="auto" w:fill="auto"/>
            <w:noWrap/>
            <w:vAlign w:val="bottom"/>
            <w:hideMark/>
          </w:tcPr>
          <w:p w14:paraId="76BEC1C9"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2%</w:t>
            </w:r>
          </w:p>
        </w:tc>
        <w:tc>
          <w:tcPr>
            <w:tcW w:w="1829" w:type="dxa"/>
            <w:tcBorders>
              <w:top w:val="nil"/>
              <w:left w:val="nil"/>
              <w:bottom w:val="nil"/>
              <w:right w:val="nil"/>
            </w:tcBorders>
            <w:shd w:val="clear" w:color="000000" w:fill="E2EFDA"/>
            <w:noWrap/>
            <w:vAlign w:val="bottom"/>
            <w:hideMark/>
          </w:tcPr>
          <w:p w14:paraId="0F1D2E83"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1,9409</w:t>
            </w:r>
          </w:p>
        </w:tc>
      </w:tr>
      <w:tr w:rsidR="005E216C" w:rsidRPr="005E216C" w14:paraId="15D759ED" w14:textId="77777777" w:rsidTr="005E216C">
        <w:trPr>
          <w:trHeight w:val="260"/>
        </w:trPr>
        <w:tc>
          <w:tcPr>
            <w:tcW w:w="2043" w:type="dxa"/>
            <w:tcBorders>
              <w:top w:val="nil"/>
              <w:left w:val="nil"/>
              <w:bottom w:val="nil"/>
              <w:right w:val="nil"/>
            </w:tcBorders>
            <w:shd w:val="clear" w:color="000000" w:fill="D9D9D9"/>
            <w:noWrap/>
            <w:vAlign w:val="bottom"/>
            <w:hideMark/>
          </w:tcPr>
          <w:p w14:paraId="007038A4"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2</w:t>
            </w:r>
          </w:p>
        </w:tc>
        <w:tc>
          <w:tcPr>
            <w:tcW w:w="2043" w:type="dxa"/>
            <w:tcBorders>
              <w:top w:val="nil"/>
              <w:left w:val="nil"/>
              <w:bottom w:val="nil"/>
              <w:right w:val="nil"/>
            </w:tcBorders>
            <w:shd w:val="clear" w:color="auto" w:fill="auto"/>
            <w:noWrap/>
            <w:vAlign w:val="bottom"/>
            <w:hideMark/>
          </w:tcPr>
          <w:p w14:paraId="6C399BC1"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-0,09%</w:t>
            </w:r>
          </w:p>
        </w:tc>
        <w:tc>
          <w:tcPr>
            <w:tcW w:w="2043" w:type="dxa"/>
            <w:tcBorders>
              <w:top w:val="nil"/>
              <w:left w:val="nil"/>
              <w:bottom w:val="nil"/>
              <w:right w:val="nil"/>
            </w:tcBorders>
            <w:shd w:val="clear" w:color="auto" w:fill="auto"/>
            <w:noWrap/>
            <w:vAlign w:val="bottom"/>
            <w:hideMark/>
          </w:tcPr>
          <w:p w14:paraId="79193372"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-0,2868</w:t>
            </w:r>
          </w:p>
        </w:tc>
        <w:tc>
          <w:tcPr>
            <w:tcW w:w="1488" w:type="dxa"/>
            <w:tcBorders>
              <w:top w:val="nil"/>
              <w:left w:val="nil"/>
              <w:bottom w:val="nil"/>
              <w:right w:val="nil"/>
            </w:tcBorders>
            <w:shd w:val="clear" w:color="auto" w:fill="auto"/>
            <w:noWrap/>
            <w:vAlign w:val="bottom"/>
            <w:hideMark/>
          </w:tcPr>
          <w:p w14:paraId="56D79D37"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2%</w:t>
            </w:r>
          </w:p>
        </w:tc>
        <w:tc>
          <w:tcPr>
            <w:tcW w:w="1829" w:type="dxa"/>
            <w:tcBorders>
              <w:top w:val="nil"/>
              <w:left w:val="nil"/>
              <w:bottom w:val="nil"/>
              <w:right w:val="nil"/>
            </w:tcBorders>
            <w:shd w:val="clear" w:color="000000" w:fill="E2EFDA"/>
            <w:noWrap/>
            <w:vAlign w:val="bottom"/>
            <w:hideMark/>
          </w:tcPr>
          <w:p w14:paraId="28B72A1D"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1,8414</w:t>
            </w:r>
          </w:p>
        </w:tc>
      </w:tr>
      <w:tr w:rsidR="005E216C" w:rsidRPr="005E216C" w14:paraId="39E85D40" w14:textId="77777777" w:rsidTr="005E216C">
        <w:trPr>
          <w:trHeight w:val="260"/>
        </w:trPr>
        <w:tc>
          <w:tcPr>
            <w:tcW w:w="2043" w:type="dxa"/>
            <w:tcBorders>
              <w:top w:val="nil"/>
              <w:left w:val="nil"/>
              <w:bottom w:val="nil"/>
              <w:right w:val="nil"/>
            </w:tcBorders>
            <w:shd w:val="clear" w:color="000000" w:fill="D9D9D9"/>
            <w:noWrap/>
            <w:vAlign w:val="bottom"/>
            <w:hideMark/>
          </w:tcPr>
          <w:p w14:paraId="01A1A634"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3</w:t>
            </w:r>
          </w:p>
        </w:tc>
        <w:tc>
          <w:tcPr>
            <w:tcW w:w="2043" w:type="dxa"/>
            <w:tcBorders>
              <w:top w:val="nil"/>
              <w:left w:val="nil"/>
              <w:bottom w:val="nil"/>
              <w:right w:val="nil"/>
            </w:tcBorders>
            <w:shd w:val="clear" w:color="auto" w:fill="auto"/>
            <w:noWrap/>
            <w:vAlign w:val="bottom"/>
            <w:hideMark/>
          </w:tcPr>
          <w:p w14:paraId="3171C8D9"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-0,17%</w:t>
            </w:r>
          </w:p>
        </w:tc>
        <w:tc>
          <w:tcPr>
            <w:tcW w:w="2043" w:type="dxa"/>
            <w:tcBorders>
              <w:top w:val="nil"/>
              <w:left w:val="nil"/>
              <w:bottom w:val="nil"/>
              <w:right w:val="nil"/>
            </w:tcBorders>
            <w:shd w:val="clear" w:color="auto" w:fill="auto"/>
            <w:noWrap/>
            <w:vAlign w:val="bottom"/>
            <w:hideMark/>
          </w:tcPr>
          <w:p w14:paraId="7532E9E6"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-0,5245</w:t>
            </w:r>
          </w:p>
        </w:tc>
        <w:tc>
          <w:tcPr>
            <w:tcW w:w="1488" w:type="dxa"/>
            <w:tcBorders>
              <w:top w:val="nil"/>
              <w:left w:val="nil"/>
              <w:bottom w:val="nil"/>
              <w:right w:val="nil"/>
            </w:tcBorders>
            <w:shd w:val="clear" w:color="auto" w:fill="auto"/>
            <w:noWrap/>
            <w:vAlign w:val="bottom"/>
            <w:hideMark/>
          </w:tcPr>
          <w:p w14:paraId="3D440352"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2%</w:t>
            </w:r>
          </w:p>
        </w:tc>
        <w:tc>
          <w:tcPr>
            <w:tcW w:w="1829" w:type="dxa"/>
            <w:tcBorders>
              <w:top w:val="nil"/>
              <w:left w:val="nil"/>
              <w:bottom w:val="nil"/>
              <w:right w:val="nil"/>
            </w:tcBorders>
            <w:shd w:val="clear" w:color="auto" w:fill="auto"/>
            <w:noWrap/>
            <w:vAlign w:val="bottom"/>
            <w:hideMark/>
          </w:tcPr>
          <w:p w14:paraId="75402C17"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1,6595</w:t>
            </w:r>
          </w:p>
        </w:tc>
      </w:tr>
      <w:tr w:rsidR="005E216C" w:rsidRPr="005E216C" w14:paraId="01EBA09C" w14:textId="77777777" w:rsidTr="005E216C">
        <w:trPr>
          <w:trHeight w:val="260"/>
        </w:trPr>
        <w:tc>
          <w:tcPr>
            <w:tcW w:w="2043" w:type="dxa"/>
            <w:tcBorders>
              <w:top w:val="nil"/>
              <w:left w:val="nil"/>
              <w:bottom w:val="nil"/>
              <w:right w:val="nil"/>
            </w:tcBorders>
            <w:shd w:val="clear" w:color="000000" w:fill="D9D9D9"/>
            <w:noWrap/>
            <w:vAlign w:val="bottom"/>
            <w:hideMark/>
          </w:tcPr>
          <w:p w14:paraId="224E337F"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4</w:t>
            </w:r>
          </w:p>
        </w:tc>
        <w:tc>
          <w:tcPr>
            <w:tcW w:w="2043" w:type="dxa"/>
            <w:tcBorders>
              <w:top w:val="nil"/>
              <w:left w:val="nil"/>
              <w:bottom w:val="nil"/>
              <w:right w:val="nil"/>
            </w:tcBorders>
            <w:shd w:val="clear" w:color="auto" w:fill="auto"/>
            <w:noWrap/>
            <w:vAlign w:val="bottom"/>
            <w:hideMark/>
          </w:tcPr>
          <w:p w14:paraId="2D1A6169"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0,68%</w:t>
            </w:r>
          </w:p>
        </w:tc>
        <w:tc>
          <w:tcPr>
            <w:tcW w:w="2043" w:type="dxa"/>
            <w:tcBorders>
              <w:top w:val="nil"/>
              <w:left w:val="nil"/>
              <w:bottom w:val="nil"/>
              <w:right w:val="nil"/>
            </w:tcBorders>
            <w:shd w:val="clear" w:color="000000" w:fill="A9D08E"/>
            <w:noWrap/>
            <w:vAlign w:val="bottom"/>
            <w:hideMark/>
          </w:tcPr>
          <w:p w14:paraId="6817BD8D"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2,1472</w:t>
            </w:r>
          </w:p>
        </w:tc>
        <w:tc>
          <w:tcPr>
            <w:tcW w:w="1488" w:type="dxa"/>
            <w:tcBorders>
              <w:top w:val="nil"/>
              <w:left w:val="nil"/>
              <w:bottom w:val="nil"/>
              <w:right w:val="nil"/>
            </w:tcBorders>
            <w:shd w:val="clear" w:color="auto" w:fill="auto"/>
            <w:noWrap/>
            <w:vAlign w:val="bottom"/>
            <w:hideMark/>
          </w:tcPr>
          <w:p w14:paraId="71CFC434"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2%</w:t>
            </w:r>
          </w:p>
        </w:tc>
        <w:tc>
          <w:tcPr>
            <w:tcW w:w="1829" w:type="dxa"/>
            <w:tcBorders>
              <w:top w:val="nil"/>
              <w:left w:val="nil"/>
              <w:bottom w:val="nil"/>
              <w:right w:val="nil"/>
            </w:tcBorders>
            <w:shd w:val="clear" w:color="000000" w:fill="A9D08E"/>
            <w:noWrap/>
            <w:vAlign w:val="bottom"/>
            <w:hideMark/>
          </w:tcPr>
          <w:p w14:paraId="4AA6F401"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2,4043</w:t>
            </w:r>
          </w:p>
        </w:tc>
      </w:tr>
      <w:tr w:rsidR="005E216C" w:rsidRPr="005E216C" w14:paraId="70E47828" w14:textId="77777777" w:rsidTr="005E216C">
        <w:trPr>
          <w:trHeight w:val="260"/>
        </w:trPr>
        <w:tc>
          <w:tcPr>
            <w:tcW w:w="2043" w:type="dxa"/>
            <w:tcBorders>
              <w:top w:val="nil"/>
              <w:left w:val="nil"/>
              <w:bottom w:val="nil"/>
              <w:right w:val="nil"/>
            </w:tcBorders>
            <w:shd w:val="clear" w:color="000000" w:fill="D9D9D9"/>
            <w:noWrap/>
            <w:vAlign w:val="bottom"/>
            <w:hideMark/>
          </w:tcPr>
          <w:p w14:paraId="477D36C5"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5</w:t>
            </w:r>
          </w:p>
        </w:tc>
        <w:tc>
          <w:tcPr>
            <w:tcW w:w="2043" w:type="dxa"/>
            <w:tcBorders>
              <w:top w:val="nil"/>
              <w:left w:val="nil"/>
              <w:bottom w:val="nil"/>
              <w:right w:val="nil"/>
            </w:tcBorders>
            <w:shd w:val="clear" w:color="auto" w:fill="auto"/>
            <w:noWrap/>
            <w:vAlign w:val="bottom"/>
            <w:hideMark/>
          </w:tcPr>
          <w:p w14:paraId="29AB02F4"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-0,19%</w:t>
            </w:r>
          </w:p>
        </w:tc>
        <w:tc>
          <w:tcPr>
            <w:tcW w:w="2043" w:type="dxa"/>
            <w:tcBorders>
              <w:top w:val="nil"/>
              <w:left w:val="nil"/>
              <w:bottom w:val="nil"/>
              <w:right w:val="nil"/>
            </w:tcBorders>
            <w:shd w:val="clear" w:color="auto" w:fill="auto"/>
            <w:noWrap/>
            <w:vAlign w:val="bottom"/>
            <w:hideMark/>
          </w:tcPr>
          <w:p w14:paraId="209D1DE3"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-0,6010</w:t>
            </w:r>
          </w:p>
        </w:tc>
        <w:tc>
          <w:tcPr>
            <w:tcW w:w="1488" w:type="dxa"/>
            <w:tcBorders>
              <w:top w:val="nil"/>
              <w:left w:val="nil"/>
              <w:bottom w:val="nil"/>
              <w:right w:val="nil"/>
            </w:tcBorders>
            <w:shd w:val="clear" w:color="auto" w:fill="auto"/>
            <w:noWrap/>
            <w:vAlign w:val="bottom"/>
            <w:hideMark/>
          </w:tcPr>
          <w:p w14:paraId="46905FBC"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2%</w:t>
            </w:r>
          </w:p>
        </w:tc>
        <w:tc>
          <w:tcPr>
            <w:tcW w:w="1829" w:type="dxa"/>
            <w:tcBorders>
              <w:top w:val="nil"/>
              <w:left w:val="nil"/>
              <w:bottom w:val="nil"/>
              <w:right w:val="nil"/>
            </w:tcBorders>
            <w:shd w:val="clear" w:color="000000" w:fill="A9D08E"/>
            <w:noWrap/>
            <w:vAlign w:val="bottom"/>
            <w:hideMark/>
          </w:tcPr>
          <w:p w14:paraId="2BB59A12"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2,1958</w:t>
            </w:r>
          </w:p>
        </w:tc>
      </w:tr>
      <w:tr w:rsidR="005E216C" w:rsidRPr="005E216C" w14:paraId="6C1DBA44" w14:textId="77777777" w:rsidTr="005E216C">
        <w:trPr>
          <w:trHeight w:val="260"/>
        </w:trPr>
        <w:tc>
          <w:tcPr>
            <w:tcW w:w="2043" w:type="dxa"/>
            <w:tcBorders>
              <w:top w:val="nil"/>
              <w:left w:val="nil"/>
              <w:bottom w:val="nil"/>
              <w:right w:val="nil"/>
            </w:tcBorders>
            <w:shd w:val="clear" w:color="000000" w:fill="D9D9D9"/>
            <w:noWrap/>
            <w:vAlign w:val="bottom"/>
            <w:hideMark/>
          </w:tcPr>
          <w:p w14:paraId="07E28BA6"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6</w:t>
            </w:r>
          </w:p>
        </w:tc>
        <w:tc>
          <w:tcPr>
            <w:tcW w:w="2043" w:type="dxa"/>
            <w:tcBorders>
              <w:top w:val="nil"/>
              <w:left w:val="nil"/>
              <w:bottom w:val="nil"/>
              <w:right w:val="nil"/>
            </w:tcBorders>
            <w:shd w:val="clear" w:color="auto" w:fill="auto"/>
            <w:noWrap/>
            <w:vAlign w:val="bottom"/>
            <w:hideMark/>
          </w:tcPr>
          <w:p w14:paraId="19140F30"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-0,02%</w:t>
            </w:r>
          </w:p>
        </w:tc>
        <w:tc>
          <w:tcPr>
            <w:tcW w:w="2043" w:type="dxa"/>
            <w:tcBorders>
              <w:top w:val="nil"/>
              <w:left w:val="nil"/>
              <w:bottom w:val="nil"/>
              <w:right w:val="nil"/>
            </w:tcBorders>
            <w:shd w:val="clear" w:color="auto" w:fill="auto"/>
            <w:noWrap/>
            <w:vAlign w:val="bottom"/>
            <w:hideMark/>
          </w:tcPr>
          <w:p w14:paraId="31975A89"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-0,0558</w:t>
            </w:r>
          </w:p>
        </w:tc>
        <w:tc>
          <w:tcPr>
            <w:tcW w:w="1488" w:type="dxa"/>
            <w:tcBorders>
              <w:top w:val="nil"/>
              <w:left w:val="nil"/>
              <w:bottom w:val="nil"/>
              <w:right w:val="nil"/>
            </w:tcBorders>
            <w:shd w:val="clear" w:color="auto" w:fill="auto"/>
            <w:noWrap/>
            <w:vAlign w:val="bottom"/>
            <w:hideMark/>
          </w:tcPr>
          <w:p w14:paraId="16791928"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2%</w:t>
            </w:r>
          </w:p>
        </w:tc>
        <w:tc>
          <w:tcPr>
            <w:tcW w:w="1829" w:type="dxa"/>
            <w:tcBorders>
              <w:top w:val="nil"/>
              <w:left w:val="nil"/>
              <w:bottom w:val="nil"/>
              <w:right w:val="nil"/>
            </w:tcBorders>
            <w:shd w:val="clear" w:color="000000" w:fill="A9D08E"/>
            <w:noWrap/>
            <w:vAlign w:val="bottom"/>
            <w:hideMark/>
          </w:tcPr>
          <w:p w14:paraId="3EC6CFC6"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2,1765</w:t>
            </w:r>
          </w:p>
        </w:tc>
      </w:tr>
      <w:tr w:rsidR="005E216C" w:rsidRPr="005E216C" w14:paraId="62A388F6" w14:textId="77777777" w:rsidTr="005E216C">
        <w:trPr>
          <w:trHeight w:val="260"/>
        </w:trPr>
        <w:tc>
          <w:tcPr>
            <w:tcW w:w="2043" w:type="dxa"/>
            <w:tcBorders>
              <w:top w:val="nil"/>
              <w:left w:val="nil"/>
              <w:bottom w:val="nil"/>
              <w:right w:val="nil"/>
            </w:tcBorders>
            <w:shd w:val="clear" w:color="000000" w:fill="D9D9D9"/>
            <w:noWrap/>
            <w:vAlign w:val="bottom"/>
            <w:hideMark/>
          </w:tcPr>
          <w:p w14:paraId="4B7FACA7"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7</w:t>
            </w:r>
          </w:p>
        </w:tc>
        <w:tc>
          <w:tcPr>
            <w:tcW w:w="2043" w:type="dxa"/>
            <w:tcBorders>
              <w:top w:val="nil"/>
              <w:left w:val="nil"/>
              <w:bottom w:val="nil"/>
              <w:right w:val="nil"/>
            </w:tcBorders>
            <w:shd w:val="clear" w:color="auto" w:fill="auto"/>
            <w:noWrap/>
            <w:vAlign w:val="bottom"/>
            <w:hideMark/>
          </w:tcPr>
          <w:p w14:paraId="7C0F5682"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0,35%</w:t>
            </w:r>
          </w:p>
        </w:tc>
        <w:tc>
          <w:tcPr>
            <w:tcW w:w="2043" w:type="dxa"/>
            <w:tcBorders>
              <w:top w:val="nil"/>
              <w:left w:val="nil"/>
              <w:bottom w:val="nil"/>
              <w:right w:val="nil"/>
            </w:tcBorders>
            <w:shd w:val="clear" w:color="auto" w:fill="auto"/>
            <w:noWrap/>
            <w:vAlign w:val="bottom"/>
            <w:hideMark/>
          </w:tcPr>
          <w:p w14:paraId="7376C33E"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1,0945</w:t>
            </w:r>
          </w:p>
        </w:tc>
        <w:tc>
          <w:tcPr>
            <w:tcW w:w="1488" w:type="dxa"/>
            <w:tcBorders>
              <w:top w:val="nil"/>
              <w:left w:val="nil"/>
              <w:bottom w:val="nil"/>
              <w:right w:val="nil"/>
            </w:tcBorders>
            <w:shd w:val="clear" w:color="auto" w:fill="auto"/>
            <w:noWrap/>
            <w:vAlign w:val="bottom"/>
            <w:hideMark/>
          </w:tcPr>
          <w:p w14:paraId="2E2D11D8"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2%</w:t>
            </w:r>
          </w:p>
        </w:tc>
        <w:tc>
          <w:tcPr>
            <w:tcW w:w="1829" w:type="dxa"/>
            <w:tcBorders>
              <w:top w:val="nil"/>
              <w:left w:val="nil"/>
              <w:bottom w:val="nil"/>
              <w:right w:val="nil"/>
            </w:tcBorders>
            <w:shd w:val="clear" w:color="000000" w:fill="A9D08E"/>
            <w:noWrap/>
            <w:vAlign w:val="bottom"/>
            <w:hideMark/>
          </w:tcPr>
          <w:p w14:paraId="121249BD"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2,5561</w:t>
            </w:r>
          </w:p>
        </w:tc>
      </w:tr>
      <w:tr w:rsidR="005E216C" w:rsidRPr="005E216C" w14:paraId="6AB30A00" w14:textId="77777777" w:rsidTr="005E216C">
        <w:trPr>
          <w:trHeight w:val="260"/>
        </w:trPr>
        <w:tc>
          <w:tcPr>
            <w:tcW w:w="2043" w:type="dxa"/>
            <w:tcBorders>
              <w:top w:val="nil"/>
              <w:left w:val="nil"/>
              <w:bottom w:val="nil"/>
              <w:right w:val="nil"/>
            </w:tcBorders>
            <w:shd w:val="clear" w:color="000000" w:fill="D9D9D9"/>
            <w:noWrap/>
            <w:vAlign w:val="bottom"/>
            <w:hideMark/>
          </w:tcPr>
          <w:p w14:paraId="36CA3323"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8</w:t>
            </w:r>
          </w:p>
        </w:tc>
        <w:tc>
          <w:tcPr>
            <w:tcW w:w="2043" w:type="dxa"/>
            <w:tcBorders>
              <w:top w:val="nil"/>
              <w:left w:val="nil"/>
              <w:bottom w:val="nil"/>
              <w:right w:val="nil"/>
            </w:tcBorders>
            <w:shd w:val="clear" w:color="auto" w:fill="auto"/>
            <w:noWrap/>
            <w:vAlign w:val="bottom"/>
            <w:hideMark/>
          </w:tcPr>
          <w:p w14:paraId="0618A387"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-0,17%</w:t>
            </w:r>
          </w:p>
        </w:tc>
        <w:tc>
          <w:tcPr>
            <w:tcW w:w="2043" w:type="dxa"/>
            <w:tcBorders>
              <w:top w:val="nil"/>
              <w:left w:val="nil"/>
              <w:bottom w:val="nil"/>
              <w:right w:val="nil"/>
            </w:tcBorders>
            <w:shd w:val="clear" w:color="auto" w:fill="auto"/>
            <w:noWrap/>
            <w:vAlign w:val="bottom"/>
            <w:hideMark/>
          </w:tcPr>
          <w:p w14:paraId="7A463566"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-0,5339</w:t>
            </w:r>
          </w:p>
        </w:tc>
        <w:tc>
          <w:tcPr>
            <w:tcW w:w="1488" w:type="dxa"/>
            <w:tcBorders>
              <w:top w:val="nil"/>
              <w:left w:val="nil"/>
              <w:bottom w:val="nil"/>
              <w:right w:val="nil"/>
            </w:tcBorders>
            <w:shd w:val="clear" w:color="auto" w:fill="auto"/>
            <w:noWrap/>
            <w:vAlign w:val="bottom"/>
            <w:hideMark/>
          </w:tcPr>
          <w:p w14:paraId="727B9592"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2%</w:t>
            </w:r>
          </w:p>
        </w:tc>
        <w:tc>
          <w:tcPr>
            <w:tcW w:w="1829" w:type="dxa"/>
            <w:tcBorders>
              <w:top w:val="nil"/>
              <w:left w:val="nil"/>
              <w:bottom w:val="nil"/>
              <w:right w:val="nil"/>
            </w:tcBorders>
            <w:shd w:val="clear" w:color="000000" w:fill="A9D08E"/>
            <w:noWrap/>
            <w:vAlign w:val="bottom"/>
            <w:hideMark/>
          </w:tcPr>
          <w:p w14:paraId="0A25E446"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2,3709</w:t>
            </w:r>
          </w:p>
        </w:tc>
      </w:tr>
      <w:tr w:rsidR="005E216C" w:rsidRPr="005E216C" w14:paraId="2CA25D9C" w14:textId="77777777" w:rsidTr="005E216C">
        <w:trPr>
          <w:trHeight w:val="260"/>
        </w:trPr>
        <w:tc>
          <w:tcPr>
            <w:tcW w:w="2043" w:type="dxa"/>
            <w:tcBorders>
              <w:top w:val="nil"/>
              <w:left w:val="nil"/>
              <w:bottom w:val="nil"/>
              <w:right w:val="nil"/>
            </w:tcBorders>
            <w:shd w:val="clear" w:color="000000" w:fill="D9D9D9"/>
            <w:noWrap/>
            <w:vAlign w:val="bottom"/>
            <w:hideMark/>
          </w:tcPr>
          <w:p w14:paraId="71938128"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9</w:t>
            </w:r>
          </w:p>
        </w:tc>
        <w:tc>
          <w:tcPr>
            <w:tcW w:w="2043" w:type="dxa"/>
            <w:tcBorders>
              <w:top w:val="nil"/>
              <w:left w:val="nil"/>
              <w:bottom w:val="nil"/>
              <w:right w:val="nil"/>
            </w:tcBorders>
            <w:shd w:val="clear" w:color="auto" w:fill="auto"/>
            <w:noWrap/>
            <w:vAlign w:val="bottom"/>
            <w:hideMark/>
          </w:tcPr>
          <w:p w14:paraId="42CECF98"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-0,38%</w:t>
            </w:r>
          </w:p>
        </w:tc>
        <w:tc>
          <w:tcPr>
            <w:tcW w:w="2043" w:type="dxa"/>
            <w:tcBorders>
              <w:top w:val="nil"/>
              <w:left w:val="nil"/>
              <w:bottom w:val="nil"/>
              <w:right w:val="nil"/>
            </w:tcBorders>
            <w:shd w:val="clear" w:color="auto" w:fill="auto"/>
            <w:noWrap/>
            <w:vAlign w:val="bottom"/>
            <w:hideMark/>
          </w:tcPr>
          <w:p w14:paraId="12FEE1FF"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-1,2192</w:t>
            </w:r>
          </w:p>
        </w:tc>
        <w:tc>
          <w:tcPr>
            <w:tcW w:w="1488" w:type="dxa"/>
            <w:tcBorders>
              <w:top w:val="nil"/>
              <w:left w:val="nil"/>
              <w:bottom w:val="nil"/>
              <w:right w:val="nil"/>
            </w:tcBorders>
            <w:shd w:val="clear" w:color="auto" w:fill="auto"/>
            <w:noWrap/>
            <w:vAlign w:val="bottom"/>
            <w:hideMark/>
          </w:tcPr>
          <w:p w14:paraId="5730BD11"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2%</w:t>
            </w:r>
          </w:p>
        </w:tc>
        <w:tc>
          <w:tcPr>
            <w:tcW w:w="1829" w:type="dxa"/>
            <w:tcBorders>
              <w:top w:val="nil"/>
              <w:left w:val="nil"/>
              <w:bottom w:val="nil"/>
              <w:right w:val="nil"/>
            </w:tcBorders>
            <w:shd w:val="clear" w:color="000000" w:fill="A9D08E"/>
            <w:noWrap/>
            <w:vAlign w:val="bottom"/>
            <w:hideMark/>
          </w:tcPr>
          <w:p w14:paraId="03D20F52"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1,9480</w:t>
            </w:r>
          </w:p>
        </w:tc>
      </w:tr>
      <w:tr w:rsidR="005E216C" w:rsidRPr="005E216C" w14:paraId="4F0C586D" w14:textId="77777777" w:rsidTr="005E216C">
        <w:trPr>
          <w:trHeight w:val="260"/>
        </w:trPr>
        <w:tc>
          <w:tcPr>
            <w:tcW w:w="2043" w:type="dxa"/>
            <w:tcBorders>
              <w:top w:val="nil"/>
              <w:left w:val="nil"/>
              <w:bottom w:val="nil"/>
              <w:right w:val="nil"/>
            </w:tcBorders>
            <w:shd w:val="clear" w:color="000000" w:fill="D9D9D9"/>
            <w:noWrap/>
            <w:vAlign w:val="bottom"/>
            <w:hideMark/>
          </w:tcPr>
          <w:p w14:paraId="6BEDF293"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10</w:t>
            </w:r>
          </w:p>
        </w:tc>
        <w:tc>
          <w:tcPr>
            <w:tcW w:w="2043" w:type="dxa"/>
            <w:tcBorders>
              <w:top w:val="nil"/>
              <w:left w:val="nil"/>
              <w:bottom w:val="nil"/>
              <w:right w:val="nil"/>
            </w:tcBorders>
            <w:shd w:val="clear" w:color="auto" w:fill="auto"/>
            <w:noWrap/>
            <w:vAlign w:val="bottom"/>
            <w:hideMark/>
          </w:tcPr>
          <w:p w14:paraId="227FE77E"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0,08%</w:t>
            </w:r>
          </w:p>
        </w:tc>
        <w:tc>
          <w:tcPr>
            <w:tcW w:w="2043" w:type="dxa"/>
            <w:tcBorders>
              <w:top w:val="nil"/>
              <w:left w:val="nil"/>
              <w:bottom w:val="nil"/>
              <w:right w:val="nil"/>
            </w:tcBorders>
            <w:shd w:val="clear" w:color="auto" w:fill="auto"/>
            <w:noWrap/>
            <w:vAlign w:val="bottom"/>
            <w:hideMark/>
          </w:tcPr>
          <w:p w14:paraId="1FE08A71"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0,2695</w:t>
            </w:r>
          </w:p>
        </w:tc>
        <w:tc>
          <w:tcPr>
            <w:tcW w:w="1488" w:type="dxa"/>
            <w:tcBorders>
              <w:top w:val="nil"/>
              <w:left w:val="nil"/>
              <w:bottom w:val="nil"/>
              <w:right w:val="nil"/>
            </w:tcBorders>
            <w:shd w:val="clear" w:color="auto" w:fill="auto"/>
            <w:noWrap/>
            <w:vAlign w:val="bottom"/>
            <w:hideMark/>
          </w:tcPr>
          <w:p w14:paraId="042BD756"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1,86%</w:t>
            </w:r>
          </w:p>
        </w:tc>
        <w:tc>
          <w:tcPr>
            <w:tcW w:w="1829" w:type="dxa"/>
            <w:tcBorders>
              <w:top w:val="nil"/>
              <w:left w:val="nil"/>
              <w:bottom w:val="nil"/>
              <w:right w:val="nil"/>
            </w:tcBorders>
            <w:shd w:val="clear" w:color="000000" w:fill="A9D08E"/>
            <w:noWrap/>
            <w:vAlign w:val="bottom"/>
            <w:hideMark/>
          </w:tcPr>
          <w:p w14:paraId="20F0C042" w14:textId="77777777" w:rsidR="005E216C" w:rsidRPr="005E216C" w:rsidRDefault="005E216C" w:rsidP="005E216C">
            <w:pPr>
              <w:spacing w:line="240" w:lineRule="auto"/>
              <w:ind w:firstLine="0"/>
              <w:jc w:val="center"/>
              <w:rPr>
                <w:rFonts w:ascii="Calibri" w:eastAsia="Times New Roman" w:hAnsi="Calibri" w:cs="Calibri"/>
                <w:color w:val="000000"/>
                <w:sz w:val="20"/>
                <w:szCs w:val="20"/>
                <w:lang w:val="en-US"/>
              </w:rPr>
            </w:pPr>
            <w:r w:rsidRPr="005E216C">
              <w:rPr>
                <w:rFonts w:ascii="Calibri" w:eastAsia="Times New Roman" w:hAnsi="Calibri" w:cs="Calibri"/>
                <w:color w:val="000000"/>
                <w:sz w:val="20"/>
                <w:szCs w:val="20"/>
                <w:lang w:val="en-US"/>
              </w:rPr>
              <w:t>2,0415</w:t>
            </w:r>
          </w:p>
        </w:tc>
      </w:tr>
    </w:tbl>
    <w:p w14:paraId="5B610C1B" w14:textId="77777777" w:rsidR="00E4570D" w:rsidRPr="00E4570D" w:rsidRDefault="00E4570D" w:rsidP="00E4570D"/>
    <w:p w14:paraId="6C867FA0" w14:textId="77777777" w:rsidR="005E216C" w:rsidRDefault="005E216C" w:rsidP="002F6A3C">
      <w:pPr>
        <w:ind w:firstLine="0"/>
        <w:rPr>
          <w:b/>
          <w:bCs/>
        </w:rPr>
      </w:pPr>
    </w:p>
    <w:p w14:paraId="445474CB" w14:textId="676A1A79" w:rsidR="002F6A3C" w:rsidRDefault="002F6A3C" w:rsidP="002F6A3C">
      <w:pPr>
        <w:ind w:firstLine="0"/>
        <w:rPr>
          <w:b/>
          <w:bCs/>
        </w:rPr>
      </w:pPr>
      <w:r w:rsidRPr="002F6A3C">
        <w:rPr>
          <w:b/>
          <w:bCs/>
        </w:rPr>
        <w:t xml:space="preserve">Приложение </w:t>
      </w:r>
      <w:r w:rsidR="005E216C">
        <w:rPr>
          <w:b/>
          <w:bCs/>
        </w:rPr>
        <w:t>5</w:t>
      </w:r>
      <w:r w:rsidRPr="002F6A3C">
        <w:rPr>
          <w:b/>
          <w:bCs/>
        </w:rPr>
        <w:t xml:space="preserve">. Описательная статистика </w:t>
      </w:r>
      <w:r w:rsidR="007379E0">
        <w:rPr>
          <w:b/>
          <w:bCs/>
        </w:rPr>
        <w:t>позитивного «дивидендного сюрприза»</w:t>
      </w:r>
    </w:p>
    <w:p w14:paraId="1C9EBB60" w14:textId="26FEC32D" w:rsidR="007379E0" w:rsidRPr="007379E0" w:rsidRDefault="007379E0" w:rsidP="002F6A3C">
      <w:pPr>
        <w:ind w:firstLine="0"/>
      </w:pPr>
      <w:r w:rsidRPr="007379E0">
        <w:t>(</w:t>
      </w:r>
      <w:r>
        <w:t xml:space="preserve">Здесь и далее </w:t>
      </w:r>
      <w:r w:rsidRPr="007379E0">
        <w:rPr>
          <w:lang w:val="en-US"/>
        </w:rPr>
        <w:t>russia</w:t>
      </w:r>
      <w:r w:rsidRPr="007379E0">
        <w:t>=</w:t>
      </w:r>
      <w:r w:rsidRPr="009217DB">
        <w:t xml:space="preserve">=1 – </w:t>
      </w:r>
      <w:r w:rsidRPr="007379E0">
        <w:t xml:space="preserve">результат для российской выборки, </w:t>
      </w:r>
      <w:r w:rsidRPr="007379E0">
        <w:rPr>
          <w:lang w:val="en-US"/>
        </w:rPr>
        <w:t>russia</w:t>
      </w:r>
      <w:r w:rsidRPr="009217DB">
        <w:t xml:space="preserve">==0 – </w:t>
      </w:r>
      <w:r w:rsidRPr="007379E0">
        <w:t>для китайской)</w:t>
      </w:r>
    </w:p>
    <w:p w14:paraId="1AAE0550" w14:textId="16926DD7" w:rsidR="00832CB0" w:rsidRDefault="006F357F" w:rsidP="005A4F0F">
      <w:pPr>
        <w:ind w:firstLine="0"/>
        <w:rPr>
          <w:b/>
          <w:bCs/>
          <w:lang w:val="en-US"/>
        </w:rPr>
      </w:pPr>
      <w:r w:rsidRPr="006F357F">
        <w:rPr>
          <w:b/>
          <w:bCs/>
          <w:noProof/>
          <w:lang w:val="en-US"/>
        </w:rPr>
        <w:drawing>
          <wp:inline distT="0" distB="0" distL="0" distR="0" wp14:anchorId="55B9D1C1" wp14:editId="412CCDCC">
            <wp:extent cx="4984750" cy="1561422"/>
            <wp:effectExtent l="0" t="0" r="6350" b="1270"/>
            <wp:docPr id="8" name="Рисунок 8"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стол&#10;&#10;Автоматически созданное описание"/>
                    <pic:cNvPicPr/>
                  </pic:nvPicPr>
                  <pic:blipFill rotWithShape="1">
                    <a:blip r:embed="rId27"/>
                    <a:srcRect t="-1" b="50400"/>
                    <a:stretch/>
                  </pic:blipFill>
                  <pic:spPr bwMode="auto">
                    <a:xfrm>
                      <a:off x="0" y="0"/>
                      <a:ext cx="5014627" cy="1570781"/>
                    </a:xfrm>
                    <a:prstGeom prst="rect">
                      <a:avLst/>
                    </a:prstGeom>
                    <a:ln>
                      <a:noFill/>
                    </a:ln>
                    <a:extLst>
                      <a:ext uri="{53640926-AAD7-44D8-BBD7-CCE9431645EC}">
                        <a14:shadowObscured xmlns:a14="http://schemas.microsoft.com/office/drawing/2010/main"/>
                      </a:ext>
                    </a:extLst>
                  </pic:spPr>
                </pic:pic>
              </a:graphicData>
            </a:graphic>
          </wp:inline>
        </w:drawing>
      </w:r>
    </w:p>
    <w:p w14:paraId="0A8C9871" w14:textId="77777777" w:rsidR="007379E0" w:rsidRDefault="007379E0" w:rsidP="005A4F0F">
      <w:pPr>
        <w:ind w:firstLine="0"/>
        <w:rPr>
          <w:b/>
          <w:bCs/>
          <w:lang w:val="en-US"/>
        </w:rPr>
      </w:pPr>
    </w:p>
    <w:p w14:paraId="074D2A72" w14:textId="7EDB1E00" w:rsidR="007379E0" w:rsidRPr="009217DB" w:rsidRDefault="007379E0" w:rsidP="005A4F0F">
      <w:pPr>
        <w:ind w:firstLine="0"/>
        <w:rPr>
          <w:b/>
          <w:bCs/>
        </w:rPr>
      </w:pPr>
      <w:r w:rsidRPr="002F6A3C">
        <w:rPr>
          <w:b/>
          <w:bCs/>
        </w:rPr>
        <w:t>Приложение</w:t>
      </w:r>
      <w:r w:rsidR="005E216C">
        <w:rPr>
          <w:b/>
          <w:bCs/>
        </w:rPr>
        <w:t xml:space="preserve"> 6</w:t>
      </w:r>
      <w:r w:rsidRPr="002F6A3C">
        <w:rPr>
          <w:b/>
          <w:bCs/>
        </w:rPr>
        <w:t xml:space="preserve">. Описательная статистика </w:t>
      </w:r>
      <w:r>
        <w:rPr>
          <w:b/>
          <w:bCs/>
        </w:rPr>
        <w:t>негативного «дивидендного сюрприза»</w:t>
      </w:r>
    </w:p>
    <w:p w14:paraId="07DA87D5" w14:textId="222ACEDB" w:rsidR="007379E0" w:rsidRPr="005A4F0F" w:rsidRDefault="007379E0" w:rsidP="005A4F0F">
      <w:pPr>
        <w:ind w:firstLine="0"/>
        <w:rPr>
          <w:b/>
          <w:bCs/>
          <w:lang w:val="en-US"/>
        </w:rPr>
      </w:pPr>
      <w:r w:rsidRPr="007379E0">
        <w:rPr>
          <w:b/>
          <w:bCs/>
          <w:noProof/>
          <w:lang w:val="en-US"/>
        </w:rPr>
        <w:drawing>
          <wp:inline distT="0" distB="0" distL="0" distR="0" wp14:anchorId="5F4E7C3A" wp14:editId="1B511446">
            <wp:extent cx="5089519" cy="812800"/>
            <wp:effectExtent l="0" t="0" r="0" b="6350"/>
            <wp:docPr id="11" name="Рисунок 1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текст&#10;&#10;Автоматически созданное описание"/>
                    <pic:cNvPicPr/>
                  </pic:nvPicPr>
                  <pic:blipFill>
                    <a:blip r:embed="rId28"/>
                    <a:stretch>
                      <a:fillRect/>
                    </a:stretch>
                  </pic:blipFill>
                  <pic:spPr>
                    <a:xfrm>
                      <a:off x="0" y="0"/>
                      <a:ext cx="5135644" cy="820166"/>
                    </a:xfrm>
                    <a:prstGeom prst="rect">
                      <a:avLst/>
                    </a:prstGeom>
                  </pic:spPr>
                </pic:pic>
              </a:graphicData>
            </a:graphic>
          </wp:inline>
        </w:drawing>
      </w:r>
    </w:p>
    <w:p w14:paraId="2A9EA367" w14:textId="673BA4B7" w:rsidR="005A4F0F" w:rsidRDefault="005A4F0F" w:rsidP="005E216C">
      <w:pPr>
        <w:ind w:left="-142" w:firstLine="142"/>
      </w:pPr>
      <w:r w:rsidRPr="006F357F">
        <w:rPr>
          <w:noProof/>
        </w:rPr>
        <w:drawing>
          <wp:inline distT="0" distB="0" distL="0" distR="0" wp14:anchorId="6B87C4C7" wp14:editId="62341F9A">
            <wp:extent cx="4926553" cy="876300"/>
            <wp:effectExtent l="0" t="0" r="7620" b="0"/>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pic:nvPicPr>
                  <pic:blipFill>
                    <a:blip r:embed="rId29"/>
                    <a:stretch>
                      <a:fillRect/>
                    </a:stretch>
                  </pic:blipFill>
                  <pic:spPr>
                    <a:xfrm>
                      <a:off x="0" y="0"/>
                      <a:ext cx="5004654" cy="890192"/>
                    </a:xfrm>
                    <a:prstGeom prst="rect">
                      <a:avLst/>
                    </a:prstGeom>
                  </pic:spPr>
                </pic:pic>
              </a:graphicData>
            </a:graphic>
          </wp:inline>
        </w:drawing>
      </w:r>
    </w:p>
    <w:p w14:paraId="762AFFA1" w14:textId="4EC0D787" w:rsidR="007A1D3D" w:rsidRDefault="007A1D3D" w:rsidP="005A4F0F">
      <w:pPr>
        <w:ind w:firstLine="142"/>
      </w:pPr>
    </w:p>
    <w:p w14:paraId="571943E3" w14:textId="1AAB50EC" w:rsidR="007379E0" w:rsidRDefault="007379E0" w:rsidP="007379E0">
      <w:pPr>
        <w:ind w:firstLine="0"/>
        <w:rPr>
          <w:b/>
          <w:bCs/>
        </w:rPr>
      </w:pPr>
      <w:r w:rsidRPr="002F6A3C">
        <w:rPr>
          <w:b/>
          <w:bCs/>
        </w:rPr>
        <w:t xml:space="preserve">Приложение </w:t>
      </w:r>
      <w:r w:rsidR="005E216C">
        <w:rPr>
          <w:b/>
          <w:bCs/>
        </w:rPr>
        <w:t>7</w:t>
      </w:r>
      <w:r w:rsidRPr="002F6A3C">
        <w:rPr>
          <w:b/>
          <w:bCs/>
        </w:rPr>
        <w:t xml:space="preserve">. Описательная статистика </w:t>
      </w:r>
      <w:r w:rsidR="00E4570D">
        <w:rPr>
          <w:b/>
          <w:bCs/>
        </w:rPr>
        <w:t>переменных для регрессионной модели</w:t>
      </w:r>
    </w:p>
    <w:p w14:paraId="4AB25E4E" w14:textId="37D8AA42" w:rsidR="00E4570D" w:rsidRDefault="00E4570D" w:rsidP="007379E0">
      <w:pPr>
        <w:ind w:firstLine="0"/>
        <w:rPr>
          <w:b/>
          <w:bCs/>
        </w:rPr>
      </w:pPr>
    </w:p>
    <w:p w14:paraId="0E086A3D" w14:textId="61AB127E" w:rsidR="00E4570D" w:rsidRPr="00E4570D" w:rsidRDefault="00E4570D" w:rsidP="00E4570D">
      <w:pPr>
        <w:pStyle w:val="af7"/>
        <w:numPr>
          <w:ilvl w:val="0"/>
          <w:numId w:val="18"/>
        </w:numPr>
        <w:rPr>
          <w:rFonts w:ascii="Times New Roman" w:hAnsi="Times New Roman" w:cs="Times New Roman"/>
          <w:sz w:val="24"/>
          <w:szCs w:val="24"/>
          <w:lang w:val="en-US"/>
        </w:rPr>
      </w:pPr>
      <w:r w:rsidRPr="00E4570D">
        <w:rPr>
          <w:rFonts w:ascii="Times New Roman" w:hAnsi="Times New Roman" w:cs="Times New Roman"/>
          <w:sz w:val="24"/>
          <w:szCs w:val="24"/>
        </w:rPr>
        <w:t xml:space="preserve">Для выборки </w:t>
      </w:r>
      <w:r w:rsidRPr="00E4570D">
        <w:rPr>
          <w:rFonts w:ascii="Times New Roman" w:hAnsi="Times New Roman" w:cs="Times New Roman"/>
          <w:sz w:val="24"/>
          <w:szCs w:val="24"/>
          <w:lang w:val="en-US"/>
        </w:rPr>
        <w:t>MICEX</w:t>
      </w:r>
    </w:p>
    <w:p w14:paraId="0C345FD4" w14:textId="394C1FF0" w:rsidR="00E4570D" w:rsidRDefault="00E90081" w:rsidP="005E216C">
      <w:pPr>
        <w:ind w:firstLine="142"/>
      </w:pPr>
      <w:r w:rsidRPr="00E90081">
        <w:rPr>
          <w:noProof/>
        </w:rPr>
        <w:drawing>
          <wp:inline distT="0" distB="0" distL="0" distR="0" wp14:anchorId="6B5F43B9" wp14:editId="72E7DBDA">
            <wp:extent cx="5940425" cy="1593215"/>
            <wp:effectExtent l="0" t="0" r="3175" b="6985"/>
            <wp:docPr id="13" name="Рисунок 1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текст&#10;&#10;Автоматически созданное описание"/>
                    <pic:cNvPicPr/>
                  </pic:nvPicPr>
                  <pic:blipFill>
                    <a:blip r:embed="rId30"/>
                    <a:stretch>
                      <a:fillRect/>
                    </a:stretch>
                  </pic:blipFill>
                  <pic:spPr>
                    <a:xfrm>
                      <a:off x="0" y="0"/>
                      <a:ext cx="5940425" cy="1593215"/>
                    </a:xfrm>
                    <a:prstGeom prst="rect">
                      <a:avLst/>
                    </a:prstGeom>
                  </pic:spPr>
                </pic:pic>
              </a:graphicData>
            </a:graphic>
          </wp:inline>
        </w:drawing>
      </w:r>
    </w:p>
    <w:p w14:paraId="334D8E79" w14:textId="58AF2996" w:rsidR="00E4570D" w:rsidRPr="00E4570D" w:rsidRDefault="00E4570D" w:rsidP="00E4570D">
      <w:pPr>
        <w:pStyle w:val="af7"/>
        <w:numPr>
          <w:ilvl w:val="0"/>
          <w:numId w:val="18"/>
        </w:numPr>
        <w:rPr>
          <w:rFonts w:ascii="Times New Roman" w:hAnsi="Times New Roman" w:cs="Times New Roman"/>
          <w:sz w:val="24"/>
          <w:szCs w:val="24"/>
          <w:lang w:val="en-US"/>
        </w:rPr>
      </w:pPr>
      <w:r w:rsidRPr="00E4570D">
        <w:rPr>
          <w:rFonts w:ascii="Times New Roman" w:hAnsi="Times New Roman" w:cs="Times New Roman"/>
          <w:sz w:val="24"/>
          <w:szCs w:val="24"/>
        </w:rPr>
        <w:t xml:space="preserve">Для выборки </w:t>
      </w:r>
      <w:r w:rsidRPr="00E4570D">
        <w:rPr>
          <w:rFonts w:ascii="Times New Roman" w:hAnsi="Times New Roman" w:cs="Times New Roman"/>
          <w:sz w:val="24"/>
          <w:szCs w:val="24"/>
          <w:lang w:val="en-US"/>
        </w:rPr>
        <w:t>Shenzhen Stock Exchange</w:t>
      </w:r>
    </w:p>
    <w:p w14:paraId="0AA71A0D" w14:textId="7FB1893C" w:rsidR="00E90081" w:rsidRDefault="00E90081" w:rsidP="005A4F0F">
      <w:pPr>
        <w:ind w:firstLine="142"/>
      </w:pPr>
      <w:r w:rsidRPr="00E90081">
        <w:rPr>
          <w:noProof/>
        </w:rPr>
        <w:drawing>
          <wp:inline distT="0" distB="0" distL="0" distR="0" wp14:anchorId="294E0B94" wp14:editId="451739FD">
            <wp:extent cx="5289550" cy="1468974"/>
            <wp:effectExtent l="0" t="0" r="6350" b="0"/>
            <wp:docPr id="14" name="Рисунок 14"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стол&#10;&#10;Автоматически созданное описание"/>
                    <pic:cNvPicPr/>
                  </pic:nvPicPr>
                  <pic:blipFill>
                    <a:blip r:embed="rId31"/>
                    <a:stretch>
                      <a:fillRect/>
                    </a:stretch>
                  </pic:blipFill>
                  <pic:spPr>
                    <a:xfrm>
                      <a:off x="0" y="0"/>
                      <a:ext cx="5299256" cy="1471669"/>
                    </a:xfrm>
                    <a:prstGeom prst="rect">
                      <a:avLst/>
                    </a:prstGeom>
                  </pic:spPr>
                </pic:pic>
              </a:graphicData>
            </a:graphic>
          </wp:inline>
        </w:drawing>
      </w:r>
    </w:p>
    <w:p w14:paraId="58EABA3B" w14:textId="0EC736A9" w:rsidR="005D5789" w:rsidRDefault="005D5789" w:rsidP="005A4F0F">
      <w:pPr>
        <w:ind w:firstLine="142"/>
      </w:pPr>
    </w:p>
    <w:p w14:paraId="0B88B3EF" w14:textId="10E0246B" w:rsidR="005D5789" w:rsidRPr="00353B95" w:rsidRDefault="002D0FA4" w:rsidP="002D0FA4">
      <w:pPr>
        <w:ind w:firstLine="0"/>
        <w:rPr>
          <w:b/>
          <w:bCs/>
        </w:rPr>
      </w:pPr>
      <w:r w:rsidRPr="00353B95">
        <w:rPr>
          <w:b/>
          <w:bCs/>
        </w:rPr>
        <w:t>Прило</w:t>
      </w:r>
      <w:r w:rsidR="00353B95">
        <w:rPr>
          <w:b/>
          <w:bCs/>
        </w:rPr>
        <w:t>же</w:t>
      </w:r>
      <w:r w:rsidRPr="00353B95">
        <w:rPr>
          <w:b/>
          <w:bCs/>
        </w:rPr>
        <w:t>ние 8. Корреляционные матрицы для переменных в моделях</w:t>
      </w:r>
    </w:p>
    <w:p w14:paraId="5E6F0F2A" w14:textId="77777777" w:rsidR="002D0FA4" w:rsidRDefault="002D0FA4" w:rsidP="002D0FA4">
      <w:pPr>
        <w:pStyle w:val="af7"/>
      </w:pPr>
    </w:p>
    <w:p w14:paraId="65A5AC53" w14:textId="5920E868" w:rsidR="002D0FA4" w:rsidRPr="00353B95" w:rsidRDefault="002D0FA4" w:rsidP="002D0FA4">
      <w:pPr>
        <w:pStyle w:val="af7"/>
        <w:numPr>
          <w:ilvl w:val="0"/>
          <w:numId w:val="30"/>
        </w:numPr>
        <w:rPr>
          <w:rFonts w:ascii="Times New Roman" w:hAnsi="Times New Roman" w:cs="Times New Roman"/>
          <w:sz w:val="24"/>
          <w:szCs w:val="24"/>
        </w:rPr>
      </w:pPr>
      <w:r w:rsidRPr="00353B95">
        <w:rPr>
          <w:rFonts w:ascii="Times New Roman" w:hAnsi="Times New Roman" w:cs="Times New Roman"/>
          <w:sz w:val="24"/>
          <w:szCs w:val="24"/>
        </w:rPr>
        <w:t>Для</w:t>
      </w:r>
      <w:r w:rsidR="00353B95" w:rsidRPr="00353B95">
        <w:rPr>
          <w:rFonts w:ascii="Times New Roman" w:hAnsi="Times New Roman" w:cs="Times New Roman"/>
          <w:sz w:val="24"/>
          <w:szCs w:val="24"/>
        </w:rPr>
        <w:t xml:space="preserve"> модели</w:t>
      </w:r>
      <w:r w:rsidRPr="00353B95">
        <w:rPr>
          <w:rFonts w:ascii="Times New Roman" w:hAnsi="Times New Roman" w:cs="Times New Roman"/>
          <w:sz w:val="24"/>
          <w:szCs w:val="24"/>
        </w:rPr>
        <w:t xml:space="preserve"> негативного сюрприза (корреляционные матрицы для выборок </w:t>
      </w:r>
      <w:r w:rsidRPr="00353B95">
        <w:rPr>
          <w:rFonts w:ascii="Times New Roman" w:hAnsi="Times New Roman" w:cs="Times New Roman"/>
          <w:sz w:val="24"/>
          <w:szCs w:val="24"/>
          <w:lang w:val="en-US"/>
        </w:rPr>
        <w:t xml:space="preserve">MICEX </w:t>
      </w:r>
      <w:r w:rsidRPr="00353B95">
        <w:rPr>
          <w:rFonts w:ascii="Times New Roman" w:hAnsi="Times New Roman" w:cs="Times New Roman"/>
          <w:sz w:val="24"/>
          <w:szCs w:val="24"/>
        </w:rPr>
        <w:t xml:space="preserve">и </w:t>
      </w:r>
      <w:r w:rsidRPr="00353B95">
        <w:rPr>
          <w:rFonts w:ascii="Times New Roman" w:hAnsi="Times New Roman" w:cs="Times New Roman"/>
          <w:sz w:val="24"/>
          <w:szCs w:val="24"/>
          <w:lang w:val="en-US"/>
        </w:rPr>
        <w:t>SGHE)</w:t>
      </w:r>
    </w:p>
    <w:p w14:paraId="1FD0E5D7" w14:textId="77777777" w:rsidR="002D0FA4" w:rsidRDefault="002D0FA4" w:rsidP="002D0FA4">
      <w:pPr>
        <w:pStyle w:val="af7"/>
      </w:pPr>
      <w:r w:rsidRPr="00A67CCC">
        <w:rPr>
          <w:noProof/>
        </w:rPr>
        <w:drawing>
          <wp:inline distT="0" distB="0" distL="0" distR="0" wp14:anchorId="53DCA755" wp14:editId="530C5799">
            <wp:extent cx="5481761" cy="2232660"/>
            <wp:effectExtent l="0" t="0" r="0" b="0"/>
            <wp:docPr id="20" name="Рисунок 20"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стол&#10;&#10;Автоматически созданное описание"/>
                    <pic:cNvPicPr/>
                  </pic:nvPicPr>
                  <pic:blipFill rotWithShape="1">
                    <a:blip r:embed="rId32"/>
                    <a:srcRect l="766"/>
                    <a:stretch/>
                  </pic:blipFill>
                  <pic:spPr bwMode="auto">
                    <a:xfrm>
                      <a:off x="0" y="0"/>
                      <a:ext cx="5486522" cy="2234599"/>
                    </a:xfrm>
                    <a:prstGeom prst="rect">
                      <a:avLst/>
                    </a:prstGeom>
                    <a:ln>
                      <a:noFill/>
                    </a:ln>
                    <a:extLst>
                      <a:ext uri="{53640926-AAD7-44D8-BBD7-CCE9431645EC}">
                        <a14:shadowObscured xmlns:a14="http://schemas.microsoft.com/office/drawing/2010/main"/>
                      </a:ext>
                    </a:extLst>
                  </pic:spPr>
                </pic:pic>
              </a:graphicData>
            </a:graphic>
          </wp:inline>
        </w:drawing>
      </w:r>
    </w:p>
    <w:p w14:paraId="2C0E1BFC" w14:textId="77777777" w:rsidR="002D0FA4" w:rsidRDefault="002D0FA4" w:rsidP="002D0FA4">
      <w:pPr>
        <w:pStyle w:val="af7"/>
      </w:pPr>
    </w:p>
    <w:p w14:paraId="345452D6" w14:textId="77777777" w:rsidR="002D0FA4" w:rsidRDefault="002D0FA4" w:rsidP="002D0FA4">
      <w:pPr>
        <w:pStyle w:val="af7"/>
      </w:pPr>
      <w:r w:rsidRPr="005D5789">
        <w:rPr>
          <w:noProof/>
        </w:rPr>
        <w:drawing>
          <wp:inline distT="0" distB="0" distL="0" distR="0" wp14:anchorId="1B895BC1" wp14:editId="7F91C66A">
            <wp:extent cx="5850890" cy="2171700"/>
            <wp:effectExtent l="0" t="0" r="0" b="0"/>
            <wp:docPr id="29" name="Рисунок 29"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Изображение выглядит как стол&#10;&#10;Автоматически созданное описание"/>
                    <pic:cNvPicPr/>
                  </pic:nvPicPr>
                  <pic:blipFill>
                    <a:blip r:embed="rId33"/>
                    <a:stretch>
                      <a:fillRect/>
                    </a:stretch>
                  </pic:blipFill>
                  <pic:spPr>
                    <a:xfrm>
                      <a:off x="0" y="0"/>
                      <a:ext cx="5850890" cy="2171700"/>
                    </a:xfrm>
                    <a:prstGeom prst="rect">
                      <a:avLst/>
                    </a:prstGeom>
                  </pic:spPr>
                </pic:pic>
              </a:graphicData>
            </a:graphic>
          </wp:inline>
        </w:drawing>
      </w:r>
    </w:p>
    <w:p w14:paraId="21FAAFBD" w14:textId="77777777" w:rsidR="002D0FA4" w:rsidRDefault="002D0FA4" w:rsidP="002D0FA4">
      <w:pPr>
        <w:ind w:left="360" w:firstLine="0"/>
      </w:pPr>
    </w:p>
    <w:p w14:paraId="2934B0E4" w14:textId="52AE95C0" w:rsidR="002D0FA4" w:rsidRPr="00353B95" w:rsidRDefault="002D0FA4" w:rsidP="002D0FA4">
      <w:pPr>
        <w:pStyle w:val="af7"/>
        <w:numPr>
          <w:ilvl w:val="0"/>
          <w:numId w:val="30"/>
        </w:numPr>
        <w:rPr>
          <w:rFonts w:ascii="Times New Roman" w:hAnsi="Times New Roman" w:cs="Times New Roman"/>
          <w:sz w:val="24"/>
          <w:szCs w:val="24"/>
        </w:rPr>
      </w:pPr>
      <w:r w:rsidRPr="00353B95">
        <w:rPr>
          <w:rFonts w:ascii="Times New Roman" w:hAnsi="Times New Roman" w:cs="Times New Roman"/>
          <w:sz w:val="24"/>
          <w:szCs w:val="24"/>
        </w:rPr>
        <w:t>Для</w:t>
      </w:r>
      <w:r w:rsidR="00353B95" w:rsidRPr="00353B95">
        <w:rPr>
          <w:rFonts w:ascii="Times New Roman" w:hAnsi="Times New Roman" w:cs="Times New Roman"/>
          <w:sz w:val="24"/>
          <w:szCs w:val="24"/>
        </w:rPr>
        <w:t xml:space="preserve"> модели</w:t>
      </w:r>
      <w:r w:rsidRPr="00353B95">
        <w:rPr>
          <w:rFonts w:ascii="Times New Roman" w:hAnsi="Times New Roman" w:cs="Times New Roman"/>
          <w:sz w:val="24"/>
          <w:szCs w:val="24"/>
        </w:rPr>
        <w:t xml:space="preserve"> позитивного сюрприза</w:t>
      </w:r>
      <w:r w:rsidRPr="00353B95">
        <w:rPr>
          <w:rFonts w:ascii="Times New Roman" w:hAnsi="Times New Roman" w:cs="Times New Roman"/>
          <w:sz w:val="24"/>
          <w:szCs w:val="24"/>
          <w:lang w:val="en-US"/>
        </w:rPr>
        <w:t xml:space="preserve"> </w:t>
      </w:r>
      <w:r w:rsidRPr="00353B95">
        <w:rPr>
          <w:rFonts w:ascii="Times New Roman" w:hAnsi="Times New Roman" w:cs="Times New Roman"/>
          <w:sz w:val="24"/>
          <w:szCs w:val="24"/>
        </w:rPr>
        <w:t xml:space="preserve">(корреляционные матрицы для выборок </w:t>
      </w:r>
      <w:r w:rsidRPr="00353B95">
        <w:rPr>
          <w:rFonts w:ascii="Times New Roman" w:hAnsi="Times New Roman" w:cs="Times New Roman"/>
          <w:sz w:val="24"/>
          <w:szCs w:val="24"/>
          <w:lang w:val="en-US"/>
        </w:rPr>
        <w:t xml:space="preserve">MICEX </w:t>
      </w:r>
      <w:r w:rsidRPr="00353B95">
        <w:rPr>
          <w:rFonts w:ascii="Times New Roman" w:hAnsi="Times New Roman" w:cs="Times New Roman"/>
          <w:sz w:val="24"/>
          <w:szCs w:val="24"/>
        </w:rPr>
        <w:t xml:space="preserve">и </w:t>
      </w:r>
      <w:r w:rsidRPr="00353B95">
        <w:rPr>
          <w:rFonts w:ascii="Times New Roman" w:hAnsi="Times New Roman" w:cs="Times New Roman"/>
          <w:sz w:val="24"/>
          <w:szCs w:val="24"/>
          <w:lang w:val="en-US"/>
        </w:rPr>
        <w:t>SGHE)</w:t>
      </w:r>
    </w:p>
    <w:p w14:paraId="6572DC63" w14:textId="77777777" w:rsidR="002D0FA4" w:rsidRDefault="002D0FA4" w:rsidP="002D0FA4">
      <w:pPr>
        <w:pStyle w:val="af7"/>
      </w:pPr>
      <w:r w:rsidRPr="005B2D14">
        <w:rPr>
          <w:noProof/>
        </w:rPr>
        <w:drawing>
          <wp:inline distT="0" distB="0" distL="0" distR="0" wp14:anchorId="1675BF68" wp14:editId="3E3CA5AA">
            <wp:extent cx="5850890" cy="145923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50890" cy="1459230"/>
                    </a:xfrm>
                    <a:prstGeom prst="rect">
                      <a:avLst/>
                    </a:prstGeom>
                  </pic:spPr>
                </pic:pic>
              </a:graphicData>
            </a:graphic>
          </wp:inline>
        </w:drawing>
      </w:r>
    </w:p>
    <w:p w14:paraId="027DBFB3" w14:textId="77777777" w:rsidR="002D0FA4" w:rsidRDefault="002D0FA4" w:rsidP="002D0FA4">
      <w:pPr>
        <w:pStyle w:val="af7"/>
      </w:pPr>
      <w:r w:rsidRPr="00B04715">
        <w:rPr>
          <w:noProof/>
        </w:rPr>
        <w:drawing>
          <wp:inline distT="0" distB="0" distL="0" distR="0" wp14:anchorId="37AC3D08" wp14:editId="65AE2050">
            <wp:extent cx="5850890" cy="200914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50890" cy="2009140"/>
                    </a:xfrm>
                    <a:prstGeom prst="rect">
                      <a:avLst/>
                    </a:prstGeom>
                  </pic:spPr>
                </pic:pic>
              </a:graphicData>
            </a:graphic>
          </wp:inline>
        </w:drawing>
      </w:r>
    </w:p>
    <w:p w14:paraId="2D2FE190" w14:textId="70B7BA8C" w:rsidR="002D0FA4" w:rsidRDefault="00353B95" w:rsidP="00353B95">
      <w:pPr>
        <w:pStyle w:val="af7"/>
        <w:numPr>
          <w:ilvl w:val="0"/>
          <w:numId w:val="30"/>
        </w:numPr>
        <w:rPr>
          <w:rFonts w:ascii="Times New Roman" w:hAnsi="Times New Roman" w:cs="Times New Roman"/>
          <w:sz w:val="24"/>
          <w:szCs w:val="24"/>
          <w:lang w:val="en-US"/>
        </w:rPr>
      </w:pPr>
      <w:r w:rsidRPr="00353B95">
        <w:rPr>
          <w:rFonts w:ascii="Times New Roman" w:hAnsi="Times New Roman" w:cs="Times New Roman"/>
          <w:sz w:val="24"/>
          <w:szCs w:val="24"/>
        </w:rPr>
        <w:t xml:space="preserve">Корреляционные матрицы для порядковых переменных (для выборок </w:t>
      </w:r>
      <w:r w:rsidRPr="00353B95">
        <w:rPr>
          <w:rFonts w:ascii="Times New Roman" w:hAnsi="Times New Roman" w:cs="Times New Roman"/>
          <w:sz w:val="24"/>
          <w:szCs w:val="24"/>
          <w:lang w:val="en-US"/>
        </w:rPr>
        <w:t xml:space="preserve">MICEX </w:t>
      </w:r>
      <w:r w:rsidRPr="00353B95">
        <w:rPr>
          <w:rFonts w:ascii="Times New Roman" w:hAnsi="Times New Roman" w:cs="Times New Roman"/>
          <w:sz w:val="24"/>
          <w:szCs w:val="24"/>
        </w:rPr>
        <w:t xml:space="preserve">и </w:t>
      </w:r>
      <w:r w:rsidRPr="00353B95">
        <w:rPr>
          <w:rFonts w:ascii="Times New Roman" w:hAnsi="Times New Roman" w:cs="Times New Roman"/>
          <w:sz w:val="24"/>
          <w:szCs w:val="24"/>
          <w:lang w:val="en-US"/>
        </w:rPr>
        <w:t>SGHE)</w:t>
      </w:r>
    </w:p>
    <w:p w14:paraId="537C6F64" w14:textId="1C51308C" w:rsidR="002E7C43" w:rsidRPr="00353B95" w:rsidRDefault="002E7C43" w:rsidP="002E7C43">
      <w:pPr>
        <w:pStyle w:val="af7"/>
        <w:rPr>
          <w:rFonts w:ascii="Times New Roman" w:hAnsi="Times New Roman" w:cs="Times New Roman"/>
          <w:sz w:val="24"/>
          <w:szCs w:val="24"/>
          <w:lang w:val="en-US"/>
        </w:rPr>
      </w:pPr>
      <w:r w:rsidRPr="002E7C43">
        <w:rPr>
          <w:rFonts w:ascii="Times New Roman" w:hAnsi="Times New Roman" w:cs="Times New Roman"/>
          <w:noProof/>
          <w:sz w:val="24"/>
          <w:szCs w:val="24"/>
          <w:lang w:val="en-US"/>
        </w:rPr>
        <w:drawing>
          <wp:inline distT="0" distB="0" distL="0" distR="0" wp14:anchorId="71C02EE4" wp14:editId="28D08EE9">
            <wp:extent cx="5850890" cy="1541780"/>
            <wp:effectExtent l="0" t="0" r="0" b="0"/>
            <wp:docPr id="44" name="Рисунок 4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descr="Изображение выглядит как текст&#10;&#10;Автоматически созданное описание"/>
                    <pic:cNvPicPr/>
                  </pic:nvPicPr>
                  <pic:blipFill>
                    <a:blip r:embed="rId36"/>
                    <a:stretch>
                      <a:fillRect/>
                    </a:stretch>
                  </pic:blipFill>
                  <pic:spPr>
                    <a:xfrm>
                      <a:off x="0" y="0"/>
                      <a:ext cx="5850890" cy="1541780"/>
                    </a:xfrm>
                    <a:prstGeom prst="rect">
                      <a:avLst/>
                    </a:prstGeom>
                  </pic:spPr>
                </pic:pic>
              </a:graphicData>
            </a:graphic>
          </wp:inline>
        </w:drawing>
      </w:r>
    </w:p>
    <w:p w14:paraId="4DB5D5EC" w14:textId="7D7DF517" w:rsidR="002D0FA4" w:rsidRPr="002F6A3C" w:rsidRDefault="00353B95" w:rsidP="00353B95">
      <w:pPr>
        <w:pStyle w:val="af7"/>
      </w:pPr>
      <w:r w:rsidRPr="00353B95">
        <w:rPr>
          <w:noProof/>
        </w:rPr>
        <w:drawing>
          <wp:inline distT="0" distB="0" distL="0" distR="0" wp14:anchorId="3C232435" wp14:editId="734D1F53">
            <wp:extent cx="5850890" cy="1279003"/>
            <wp:effectExtent l="0" t="0" r="0" b="0"/>
            <wp:docPr id="30" name="Рисунок 3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Изображение выглядит как текст&#10;&#10;Автоматически созданное описание"/>
                    <pic:cNvPicPr/>
                  </pic:nvPicPr>
                  <pic:blipFill rotWithShape="1">
                    <a:blip r:embed="rId37"/>
                    <a:srcRect b="50778"/>
                    <a:stretch/>
                  </pic:blipFill>
                  <pic:spPr bwMode="auto">
                    <a:xfrm>
                      <a:off x="0" y="0"/>
                      <a:ext cx="5850890" cy="1279003"/>
                    </a:xfrm>
                    <a:prstGeom prst="rect">
                      <a:avLst/>
                    </a:prstGeom>
                    <a:ln>
                      <a:noFill/>
                    </a:ln>
                    <a:extLst>
                      <a:ext uri="{53640926-AAD7-44D8-BBD7-CCE9431645EC}">
                        <a14:shadowObscured xmlns:a14="http://schemas.microsoft.com/office/drawing/2010/main"/>
                      </a:ext>
                    </a:extLst>
                  </pic:spPr>
                </pic:pic>
              </a:graphicData>
            </a:graphic>
          </wp:inline>
        </w:drawing>
      </w:r>
    </w:p>
    <w:p w14:paraId="2CE1BAED" w14:textId="0CD54A65" w:rsidR="005D5789" w:rsidRDefault="005D5789" w:rsidP="005A4F0F">
      <w:pPr>
        <w:ind w:firstLine="142"/>
      </w:pPr>
    </w:p>
    <w:p w14:paraId="6D93C9C6" w14:textId="77777777" w:rsidR="005D5789" w:rsidRDefault="005D5789" w:rsidP="005A4F0F">
      <w:pPr>
        <w:ind w:firstLine="142"/>
      </w:pPr>
    </w:p>
    <w:p w14:paraId="2C0584FD" w14:textId="5263F113" w:rsidR="0080545E" w:rsidRDefault="0080545E" w:rsidP="0080545E">
      <w:pPr>
        <w:ind w:firstLine="0"/>
        <w:rPr>
          <w:rFonts w:cs="Times New Roman"/>
          <w:b/>
          <w:bCs/>
          <w:szCs w:val="24"/>
        </w:rPr>
      </w:pPr>
      <w:bookmarkStart w:id="45" w:name="_Hlk104849307"/>
      <w:r w:rsidRPr="002F6A3C">
        <w:rPr>
          <w:b/>
          <w:bCs/>
        </w:rPr>
        <w:t xml:space="preserve">Приложение </w:t>
      </w:r>
      <w:r w:rsidR="00353B95">
        <w:rPr>
          <w:b/>
          <w:bCs/>
        </w:rPr>
        <w:t>9</w:t>
      </w:r>
      <w:r w:rsidRPr="002F6A3C">
        <w:rPr>
          <w:b/>
          <w:bCs/>
        </w:rPr>
        <w:t xml:space="preserve">. </w:t>
      </w:r>
      <w:r w:rsidRPr="005E216C">
        <w:rPr>
          <w:rFonts w:cs="Times New Roman"/>
          <w:b/>
          <w:bCs/>
          <w:szCs w:val="24"/>
        </w:rPr>
        <w:t>Модел</w:t>
      </w:r>
      <w:r>
        <w:rPr>
          <w:rFonts w:cs="Times New Roman"/>
          <w:b/>
          <w:bCs/>
          <w:szCs w:val="24"/>
        </w:rPr>
        <w:t xml:space="preserve">и </w:t>
      </w:r>
      <w:r w:rsidRPr="005E216C">
        <w:rPr>
          <w:rFonts w:cs="Times New Roman"/>
          <w:b/>
          <w:bCs/>
          <w:szCs w:val="24"/>
        </w:rPr>
        <w:t xml:space="preserve">со случайными эффектами для выборки </w:t>
      </w:r>
      <w:r w:rsidRPr="005E216C">
        <w:rPr>
          <w:rFonts w:cs="Times New Roman"/>
          <w:b/>
          <w:bCs/>
          <w:szCs w:val="24"/>
          <w:lang w:val="en-US"/>
        </w:rPr>
        <w:t xml:space="preserve">MICEX, </w:t>
      </w:r>
      <w:r w:rsidRPr="005E216C">
        <w:rPr>
          <w:rFonts w:cs="Times New Roman"/>
          <w:b/>
          <w:bCs/>
          <w:szCs w:val="24"/>
        </w:rPr>
        <w:t>случай позитивного сюрприза</w:t>
      </w:r>
    </w:p>
    <w:p w14:paraId="6ACB9C53" w14:textId="77777777" w:rsidR="0080545E" w:rsidRPr="00D97FBF" w:rsidRDefault="0080545E" w:rsidP="0080545E">
      <w:pPr>
        <w:pStyle w:val="af7"/>
        <w:numPr>
          <w:ilvl w:val="0"/>
          <w:numId w:val="20"/>
        </w:numPr>
        <w:rPr>
          <w:rFonts w:ascii="Times New Roman" w:hAnsi="Times New Roman" w:cs="Times New Roman"/>
          <w:sz w:val="24"/>
          <w:szCs w:val="24"/>
        </w:rPr>
      </w:pPr>
      <w:r w:rsidRPr="00D97FBF">
        <w:rPr>
          <w:rFonts w:ascii="Times New Roman" w:hAnsi="Times New Roman" w:cs="Times New Roman"/>
          <w:sz w:val="24"/>
          <w:szCs w:val="24"/>
        </w:rPr>
        <w:t>Модель №1 (</w:t>
      </w:r>
      <w:r>
        <w:rPr>
          <w:rFonts w:ascii="Times New Roman" w:hAnsi="Times New Roman" w:cs="Times New Roman"/>
          <w:sz w:val="24"/>
          <w:szCs w:val="24"/>
          <w:lang w:val="en-US"/>
        </w:rPr>
        <w:t>MICEX</w:t>
      </w:r>
      <w:r w:rsidRPr="00D97FBF">
        <w:rPr>
          <w:rFonts w:ascii="Times New Roman" w:hAnsi="Times New Roman" w:cs="Times New Roman"/>
          <w:sz w:val="24"/>
          <w:szCs w:val="24"/>
          <w:lang w:val="en-US"/>
        </w:rPr>
        <w:t xml:space="preserve">, </w:t>
      </w:r>
      <w:r w:rsidRPr="00D97FBF">
        <w:rPr>
          <w:rFonts w:ascii="Times New Roman" w:hAnsi="Times New Roman" w:cs="Times New Roman"/>
          <w:sz w:val="24"/>
          <w:szCs w:val="24"/>
        </w:rPr>
        <w:t>случай позитивного сюрприза)</w:t>
      </w:r>
    </w:p>
    <w:p w14:paraId="203901C2" w14:textId="77777777" w:rsidR="0080545E" w:rsidRPr="00C877E7" w:rsidRDefault="0080545E" w:rsidP="0080545E">
      <w:pPr>
        <w:pStyle w:val="af7"/>
        <w:rPr>
          <w:rFonts w:cs="Times New Roman"/>
          <w:b/>
          <w:bCs/>
          <w:szCs w:val="24"/>
        </w:rPr>
      </w:pPr>
    </w:p>
    <w:p w14:paraId="46052EA4" w14:textId="77777777" w:rsidR="0080545E" w:rsidRDefault="0080545E" w:rsidP="0080545E">
      <w:pPr>
        <w:ind w:firstLine="142"/>
        <w:rPr>
          <w:noProof/>
        </w:rPr>
      </w:pPr>
      <w:r w:rsidRPr="00F34514">
        <w:rPr>
          <w:noProof/>
        </w:rPr>
        <w:drawing>
          <wp:inline distT="0" distB="0" distL="0" distR="0" wp14:anchorId="2C718F89" wp14:editId="1B9C3F08">
            <wp:extent cx="5940425" cy="3228975"/>
            <wp:effectExtent l="0" t="0" r="0" b="0"/>
            <wp:docPr id="19" name="Рисунок 19"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Изображение выглядит как стол&#10;&#10;Автоматически созданное описание"/>
                    <pic:cNvPicPr/>
                  </pic:nvPicPr>
                  <pic:blipFill>
                    <a:blip r:embed="rId38"/>
                    <a:stretch>
                      <a:fillRect/>
                    </a:stretch>
                  </pic:blipFill>
                  <pic:spPr>
                    <a:xfrm>
                      <a:off x="0" y="0"/>
                      <a:ext cx="5940425" cy="3228975"/>
                    </a:xfrm>
                    <a:prstGeom prst="rect">
                      <a:avLst/>
                    </a:prstGeom>
                  </pic:spPr>
                </pic:pic>
              </a:graphicData>
            </a:graphic>
          </wp:inline>
        </w:drawing>
      </w:r>
    </w:p>
    <w:p w14:paraId="4FDB2823" w14:textId="77777777" w:rsidR="0080545E" w:rsidRDefault="0080545E" w:rsidP="0080545E">
      <w:pPr>
        <w:ind w:firstLine="142"/>
      </w:pPr>
    </w:p>
    <w:p w14:paraId="259FA966" w14:textId="77777777" w:rsidR="0080545E" w:rsidRDefault="0080545E" w:rsidP="0080545E">
      <w:pPr>
        <w:ind w:firstLine="142"/>
      </w:pPr>
      <w:r>
        <w:t>Тест на мультиколлинеарность факторов</w:t>
      </w:r>
    </w:p>
    <w:p w14:paraId="793269FF" w14:textId="6B24C034" w:rsidR="0080545E" w:rsidRDefault="0080545E" w:rsidP="0080545E">
      <w:pPr>
        <w:ind w:firstLine="142"/>
      </w:pPr>
      <w:r w:rsidRPr="00AD731F">
        <w:rPr>
          <w:noProof/>
        </w:rPr>
        <w:drawing>
          <wp:inline distT="0" distB="0" distL="0" distR="0" wp14:anchorId="542ADB97" wp14:editId="0B3706DA">
            <wp:extent cx="2597949" cy="1746250"/>
            <wp:effectExtent l="0" t="0" r="0" b="6350"/>
            <wp:docPr id="16" name="Рисунок 16"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стол&#10;&#10;Автоматически созданное описание"/>
                    <pic:cNvPicPr/>
                  </pic:nvPicPr>
                  <pic:blipFill>
                    <a:blip r:embed="rId39"/>
                    <a:stretch>
                      <a:fillRect/>
                    </a:stretch>
                  </pic:blipFill>
                  <pic:spPr>
                    <a:xfrm>
                      <a:off x="0" y="0"/>
                      <a:ext cx="2599983" cy="1747617"/>
                    </a:xfrm>
                    <a:prstGeom prst="rect">
                      <a:avLst/>
                    </a:prstGeom>
                  </pic:spPr>
                </pic:pic>
              </a:graphicData>
            </a:graphic>
          </wp:inline>
        </w:drawing>
      </w:r>
    </w:p>
    <w:p w14:paraId="7BEE8D0A" w14:textId="09A5A61B" w:rsidR="0080545E" w:rsidRDefault="0080545E" w:rsidP="0080545E">
      <w:pPr>
        <w:ind w:firstLine="142"/>
      </w:pPr>
    </w:p>
    <w:p w14:paraId="32E21BD2" w14:textId="2752221B" w:rsidR="0080545E" w:rsidRDefault="0080545E" w:rsidP="0080545E">
      <w:pPr>
        <w:ind w:firstLine="142"/>
      </w:pPr>
    </w:p>
    <w:p w14:paraId="1531DC1E" w14:textId="77777777" w:rsidR="0080545E" w:rsidRDefault="0080545E" w:rsidP="0080545E">
      <w:pPr>
        <w:ind w:firstLine="142"/>
      </w:pPr>
    </w:p>
    <w:p w14:paraId="1E194177" w14:textId="77777777" w:rsidR="0080545E" w:rsidRPr="00D97FBF" w:rsidRDefault="0080545E" w:rsidP="0080545E">
      <w:pPr>
        <w:pStyle w:val="af7"/>
        <w:numPr>
          <w:ilvl w:val="0"/>
          <w:numId w:val="20"/>
        </w:numPr>
        <w:rPr>
          <w:rFonts w:ascii="Times New Roman" w:hAnsi="Times New Roman" w:cs="Times New Roman"/>
          <w:sz w:val="24"/>
          <w:szCs w:val="24"/>
        </w:rPr>
      </w:pPr>
      <w:r w:rsidRPr="00D97FBF">
        <w:rPr>
          <w:rFonts w:ascii="Times New Roman" w:hAnsi="Times New Roman" w:cs="Times New Roman"/>
          <w:sz w:val="24"/>
          <w:szCs w:val="24"/>
        </w:rPr>
        <w:t>Модель №</w:t>
      </w:r>
      <w:r>
        <w:rPr>
          <w:rFonts w:ascii="Times New Roman" w:hAnsi="Times New Roman" w:cs="Times New Roman"/>
          <w:sz w:val="24"/>
          <w:szCs w:val="24"/>
          <w:lang w:val="en-US"/>
        </w:rPr>
        <w:t>2</w:t>
      </w:r>
      <w:r w:rsidRPr="00D97FBF">
        <w:rPr>
          <w:rFonts w:ascii="Times New Roman" w:hAnsi="Times New Roman" w:cs="Times New Roman"/>
          <w:sz w:val="24"/>
          <w:szCs w:val="24"/>
        </w:rPr>
        <w:t xml:space="preserve"> (</w:t>
      </w:r>
      <w:r>
        <w:rPr>
          <w:rFonts w:ascii="Times New Roman" w:hAnsi="Times New Roman" w:cs="Times New Roman"/>
          <w:sz w:val="24"/>
          <w:szCs w:val="24"/>
          <w:lang w:val="en-US"/>
        </w:rPr>
        <w:t>MICEX</w:t>
      </w:r>
      <w:r w:rsidRPr="00D97FBF">
        <w:rPr>
          <w:rFonts w:ascii="Times New Roman" w:hAnsi="Times New Roman" w:cs="Times New Roman"/>
          <w:sz w:val="24"/>
          <w:szCs w:val="24"/>
          <w:lang w:val="en-US"/>
        </w:rPr>
        <w:t xml:space="preserve">, </w:t>
      </w:r>
      <w:r w:rsidRPr="00D97FBF">
        <w:rPr>
          <w:rFonts w:ascii="Times New Roman" w:hAnsi="Times New Roman" w:cs="Times New Roman"/>
          <w:sz w:val="24"/>
          <w:szCs w:val="24"/>
        </w:rPr>
        <w:t>случай позитивного сюрприза)</w:t>
      </w:r>
    </w:p>
    <w:p w14:paraId="49F14660" w14:textId="77777777" w:rsidR="0080545E" w:rsidRDefault="0080545E" w:rsidP="0080545E">
      <w:pPr>
        <w:ind w:firstLine="142"/>
      </w:pPr>
      <w:r w:rsidRPr="001F4E1E">
        <w:rPr>
          <w:noProof/>
        </w:rPr>
        <w:drawing>
          <wp:inline distT="0" distB="0" distL="0" distR="0" wp14:anchorId="590E8840" wp14:editId="1D8DDBCA">
            <wp:extent cx="5940425" cy="3339465"/>
            <wp:effectExtent l="0" t="0" r="0" b="0"/>
            <wp:docPr id="6" name="Рисунок 6"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стол&#10;&#10;Автоматически созданное описание"/>
                    <pic:cNvPicPr/>
                  </pic:nvPicPr>
                  <pic:blipFill>
                    <a:blip r:embed="rId40"/>
                    <a:stretch>
                      <a:fillRect/>
                    </a:stretch>
                  </pic:blipFill>
                  <pic:spPr>
                    <a:xfrm>
                      <a:off x="0" y="0"/>
                      <a:ext cx="5940425" cy="3339465"/>
                    </a:xfrm>
                    <a:prstGeom prst="rect">
                      <a:avLst/>
                    </a:prstGeom>
                  </pic:spPr>
                </pic:pic>
              </a:graphicData>
            </a:graphic>
          </wp:inline>
        </w:drawing>
      </w:r>
    </w:p>
    <w:p w14:paraId="4825AA0A" w14:textId="77777777" w:rsidR="0080545E" w:rsidRDefault="0080545E" w:rsidP="0080545E">
      <w:pPr>
        <w:ind w:firstLine="142"/>
      </w:pPr>
    </w:p>
    <w:p w14:paraId="67F92150" w14:textId="77777777" w:rsidR="0080545E" w:rsidRDefault="0080545E" w:rsidP="0080545E">
      <w:pPr>
        <w:ind w:firstLine="142"/>
      </w:pPr>
    </w:p>
    <w:p w14:paraId="5B7FF88A" w14:textId="77777777" w:rsidR="0080545E" w:rsidRDefault="0080545E" w:rsidP="0080545E">
      <w:pPr>
        <w:ind w:firstLine="142"/>
      </w:pPr>
    </w:p>
    <w:p w14:paraId="576EB759" w14:textId="77777777" w:rsidR="0080545E" w:rsidRDefault="0080545E" w:rsidP="0080545E">
      <w:pPr>
        <w:ind w:firstLine="142"/>
      </w:pPr>
    </w:p>
    <w:p w14:paraId="4D7CBCC7" w14:textId="77777777" w:rsidR="0080545E" w:rsidRDefault="0080545E" w:rsidP="0080545E">
      <w:pPr>
        <w:ind w:firstLine="142"/>
      </w:pPr>
    </w:p>
    <w:p w14:paraId="45630A44" w14:textId="77777777" w:rsidR="0080545E" w:rsidRPr="00D97FBF" w:rsidRDefault="0080545E" w:rsidP="0080545E">
      <w:pPr>
        <w:pStyle w:val="af7"/>
        <w:numPr>
          <w:ilvl w:val="0"/>
          <w:numId w:val="20"/>
        </w:numPr>
        <w:rPr>
          <w:rFonts w:ascii="Times New Roman" w:hAnsi="Times New Roman" w:cs="Times New Roman"/>
          <w:sz w:val="24"/>
          <w:szCs w:val="24"/>
        </w:rPr>
      </w:pPr>
      <w:r w:rsidRPr="00D97FBF">
        <w:rPr>
          <w:rFonts w:ascii="Times New Roman" w:hAnsi="Times New Roman" w:cs="Times New Roman"/>
          <w:sz w:val="24"/>
          <w:szCs w:val="24"/>
        </w:rPr>
        <w:t>Модель №</w:t>
      </w:r>
      <w:r>
        <w:rPr>
          <w:rFonts w:ascii="Times New Roman" w:hAnsi="Times New Roman" w:cs="Times New Roman"/>
          <w:sz w:val="24"/>
          <w:szCs w:val="24"/>
          <w:lang w:val="en-US"/>
        </w:rPr>
        <w:t xml:space="preserve">3 </w:t>
      </w:r>
      <w:r w:rsidRPr="00D97FBF">
        <w:rPr>
          <w:rFonts w:ascii="Times New Roman" w:hAnsi="Times New Roman" w:cs="Times New Roman"/>
          <w:sz w:val="24"/>
          <w:szCs w:val="24"/>
        </w:rPr>
        <w:t>(</w:t>
      </w:r>
      <w:r>
        <w:rPr>
          <w:rFonts w:ascii="Times New Roman" w:hAnsi="Times New Roman" w:cs="Times New Roman"/>
          <w:sz w:val="24"/>
          <w:szCs w:val="24"/>
          <w:lang w:val="en-US"/>
        </w:rPr>
        <w:t>MICEX</w:t>
      </w:r>
      <w:r w:rsidRPr="00D97FBF">
        <w:rPr>
          <w:rFonts w:ascii="Times New Roman" w:hAnsi="Times New Roman" w:cs="Times New Roman"/>
          <w:sz w:val="24"/>
          <w:szCs w:val="24"/>
          <w:lang w:val="en-US"/>
        </w:rPr>
        <w:t xml:space="preserve">, </w:t>
      </w:r>
      <w:r w:rsidRPr="00D97FBF">
        <w:rPr>
          <w:rFonts w:ascii="Times New Roman" w:hAnsi="Times New Roman" w:cs="Times New Roman"/>
          <w:sz w:val="24"/>
          <w:szCs w:val="24"/>
        </w:rPr>
        <w:t>случай позитивного сюрприза)</w:t>
      </w:r>
    </w:p>
    <w:p w14:paraId="038DA2BB" w14:textId="77777777" w:rsidR="0080545E" w:rsidRDefault="0080545E" w:rsidP="0080545E">
      <w:pPr>
        <w:ind w:firstLine="142"/>
      </w:pPr>
      <w:r w:rsidRPr="00F34514">
        <w:rPr>
          <w:noProof/>
        </w:rPr>
        <w:drawing>
          <wp:inline distT="0" distB="0" distL="0" distR="0" wp14:anchorId="6635945F" wp14:editId="3089DEFF">
            <wp:extent cx="5940425" cy="3377565"/>
            <wp:effectExtent l="0" t="0" r="0" b="0"/>
            <wp:docPr id="32" name="Рисунок 32"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Изображение выглядит как стол&#10;&#10;Автоматически созданное описание"/>
                    <pic:cNvPicPr/>
                  </pic:nvPicPr>
                  <pic:blipFill>
                    <a:blip r:embed="rId41"/>
                    <a:stretch>
                      <a:fillRect/>
                    </a:stretch>
                  </pic:blipFill>
                  <pic:spPr>
                    <a:xfrm>
                      <a:off x="0" y="0"/>
                      <a:ext cx="5940425" cy="3377565"/>
                    </a:xfrm>
                    <a:prstGeom prst="rect">
                      <a:avLst/>
                    </a:prstGeom>
                  </pic:spPr>
                </pic:pic>
              </a:graphicData>
            </a:graphic>
          </wp:inline>
        </w:drawing>
      </w:r>
    </w:p>
    <w:p w14:paraId="6BA8931B" w14:textId="77777777" w:rsidR="0080545E" w:rsidRDefault="0080545E" w:rsidP="0080545E">
      <w:pPr>
        <w:ind w:firstLine="142"/>
      </w:pPr>
    </w:p>
    <w:p w14:paraId="3D207556" w14:textId="77777777" w:rsidR="0080545E" w:rsidRDefault="0080545E" w:rsidP="0080545E">
      <w:pPr>
        <w:ind w:firstLine="142"/>
      </w:pPr>
    </w:p>
    <w:p w14:paraId="214227E8" w14:textId="0496DAAD" w:rsidR="0080545E" w:rsidRDefault="0080545E" w:rsidP="0080545E">
      <w:pPr>
        <w:ind w:firstLine="0"/>
        <w:rPr>
          <w:rFonts w:cs="Times New Roman"/>
          <w:b/>
          <w:bCs/>
          <w:szCs w:val="24"/>
        </w:rPr>
      </w:pPr>
      <w:r w:rsidRPr="002F6A3C">
        <w:rPr>
          <w:b/>
          <w:bCs/>
        </w:rPr>
        <w:t>Приложение</w:t>
      </w:r>
      <w:r w:rsidR="00353B95">
        <w:rPr>
          <w:b/>
          <w:bCs/>
        </w:rPr>
        <w:t xml:space="preserve"> 10</w:t>
      </w:r>
      <w:r w:rsidRPr="002F6A3C">
        <w:rPr>
          <w:b/>
          <w:bCs/>
        </w:rPr>
        <w:t xml:space="preserve">. </w:t>
      </w:r>
      <w:r w:rsidRPr="005E216C">
        <w:rPr>
          <w:rFonts w:cs="Times New Roman"/>
          <w:b/>
          <w:bCs/>
          <w:szCs w:val="24"/>
        </w:rPr>
        <w:t>Модел</w:t>
      </w:r>
      <w:r>
        <w:rPr>
          <w:rFonts w:cs="Times New Roman"/>
          <w:b/>
          <w:bCs/>
          <w:szCs w:val="24"/>
        </w:rPr>
        <w:t xml:space="preserve">и </w:t>
      </w:r>
      <w:r w:rsidRPr="005E216C">
        <w:rPr>
          <w:rFonts w:cs="Times New Roman"/>
          <w:b/>
          <w:bCs/>
          <w:szCs w:val="24"/>
        </w:rPr>
        <w:t xml:space="preserve">со случайными эффектами для выборки </w:t>
      </w:r>
      <w:r>
        <w:rPr>
          <w:rFonts w:cs="Times New Roman"/>
          <w:b/>
          <w:bCs/>
          <w:szCs w:val="24"/>
          <w:lang w:val="en-US"/>
        </w:rPr>
        <w:t>Shenzhen Stock Exchange</w:t>
      </w:r>
      <w:r w:rsidRPr="005E216C">
        <w:rPr>
          <w:rFonts w:cs="Times New Roman"/>
          <w:b/>
          <w:bCs/>
          <w:szCs w:val="24"/>
          <w:lang w:val="en-US"/>
        </w:rPr>
        <w:t xml:space="preserve">, </w:t>
      </w:r>
      <w:r w:rsidRPr="005E216C">
        <w:rPr>
          <w:rFonts w:cs="Times New Roman"/>
          <w:b/>
          <w:bCs/>
          <w:szCs w:val="24"/>
        </w:rPr>
        <w:t>случай позитивного сюрприза</w:t>
      </w:r>
    </w:p>
    <w:p w14:paraId="0201A396" w14:textId="77777777" w:rsidR="0080545E" w:rsidRPr="00D97FBF" w:rsidRDefault="0080545E" w:rsidP="0080545E">
      <w:pPr>
        <w:pStyle w:val="af7"/>
        <w:numPr>
          <w:ilvl w:val="0"/>
          <w:numId w:val="22"/>
        </w:numPr>
        <w:ind w:left="0" w:hanging="11"/>
        <w:rPr>
          <w:rFonts w:ascii="Times New Roman" w:hAnsi="Times New Roman" w:cs="Times New Roman"/>
          <w:sz w:val="24"/>
          <w:szCs w:val="24"/>
        </w:rPr>
      </w:pPr>
      <w:r w:rsidRPr="00D97FBF">
        <w:rPr>
          <w:rFonts w:ascii="Times New Roman" w:hAnsi="Times New Roman" w:cs="Times New Roman"/>
          <w:sz w:val="24"/>
          <w:szCs w:val="24"/>
        </w:rPr>
        <w:t>Модель №1 (</w:t>
      </w:r>
      <w:r w:rsidRPr="00D97FBF">
        <w:rPr>
          <w:rFonts w:ascii="Times New Roman" w:hAnsi="Times New Roman" w:cs="Times New Roman"/>
          <w:sz w:val="24"/>
          <w:szCs w:val="24"/>
          <w:lang w:val="en-US"/>
        </w:rPr>
        <w:t xml:space="preserve">Shenzhen Stock Exchange, </w:t>
      </w:r>
      <w:r w:rsidRPr="00D97FBF">
        <w:rPr>
          <w:rFonts w:ascii="Times New Roman" w:hAnsi="Times New Roman" w:cs="Times New Roman"/>
          <w:sz w:val="24"/>
          <w:szCs w:val="24"/>
        </w:rPr>
        <w:t>случай позитивного сюрприза)</w:t>
      </w:r>
    </w:p>
    <w:p w14:paraId="13ED5CBB" w14:textId="77777777" w:rsidR="0080545E" w:rsidRDefault="0080545E" w:rsidP="0080545E">
      <w:pPr>
        <w:ind w:firstLine="142"/>
      </w:pPr>
      <w:r w:rsidRPr="00F34514">
        <w:rPr>
          <w:noProof/>
        </w:rPr>
        <w:drawing>
          <wp:inline distT="0" distB="0" distL="0" distR="0" wp14:anchorId="343CB85A" wp14:editId="187914C3">
            <wp:extent cx="5940425" cy="3477895"/>
            <wp:effectExtent l="0" t="0" r="0" b="0"/>
            <wp:docPr id="34" name="Рисунок 34"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descr="Изображение выглядит как стол&#10;&#10;Автоматически созданное описание"/>
                    <pic:cNvPicPr/>
                  </pic:nvPicPr>
                  <pic:blipFill>
                    <a:blip r:embed="rId42"/>
                    <a:stretch>
                      <a:fillRect/>
                    </a:stretch>
                  </pic:blipFill>
                  <pic:spPr>
                    <a:xfrm>
                      <a:off x="0" y="0"/>
                      <a:ext cx="5940425" cy="3477895"/>
                    </a:xfrm>
                    <a:prstGeom prst="rect">
                      <a:avLst/>
                    </a:prstGeom>
                  </pic:spPr>
                </pic:pic>
              </a:graphicData>
            </a:graphic>
          </wp:inline>
        </w:drawing>
      </w:r>
    </w:p>
    <w:p w14:paraId="140B1DFF" w14:textId="77777777" w:rsidR="0080545E" w:rsidRPr="00C877E7" w:rsidRDefault="0080545E" w:rsidP="0080545E">
      <w:pPr>
        <w:ind w:firstLine="142"/>
      </w:pPr>
      <w:r>
        <w:t>Проверка модели на мултиколлинеарность</w:t>
      </w:r>
    </w:p>
    <w:p w14:paraId="098A82A0" w14:textId="5653BD92" w:rsidR="0080545E" w:rsidRDefault="0080545E" w:rsidP="0080545E">
      <w:pPr>
        <w:ind w:firstLine="142"/>
      </w:pPr>
      <w:r w:rsidRPr="00D50663">
        <w:rPr>
          <w:noProof/>
        </w:rPr>
        <w:drawing>
          <wp:inline distT="0" distB="0" distL="0" distR="0" wp14:anchorId="781E3BED" wp14:editId="3AEDF10E">
            <wp:extent cx="1708150" cy="1334940"/>
            <wp:effectExtent l="0" t="0" r="6350" b="0"/>
            <wp:docPr id="9" name="Рисунок 9"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стол&#10;&#10;Автоматически созданное описание"/>
                    <pic:cNvPicPr/>
                  </pic:nvPicPr>
                  <pic:blipFill>
                    <a:blip r:embed="rId43"/>
                    <a:stretch>
                      <a:fillRect/>
                    </a:stretch>
                  </pic:blipFill>
                  <pic:spPr>
                    <a:xfrm>
                      <a:off x="0" y="0"/>
                      <a:ext cx="1723594" cy="1347010"/>
                    </a:xfrm>
                    <a:prstGeom prst="rect">
                      <a:avLst/>
                    </a:prstGeom>
                  </pic:spPr>
                </pic:pic>
              </a:graphicData>
            </a:graphic>
          </wp:inline>
        </w:drawing>
      </w:r>
    </w:p>
    <w:p w14:paraId="659C6839" w14:textId="3C5738E9" w:rsidR="0080545E" w:rsidRDefault="0080545E" w:rsidP="0080545E">
      <w:pPr>
        <w:ind w:firstLine="142"/>
      </w:pPr>
    </w:p>
    <w:p w14:paraId="792F1330" w14:textId="1E0022C2" w:rsidR="0080545E" w:rsidRDefault="0080545E" w:rsidP="0080545E">
      <w:pPr>
        <w:ind w:firstLine="142"/>
      </w:pPr>
    </w:p>
    <w:p w14:paraId="06422BF2" w14:textId="339C909F" w:rsidR="0080545E" w:rsidRDefault="0080545E" w:rsidP="0080545E">
      <w:pPr>
        <w:ind w:firstLine="142"/>
      </w:pPr>
    </w:p>
    <w:p w14:paraId="1864F5F6" w14:textId="743C9BCE" w:rsidR="0080545E" w:rsidRDefault="0080545E" w:rsidP="0080545E">
      <w:pPr>
        <w:ind w:firstLine="142"/>
      </w:pPr>
    </w:p>
    <w:p w14:paraId="54322BF0" w14:textId="23CC8B01" w:rsidR="0080545E" w:rsidRDefault="0080545E" w:rsidP="0080545E">
      <w:pPr>
        <w:ind w:firstLine="142"/>
      </w:pPr>
    </w:p>
    <w:p w14:paraId="78FD5FA8" w14:textId="2B4B9603" w:rsidR="0080545E" w:rsidRDefault="0080545E" w:rsidP="0080545E">
      <w:pPr>
        <w:ind w:firstLine="142"/>
      </w:pPr>
    </w:p>
    <w:p w14:paraId="0DC6ACD0" w14:textId="19E05220" w:rsidR="0080545E" w:rsidRDefault="0080545E" w:rsidP="0080545E">
      <w:pPr>
        <w:ind w:firstLine="142"/>
      </w:pPr>
    </w:p>
    <w:p w14:paraId="4DBB4FB2" w14:textId="25ED30BD" w:rsidR="0080545E" w:rsidRDefault="0080545E" w:rsidP="0080545E">
      <w:pPr>
        <w:ind w:firstLine="142"/>
      </w:pPr>
    </w:p>
    <w:p w14:paraId="17738AAB" w14:textId="469B8AF4" w:rsidR="0080545E" w:rsidRDefault="0080545E" w:rsidP="0080545E">
      <w:pPr>
        <w:ind w:firstLine="142"/>
      </w:pPr>
    </w:p>
    <w:p w14:paraId="582E7B65" w14:textId="0A40B9D8" w:rsidR="0080545E" w:rsidRDefault="0080545E" w:rsidP="0080545E">
      <w:pPr>
        <w:ind w:firstLine="142"/>
      </w:pPr>
    </w:p>
    <w:p w14:paraId="70265960" w14:textId="0A3FA3C6" w:rsidR="0080545E" w:rsidRDefault="0080545E" w:rsidP="0080545E">
      <w:pPr>
        <w:ind w:firstLine="142"/>
      </w:pPr>
    </w:p>
    <w:p w14:paraId="467AABFC" w14:textId="77777777" w:rsidR="0080545E" w:rsidRDefault="0080545E" w:rsidP="0080545E">
      <w:pPr>
        <w:ind w:firstLine="142"/>
      </w:pPr>
    </w:p>
    <w:p w14:paraId="21C1F670" w14:textId="77777777" w:rsidR="0080545E" w:rsidRPr="00D97FBF" w:rsidRDefault="0080545E" w:rsidP="0080545E">
      <w:pPr>
        <w:pStyle w:val="af7"/>
        <w:numPr>
          <w:ilvl w:val="0"/>
          <w:numId w:val="22"/>
        </w:numPr>
        <w:ind w:left="0" w:hanging="11"/>
        <w:rPr>
          <w:rFonts w:ascii="Times New Roman" w:hAnsi="Times New Roman" w:cs="Times New Roman"/>
          <w:sz w:val="24"/>
          <w:szCs w:val="24"/>
        </w:rPr>
      </w:pPr>
      <w:r w:rsidRPr="00D97FBF">
        <w:rPr>
          <w:rFonts w:ascii="Times New Roman" w:hAnsi="Times New Roman" w:cs="Times New Roman"/>
          <w:sz w:val="24"/>
          <w:szCs w:val="24"/>
        </w:rPr>
        <w:t>Модель №</w:t>
      </w:r>
      <w:r>
        <w:rPr>
          <w:rFonts w:ascii="Times New Roman" w:hAnsi="Times New Roman" w:cs="Times New Roman"/>
          <w:sz w:val="24"/>
          <w:szCs w:val="24"/>
        </w:rPr>
        <w:t>2</w:t>
      </w:r>
      <w:r w:rsidRPr="00D97FBF">
        <w:rPr>
          <w:rFonts w:ascii="Times New Roman" w:hAnsi="Times New Roman" w:cs="Times New Roman"/>
          <w:sz w:val="24"/>
          <w:szCs w:val="24"/>
        </w:rPr>
        <w:t xml:space="preserve"> (Shenzhen Stock Exchange, случай позитивного сюрприза)</w:t>
      </w:r>
    </w:p>
    <w:p w14:paraId="2917F703" w14:textId="77777777" w:rsidR="0080545E" w:rsidRDefault="0080545E" w:rsidP="0080545E">
      <w:pPr>
        <w:ind w:firstLine="142"/>
      </w:pPr>
      <w:r w:rsidRPr="00F34514">
        <w:rPr>
          <w:noProof/>
        </w:rPr>
        <w:drawing>
          <wp:inline distT="0" distB="0" distL="0" distR="0" wp14:anchorId="55456699" wp14:editId="627DE47B">
            <wp:extent cx="5940425" cy="3216275"/>
            <wp:effectExtent l="0" t="0" r="0" b="0"/>
            <wp:docPr id="36" name="Рисунок 36"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Изображение выглядит как стол&#10;&#10;Автоматически созданное описание"/>
                    <pic:cNvPicPr/>
                  </pic:nvPicPr>
                  <pic:blipFill>
                    <a:blip r:embed="rId44"/>
                    <a:stretch>
                      <a:fillRect/>
                    </a:stretch>
                  </pic:blipFill>
                  <pic:spPr>
                    <a:xfrm>
                      <a:off x="0" y="0"/>
                      <a:ext cx="5940425" cy="3216275"/>
                    </a:xfrm>
                    <a:prstGeom prst="rect">
                      <a:avLst/>
                    </a:prstGeom>
                  </pic:spPr>
                </pic:pic>
              </a:graphicData>
            </a:graphic>
          </wp:inline>
        </w:drawing>
      </w:r>
    </w:p>
    <w:p w14:paraId="176BFD24" w14:textId="77777777" w:rsidR="0080545E" w:rsidRDefault="0080545E" w:rsidP="0080545E">
      <w:pPr>
        <w:ind w:firstLine="142"/>
      </w:pPr>
    </w:p>
    <w:p w14:paraId="24DB19C2" w14:textId="77777777" w:rsidR="0080545E" w:rsidRPr="00D97FBF" w:rsidRDefault="0080545E" w:rsidP="0080545E">
      <w:pPr>
        <w:pStyle w:val="af7"/>
        <w:numPr>
          <w:ilvl w:val="0"/>
          <w:numId w:val="18"/>
        </w:numPr>
        <w:ind w:left="0" w:hanging="11"/>
        <w:rPr>
          <w:rFonts w:ascii="Times New Roman" w:hAnsi="Times New Roman" w:cs="Times New Roman"/>
          <w:sz w:val="24"/>
          <w:szCs w:val="24"/>
        </w:rPr>
      </w:pPr>
      <w:r w:rsidRPr="00D97FBF">
        <w:rPr>
          <w:rFonts w:ascii="Times New Roman" w:hAnsi="Times New Roman" w:cs="Times New Roman"/>
          <w:sz w:val="24"/>
          <w:szCs w:val="24"/>
        </w:rPr>
        <w:t>Модель №</w:t>
      </w:r>
      <w:r>
        <w:rPr>
          <w:rFonts w:ascii="Times New Roman" w:hAnsi="Times New Roman" w:cs="Times New Roman"/>
          <w:sz w:val="24"/>
          <w:szCs w:val="24"/>
        </w:rPr>
        <w:t>3</w:t>
      </w:r>
      <w:r w:rsidRPr="00D97FBF">
        <w:rPr>
          <w:rFonts w:ascii="Times New Roman" w:hAnsi="Times New Roman" w:cs="Times New Roman"/>
          <w:sz w:val="24"/>
          <w:szCs w:val="24"/>
        </w:rPr>
        <w:t xml:space="preserve"> (</w:t>
      </w:r>
      <w:r w:rsidRPr="00D97FBF">
        <w:rPr>
          <w:rFonts w:ascii="Times New Roman" w:hAnsi="Times New Roman" w:cs="Times New Roman"/>
          <w:sz w:val="24"/>
          <w:szCs w:val="24"/>
          <w:lang w:val="en-US"/>
        </w:rPr>
        <w:t xml:space="preserve">Shenzhen Stock Exchange, </w:t>
      </w:r>
      <w:r w:rsidRPr="00D97FBF">
        <w:rPr>
          <w:rFonts w:ascii="Times New Roman" w:hAnsi="Times New Roman" w:cs="Times New Roman"/>
          <w:sz w:val="24"/>
          <w:szCs w:val="24"/>
        </w:rPr>
        <w:t>случай позитивного сюрприза)</w:t>
      </w:r>
    </w:p>
    <w:p w14:paraId="0477EC7D" w14:textId="77777777" w:rsidR="0080545E" w:rsidRDefault="0080545E" w:rsidP="0080545E">
      <w:pPr>
        <w:ind w:firstLine="142"/>
      </w:pPr>
      <w:r w:rsidRPr="00F34514">
        <w:rPr>
          <w:noProof/>
        </w:rPr>
        <w:drawing>
          <wp:inline distT="0" distB="0" distL="0" distR="0" wp14:anchorId="12B327EA" wp14:editId="7E0EFEB1">
            <wp:extent cx="5940425" cy="3381375"/>
            <wp:effectExtent l="0" t="0" r="0" b="0"/>
            <wp:docPr id="38" name="Рисунок 38"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descr="Изображение выглядит как стол&#10;&#10;Автоматически созданное описание"/>
                    <pic:cNvPicPr/>
                  </pic:nvPicPr>
                  <pic:blipFill>
                    <a:blip r:embed="rId45"/>
                    <a:stretch>
                      <a:fillRect/>
                    </a:stretch>
                  </pic:blipFill>
                  <pic:spPr>
                    <a:xfrm>
                      <a:off x="0" y="0"/>
                      <a:ext cx="5940425" cy="3381375"/>
                    </a:xfrm>
                    <a:prstGeom prst="rect">
                      <a:avLst/>
                    </a:prstGeom>
                  </pic:spPr>
                </pic:pic>
              </a:graphicData>
            </a:graphic>
          </wp:inline>
        </w:drawing>
      </w:r>
    </w:p>
    <w:p w14:paraId="07B8360E" w14:textId="77777777" w:rsidR="0080545E" w:rsidRDefault="0080545E" w:rsidP="0080545E">
      <w:pPr>
        <w:ind w:firstLine="142"/>
      </w:pPr>
    </w:p>
    <w:p w14:paraId="2E5D6FA5" w14:textId="77777777" w:rsidR="0080545E" w:rsidRDefault="0080545E" w:rsidP="0080545E">
      <w:pPr>
        <w:ind w:firstLine="0"/>
        <w:rPr>
          <w:b/>
          <w:bCs/>
        </w:rPr>
      </w:pPr>
    </w:p>
    <w:p w14:paraId="3D238D26" w14:textId="77777777" w:rsidR="0080545E" w:rsidRDefault="0080545E" w:rsidP="0080545E">
      <w:pPr>
        <w:ind w:firstLine="0"/>
        <w:rPr>
          <w:b/>
          <w:bCs/>
        </w:rPr>
      </w:pPr>
    </w:p>
    <w:p w14:paraId="26278CDD" w14:textId="77777777" w:rsidR="0080545E" w:rsidRDefault="0080545E" w:rsidP="0080545E">
      <w:pPr>
        <w:ind w:firstLine="0"/>
        <w:rPr>
          <w:b/>
          <w:bCs/>
        </w:rPr>
      </w:pPr>
    </w:p>
    <w:p w14:paraId="40FE64DE" w14:textId="52A751D2" w:rsidR="0080545E" w:rsidRDefault="0080545E" w:rsidP="0080545E">
      <w:pPr>
        <w:ind w:firstLine="0"/>
        <w:rPr>
          <w:rFonts w:cs="Times New Roman"/>
          <w:b/>
          <w:bCs/>
          <w:szCs w:val="24"/>
        </w:rPr>
      </w:pPr>
      <w:r w:rsidRPr="002F6A3C">
        <w:rPr>
          <w:b/>
          <w:bCs/>
        </w:rPr>
        <w:t xml:space="preserve">Приложение </w:t>
      </w:r>
      <w:r w:rsidR="00353B95">
        <w:rPr>
          <w:b/>
          <w:bCs/>
        </w:rPr>
        <w:t>11</w:t>
      </w:r>
      <w:r w:rsidRPr="002F6A3C">
        <w:rPr>
          <w:b/>
          <w:bCs/>
        </w:rPr>
        <w:t xml:space="preserve">. </w:t>
      </w:r>
      <w:r w:rsidRPr="005E216C">
        <w:rPr>
          <w:rFonts w:cs="Times New Roman"/>
          <w:b/>
          <w:bCs/>
          <w:szCs w:val="24"/>
        </w:rPr>
        <w:t>Модел</w:t>
      </w:r>
      <w:r>
        <w:rPr>
          <w:rFonts w:cs="Times New Roman"/>
          <w:b/>
          <w:bCs/>
          <w:szCs w:val="24"/>
        </w:rPr>
        <w:t xml:space="preserve">и </w:t>
      </w:r>
      <w:r w:rsidRPr="005E216C">
        <w:rPr>
          <w:rFonts w:cs="Times New Roman"/>
          <w:b/>
          <w:bCs/>
          <w:szCs w:val="24"/>
        </w:rPr>
        <w:t xml:space="preserve">со случайными эффектами для выборки </w:t>
      </w:r>
      <w:r>
        <w:rPr>
          <w:rFonts w:cs="Times New Roman"/>
          <w:b/>
          <w:bCs/>
          <w:szCs w:val="24"/>
          <w:lang w:val="en-US"/>
        </w:rPr>
        <w:t>MICEX</w:t>
      </w:r>
      <w:r w:rsidRPr="005E216C">
        <w:rPr>
          <w:rFonts w:cs="Times New Roman"/>
          <w:b/>
          <w:bCs/>
          <w:szCs w:val="24"/>
          <w:lang w:val="en-US"/>
        </w:rPr>
        <w:t xml:space="preserve">, </w:t>
      </w:r>
      <w:r w:rsidRPr="005E216C">
        <w:rPr>
          <w:rFonts w:cs="Times New Roman"/>
          <w:b/>
          <w:bCs/>
          <w:szCs w:val="24"/>
        </w:rPr>
        <w:t xml:space="preserve">случай </w:t>
      </w:r>
      <w:r>
        <w:rPr>
          <w:rFonts w:cs="Times New Roman"/>
          <w:b/>
          <w:bCs/>
          <w:szCs w:val="24"/>
        </w:rPr>
        <w:t>негативного сюрприза</w:t>
      </w:r>
    </w:p>
    <w:p w14:paraId="7A7071CF" w14:textId="77777777" w:rsidR="0080545E" w:rsidRDefault="0080545E" w:rsidP="0080545E">
      <w:pPr>
        <w:ind w:firstLine="0"/>
        <w:rPr>
          <w:rFonts w:cs="Times New Roman"/>
          <w:b/>
          <w:bCs/>
          <w:szCs w:val="24"/>
        </w:rPr>
      </w:pPr>
    </w:p>
    <w:p w14:paraId="46CB183F" w14:textId="77777777" w:rsidR="0080545E" w:rsidRPr="00D97FBF" w:rsidRDefault="0080545E" w:rsidP="0080545E">
      <w:pPr>
        <w:pStyle w:val="af7"/>
        <w:numPr>
          <w:ilvl w:val="0"/>
          <w:numId w:val="23"/>
        </w:numPr>
        <w:ind w:left="0" w:hanging="11"/>
        <w:rPr>
          <w:rFonts w:ascii="Times New Roman" w:hAnsi="Times New Roman" w:cs="Times New Roman"/>
          <w:sz w:val="24"/>
          <w:szCs w:val="24"/>
        </w:rPr>
      </w:pPr>
      <w:r w:rsidRPr="00D97FBF">
        <w:rPr>
          <w:rFonts w:ascii="Times New Roman" w:hAnsi="Times New Roman" w:cs="Times New Roman"/>
          <w:sz w:val="24"/>
          <w:szCs w:val="24"/>
        </w:rPr>
        <w:t>Модель №1 (</w:t>
      </w:r>
      <w:r w:rsidRPr="00D97FBF">
        <w:rPr>
          <w:rFonts w:ascii="Times New Roman" w:hAnsi="Times New Roman" w:cs="Times New Roman"/>
          <w:sz w:val="24"/>
          <w:szCs w:val="24"/>
          <w:lang w:val="en-US"/>
        </w:rPr>
        <w:t xml:space="preserve">MICEX, </w:t>
      </w:r>
      <w:r w:rsidRPr="00D97FBF">
        <w:rPr>
          <w:rFonts w:ascii="Times New Roman" w:hAnsi="Times New Roman" w:cs="Times New Roman"/>
          <w:sz w:val="24"/>
          <w:szCs w:val="24"/>
        </w:rPr>
        <w:t xml:space="preserve">случай </w:t>
      </w:r>
      <w:r>
        <w:rPr>
          <w:rFonts w:ascii="Times New Roman" w:hAnsi="Times New Roman" w:cs="Times New Roman"/>
          <w:sz w:val="24"/>
          <w:szCs w:val="24"/>
        </w:rPr>
        <w:t>нега</w:t>
      </w:r>
      <w:r w:rsidRPr="00D97FBF">
        <w:rPr>
          <w:rFonts w:ascii="Times New Roman" w:hAnsi="Times New Roman" w:cs="Times New Roman"/>
          <w:sz w:val="24"/>
          <w:szCs w:val="24"/>
        </w:rPr>
        <w:t>тивного сюрприза)</w:t>
      </w:r>
    </w:p>
    <w:p w14:paraId="786E0113" w14:textId="77777777" w:rsidR="0080545E" w:rsidRDefault="0080545E" w:rsidP="0080545E">
      <w:pPr>
        <w:ind w:firstLine="142"/>
      </w:pPr>
      <w:r w:rsidRPr="000820A1">
        <w:rPr>
          <w:noProof/>
        </w:rPr>
        <w:drawing>
          <wp:inline distT="0" distB="0" distL="0" distR="0" wp14:anchorId="204DBF78" wp14:editId="61B7191C">
            <wp:extent cx="5940425" cy="3345180"/>
            <wp:effectExtent l="0" t="0" r="0" b="0"/>
            <wp:docPr id="42" name="Рисунок 42"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Изображение выглядит как стол&#10;&#10;Автоматически созданное описание"/>
                    <pic:cNvPicPr/>
                  </pic:nvPicPr>
                  <pic:blipFill>
                    <a:blip r:embed="rId46"/>
                    <a:stretch>
                      <a:fillRect/>
                    </a:stretch>
                  </pic:blipFill>
                  <pic:spPr>
                    <a:xfrm>
                      <a:off x="0" y="0"/>
                      <a:ext cx="5940425" cy="3345180"/>
                    </a:xfrm>
                    <a:prstGeom prst="rect">
                      <a:avLst/>
                    </a:prstGeom>
                  </pic:spPr>
                </pic:pic>
              </a:graphicData>
            </a:graphic>
          </wp:inline>
        </w:drawing>
      </w:r>
    </w:p>
    <w:p w14:paraId="2F2C2E17" w14:textId="77777777" w:rsidR="0080545E" w:rsidRDefault="0080545E" w:rsidP="0080545E">
      <w:pPr>
        <w:ind w:firstLine="142"/>
      </w:pPr>
    </w:p>
    <w:p w14:paraId="4CF0E951" w14:textId="77777777" w:rsidR="0080545E" w:rsidRPr="00D97FBF" w:rsidRDefault="0080545E" w:rsidP="0080545E">
      <w:pPr>
        <w:ind w:firstLine="142"/>
      </w:pPr>
      <w:r>
        <w:t>Проверка на мультиколлинеарность факторов</w:t>
      </w:r>
    </w:p>
    <w:p w14:paraId="5133B4C5" w14:textId="77777777" w:rsidR="0080545E" w:rsidRDefault="0080545E" w:rsidP="0080545E">
      <w:pPr>
        <w:ind w:firstLine="142"/>
      </w:pPr>
      <w:r w:rsidRPr="00446F02">
        <w:rPr>
          <w:noProof/>
        </w:rPr>
        <w:drawing>
          <wp:inline distT="0" distB="0" distL="0" distR="0" wp14:anchorId="484B420E" wp14:editId="0A31E8BC">
            <wp:extent cx="1860550" cy="1257340"/>
            <wp:effectExtent l="0" t="0" r="6350" b="0"/>
            <wp:docPr id="31" name="Рисунок 31"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descr="Изображение выглядит как стол&#10;&#10;Автоматически созданное описание"/>
                    <pic:cNvPicPr/>
                  </pic:nvPicPr>
                  <pic:blipFill>
                    <a:blip r:embed="rId47"/>
                    <a:stretch>
                      <a:fillRect/>
                    </a:stretch>
                  </pic:blipFill>
                  <pic:spPr>
                    <a:xfrm>
                      <a:off x="0" y="0"/>
                      <a:ext cx="1869302" cy="1263254"/>
                    </a:xfrm>
                    <a:prstGeom prst="rect">
                      <a:avLst/>
                    </a:prstGeom>
                  </pic:spPr>
                </pic:pic>
              </a:graphicData>
            </a:graphic>
          </wp:inline>
        </w:drawing>
      </w:r>
    </w:p>
    <w:p w14:paraId="47AADC6E" w14:textId="6C5809EF" w:rsidR="0080545E" w:rsidRDefault="0080545E" w:rsidP="0080545E">
      <w:pPr>
        <w:ind w:firstLine="142"/>
      </w:pPr>
    </w:p>
    <w:p w14:paraId="0882137C" w14:textId="013220B1" w:rsidR="0080545E" w:rsidRDefault="0080545E" w:rsidP="0080545E">
      <w:pPr>
        <w:ind w:firstLine="142"/>
      </w:pPr>
    </w:p>
    <w:p w14:paraId="7B1CD2F4" w14:textId="1BD5E4BD" w:rsidR="0080545E" w:rsidRDefault="0080545E" w:rsidP="0080545E">
      <w:pPr>
        <w:ind w:firstLine="142"/>
      </w:pPr>
    </w:p>
    <w:p w14:paraId="77B4DCAE" w14:textId="7082FDFD" w:rsidR="0080545E" w:rsidRDefault="0080545E" w:rsidP="0080545E">
      <w:pPr>
        <w:ind w:firstLine="142"/>
      </w:pPr>
    </w:p>
    <w:p w14:paraId="6C56B9A2" w14:textId="561C7D40" w:rsidR="0080545E" w:rsidRDefault="0080545E" w:rsidP="0080545E">
      <w:pPr>
        <w:ind w:firstLine="142"/>
      </w:pPr>
    </w:p>
    <w:p w14:paraId="1DFDF4C4" w14:textId="32A3C7FD" w:rsidR="0080545E" w:rsidRDefault="0080545E" w:rsidP="0080545E">
      <w:pPr>
        <w:ind w:firstLine="142"/>
      </w:pPr>
    </w:p>
    <w:p w14:paraId="503C0502" w14:textId="2998FE3C" w:rsidR="0080545E" w:rsidRDefault="0080545E" w:rsidP="0080545E">
      <w:pPr>
        <w:ind w:firstLine="142"/>
      </w:pPr>
    </w:p>
    <w:p w14:paraId="6D5E1BD6" w14:textId="4E5ECAFD" w:rsidR="0080545E" w:rsidRDefault="0080545E" w:rsidP="0080545E">
      <w:pPr>
        <w:ind w:firstLine="142"/>
      </w:pPr>
    </w:p>
    <w:p w14:paraId="259E3BA1" w14:textId="426262A9" w:rsidR="0080545E" w:rsidRDefault="0080545E" w:rsidP="0080545E">
      <w:pPr>
        <w:ind w:firstLine="142"/>
      </w:pPr>
    </w:p>
    <w:p w14:paraId="536FB8B2" w14:textId="000D7390" w:rsidR="0080545E" w:rsidRDefault="0080545E" w:rsidP="0080545E">
      <w:pPr>
        <w:ind w:firstLine="142"/>
      </w:pPr>
    </w:p>
    <w:p w14:paraId="1F170832" w14:textId="51A23870" w:rsidR="0080545E" w:rsidRDefault="0080545E" w:rsidP="0080545E">
      <w:pPr>
        <w:ind w:firstLine="142"/>
      </w:pPr>
    </w:p>
    <w:p w14:paraId="575BF2BC" w14:textId="7D7BEC29" w:rsidR="0080545E" w:rsidRDefault="0080545E" w:rsidP="0080545E">
      <w:pPr>
        <w:ind w:firstLine="142"/>
      </w:pPr>
    </w:p>
    <w:p w14:paraId="161FE73E" w14:textId="60F70339" w:rsidR="0080545E" w:rsidRDefault="0080545E" w:rsidP="0080545E">
      <w:pPr>
        <w:ind w:firstLine="142"/>
      </w:pPr>
    </w:p>
    <w:p w14:paraId="7F438967" w14:textId="77777777" w:rsidR="0080545E" w:rsidRDefault="0080545E" w:rsidP="0080545E">
      <w:pPr>
        <w:ind w:firstLine="142"/>
      </w:pPr>
    </w:p>
    <w:p w14:paraId="00D75343" w14:textId="77777777" w:rsidR="0080545E" w:rsidRDefault="0080545E" w:rsidP="0080545E">
      <w:pPr>
        <w:ind w:firstLine="142"/>
      </w:pPr>
    </w:p>
    <w:p w14:paraId="5FA1E903" w14:textId="77777777" w:rsidR="0080545E" w:rsidRPr="00D97FBF" w:rsidRDefault="0080545E" w:rsidP="0080545E">
      <w:pPr>
        <w:pStyle w:val="af7"/>
        <w:numPr>
          <w:ilvl w:val="0"/>
          <w:numId w:val="23"/>
        </w:numPr>
        <w:ind w:left="0" w:hanging="11"/>
        <w:rPr>
          <w:rFonts w:ascii="Times New Roman" w:hAnsi="Times New Roman" w:cs="Times New Roman"/>
          <w:sz w:val="24"/>
          <w:szCs w:val="24"/>
        </w:rPr>
      </w:pPr>
      <w:r w:rsidRPr="00D97FBF">
        <w:rPr>
          <w:rFonts w:ascii="Times New Roman" w:hAnsi="Times New Roman" w:cs="Times New Roman"/>
          <w:sz w:val="24"/>
          <w:szCs w:val="24"/>
        </w:rPr>
        <w:t>Модель №</w:t>
      </w:r>
      <w:r>
        <w:rPr>
          <w:rFonts w:ascii="Times New Roman" w:hAnsi="Times New Roman" w:cs="Times New Roman"/>
          <w:sz w:val="24"/>
          <w:szCs w:val="24"/>
          <w:lang w:val="en-US"/>
        </w:rPr>
        <w:t>2</w:t>
      </w:r>
      <w:r w:rsidRPr="00D97FBF">
        <w:rPr>
          <w:rFonts w:ascii="Times New Roman" w:hAnsi="Times New Roman" w:cs="Times New Roman"/>
          <w:sz w:val="24"/>
          <w:szCs w:val="24"/>
        </w:rPr>
        <w:t xml:space="preserve"> (</w:t>
      </w:r>
      <w:r w:rsidRPr="00D97FBF">
        <w:rPr>
          <w:rFonts w:ascii="Times New Roman" w:hAnsi="Times New Roman" w:cs="Times New Roman"/>
          <w:sz w:val="24"/>
          <w:szCs w:val="24"/>
          <w:lang w:val="en-US"/>
        </w:rPr>
        <w:t xml:space="preserve">MICEX, </w:t>
      </w:r>
      <w:r w:rsidRPr="00D97FBF">
        <w:rPr>
          <w:rFonts w:ascii="Times New Roman" w:hAnsi="Times New Roman" w:cs="Times New Roman"/>
          <w:sz w:val="24"/>
          <w:szCs w:val="24"/>
        </w:rPr>
        <w:t xml:space="preserve">случай </w:t>
      </w:r>
      <w:r>
        <w:rPr>
          <w:rFonts w:ascii="Times New Roman" w:hAnsi="Times New Roman" w:cs="Times New Roman"/>
          <w:sz w:val="24"/>
          <w:szCs w:val="24"/>
        </w:rPr>
        <w:t>нега</w:t>
      </w:r>
      <w:r w:rsidRPr="00D97FBF">
        <w:rPr>
          <w:rFonts w:ascii="Times New Roman" w:hAnsi="Times New Roman" w:cs="Times New Roman"/>
          <w:sz w:val="24"/>
          <w:szCs w:val="24"/>
        </w:rPr>
        <w:t>тивного сюрприза)</w:t>
      </w:r>
    </w:p>
    <w:p w14:paraId="6174F05B" w14:textId="77777777" w:rsidR="0080545E" w:rsidRDefault="0080545E" w:rsidP="0080545E">
      <w:pPr>
        <w:ind w:firstLine="142"/>
      </w:pPr>
    </w:p>
    <w:p w14:paraId="5E35B750" w14:textId="77777777" w:rsidR="0080545E" w:rsidRDefault="0080545E" w:rsidP="0080545E">
      <w:pPr>
        <w:ind w:firstLine="142"/>
        <w:rPr>
          <w:noProof/>
        </w:rPr>
      </w:pPr>
      <w:r w:rsidRPr="00D64D0B">
        <w:rPr>
          <w:noProof/>
        </w:rPr>
        <w:drawing>
          <wp:inline distT="0" distB="0" distL="0" distR="0" wp14:anchorId="37BA1903" wp14:editId="31DCCEED">
            <wp:extent cx="5721350" cy="3605278"/>
            <wp:effectExtent l="0" t="0" r="0" b="0"/>
            <wp:docPr id="12" name="Рисунок 12"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стол&#10;&#10;Автоматически созданное описание"/>
                    <pic:cNvPicPr/>
                  </pic:nvPicPr>
                  <pic:blipFill>
                    <a:blip r:embed="rId48"/>
                    <a:stretch>
                      <a:fillRect/>
                    </a:stretch>
                  </pic:blipFill>
                  <pic:spPr>
                    <a:xfrm>
                      <a:off x="0" y="0"/>
                      <a:ext cx="5736693" cy="3614946"/>
                    </a:xfrm>
                    <a:prstGeom prst="rect">
                      <a:avLst/>
                    </a:prstGeom>
                  </pic:spPr>
                </pic:pic>
              </a:graphicData>
            </a:graphic>
          </wp:inline>
        </w:drawing>
      </w:r>
    </w:p>
    <w:p w14:paraId="4DC65340" w14:textId="77777777" w:rsidR="0080545E" w:rsidRDefault="0080545E" w:rsidP="0080545E">
      <w:pPr>
        <w:ind w:firstLine="142"/>
      </w:pPr>
    </w:p>
    <w:p w14:paraId="4C749A43" w14:textId="77777777" w:rsidR="0080545E" w:rsidRPr="00005E28" w:rsidRDefault="0080545E" w:rsidP="0080545E">
      <w:pPr>
        <w:pStyle w:val="af7"/>
        <w:numPr>
          <w:ilvl w:val="0"/>
          <w:numId w:val="23"/>
        </w:numPr>
        <w:ind w:left="0" w:hanging="11"/>
        <w:rPr>
          <w:rFonts w:ascii="Times New Roman" w:hAnsi="Times New Roman" w:cs="Times New Roman"/>
          <w:sz w:val="24"/>
          <w:szCs w:val="24"/>
        </w:rPr>
      </w:pPr>
      <w:r w:rsidRPr="00D97FBF">
        <w:rPr>
          <w:rFonts w:ascii="Times New Roman" w:hAnsi="Times New Roman" w:cs="Times New Roman"/>
          <w:sz w:val="24"/>
          <w:szCs w:val="24"/>
        </w:rPr>
        <w:t>Модель №</w:t>
      </w:r>
      <w:r>
        <w:rPr>
          <w:rFonts w:ascii="Times New Roman" w:hAnsi="Times New Roman" w:cs="Times New Roman"/>
          <w:sz w:val="24"/>
          <w:szCs w:val="24"/>
        </w:rPr>
        <w:t>3</w:t>
      </w:r>
      <w:r w:rsidRPr="00D97FBF">
        <w:rPr>
          <w:rFonts w:ascii="Times New Roman" w:hAnsi="Times New Roman" w:cs="Times New Roman"/>
          <w:sz w:val="24"/>
          <w:szCs w:val="24"/>
        </w:rPr>
        <w:t xml:space="preserve"> (</w:t>
      </w:r>
      <w:r w:rsidRPr="00D97FBF">
        <w:rPr>
          <w:rFonts w:ascii="Times New Roman" w:hAnsi="Times New Roman" w:cs="Times New Roman"/>
          <w:sz w:val="24"/>
          <w:szCs w:val="24"/>
          <w:lang w:val="en-US"/>
        </w:rPr>
        <w:t xml:space="preserve">MICEX, </w:t>
      </w:r>
      <w:r w:rsidRPr="00D97FBF">
        <w:rPr>
          <w:rFonts w:ascii="Times New Roman" w:hAnsi="Times New Roman" w:cs="Times New Roman"/>
          <w:sz w:val="24"/>
          <w:szCs w:val="24"/>
        </w:rPr>
        <w:t xml:space="preserve">случай </w:t>
      </w:r>
      <w:r>
        <w:rPr>
          <w:rFonts w:ascii="Times New Roman" w:hAnsi="Times New Roman" w:cs="Times New Roman"/>
          <w:sz w:val="24"/>
          <w:szCs w:val="24"/>
        </w:rPr>
        <w:t>нега</w:t>
      </w:r>
      <w:r w:rsidRPr="00D97FBF">
        <w:rPr>
          <w:rFonts w:ascii="Times New Roman" w:hAnsi="Times New Roman" w:cs="Times New Roman"/>
          <w:sz w:val="24"/>
          <w:szCs w:val="24"/>
        </w:rPr>
        <w:t>тивного сюрприза)</w:t>
      </w:r>
    </w:p>
    <w:p w14:paraId="304ED847" w14:textId="77777777" w:rsidR="0080545E" w:rsidRDefault="0080545E" w:rsidP="0080545E">
      <w:pPr>
        <w:ind w:firstLine="142"/>
      </w:pPr>
      <w:r w:rsidRPr="00F924C6">
        <w:rPr>
          <w:noProof/>
        </w:rPr>
        <w:drawing>
          <wp:inline distT="0" distB="0" distL="0" distR="0" wp14:anchorId="34E578E0" wp14:editId="63BD32F0">
            <wp:extent cx="5698288" cy="3586480"/>
            <wp:effectExtent l="0" t="0" r="0" b="0"/>
            <wp:docPr id="28" name="Рисунок 28"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Изображение выглядит как стол&#10;&#10;Автоматически созданное описание"/>
                    <pic:cNvPicPr/>
                  </pic:nvPicPr>
                  <pic:blipFill>
                    <a:blip r:embed="rId49"/>
                    <a:stretch>
                      <a:fillRect/>
                    </a:stretch>
                  </pic:blipFill>
                  <pic:spPr>
                    <a:xfrm>
                      <a:off x="0" y="0"/>
                      <a:ext cx="5700936" cy="3588147"/>
                    </a:xfrm>
                    <a:prstGeom prst="rect">
                      <a:avLst/>
                    </a:prstGeom>
                  </pic:spPr>
                </pic:pic>
              </a:graphicData>
            </a:graphic>
          </wp:inline>
        </w:drawing>
      </w:r>
    </w:p>
    <w:p w14:paraId="5BCBF0C3" w14:textId="77777777" w:rsidR="0080545E" w:rsidRDefault="0080545E" w:rsidP="0080545E">
      <w:pPr>
        <w:ind w:firstLine="142"/>
      </w:pPr>
    </w:p>
    <w:p w14:paraId="39E041EE" w14:textId="77777777" w:rsidR="0080545E" w:rsidRDefault="0080545E" w:rsidP="0080545E">
      <w:pPr>
        <w:ind w:firstLine="0"/>
      </w:pPr>
    </w:p>
    <w:p w14:paraId="6B4E202C" w14:textId="77777777" w:rsidR="0080545E" w:rsidRDefault="0080545E" w:rsidP="0080545E">
      <w:pPr>
        <w:ind w:firstLine="142"/>
      </w:pPr>
    </w:p>
    <w:p w14:paraId="2F353A96" w14:textId="6A0A4094" w:rsidR="0080545E" w:rsidRDefault="0080545E" w:rsidP="0080545E">
      <w:pPr>
        <w:ind w:firstLine="0"/>
        <w:rPr>
          <w:rFonts w:cs="Times New Roman"/>
          <w:b/>
          <w:bCs/>
          <w:szCs w:val="24"/>
        </w:rPr>
      </w:pPr>
      <w:r w:rsidRPr="002F6A3C">
        <w:rPr>
          <w:b/>
          <w:bCs/>
        </w:rPr>
        <w:t xml:space="preserve">Приложение </w:t>
      </w:r>
      <w:r>
        <w:rPr>
          <w:b/>
          <w:bCs/>
        </w:rPr>
        <w:t>1</w:t>
      </w:r>
      <w:r w:rsidR="00353B95">
        <w:rPr>
          <w:b/>
          <w:bCs/>
        </w:rPr>
        <w:t>2</w:t>
      </w:r>
      <w:r>
        <w:rPr>
          <w:b/>
          <w:bCs/>
        </w:rPr>
        <w:t>.</w:t>
      </w:r>
      <w:r w:rsidRPr="002F6A3C">
        <w:rPr>
          <w:b/>
          <w:bCs/>
        </w:rPr>
        <w:t xml:space="preserve"> </w:t>
      </w:r>
      <w:r w:rsidRPr="005E216C">
        <w:rPr>
          <w:rFonts w:cs="Times New Roman"/>
          <w:b/>
          <w:bCs/>
          <w:szCs w:val="24"/>
        </w:rPr>
        <w:t>Модел</w:t>
      </w:r>
      <w:r>
        <w:rPr>
          <w:rFonts w:cs="Times New Roman"/>
          <w:b/>
          <w:bCs/>
          <w:szCs w:val="24"/>
        </w:rPr>
        <w:t xml:space="preserve">и </w:t>
      </w:r>
      <w:r w:rsidRPr="005E216C">
        <w:rPr>
          <w:rFonts w:cs="Times New Roman"/>
          <w:b/>
          <w:bCs/>
          <w:szCs w:val="24"/>
        </w:rPr>
        <w:t xml:space="preserve">со случайными эффектами для выборки </w:t>
      </w:r>
      <w:r>
        <w:rPr>
          <w:rFonts w:cs="Times New Roman"/>
          <w:b/>
          <w:bCs/>
          <w:szCs w:val="24"/>
          <w:lang w:val="en-US"/>
        </w:rPr>
        <w:t>Shenzhen Stock Exchange</w:t>
      </w:r>
      <w:r w:rsidRPr="005E216C">
        <w:rPr>
          <w:rFonts w:cs="Times New Roman"/>
          <w:b/>
          <w:bCs/>
          <w:szCs w:val="24"/>
          <w:lang w:val="en-US"/>
        </w:rPr>
        <w:t xml:space="preserve">, </w:t>
      </w:r>
      <w:r w:rsidRPr="005E216C">
        <w:rPr>
          <w:rFonts w:cs="Times New Roman"/>
          <w:b/>
          <w:bCs/>
          <w:szCs w:val="24"/>
        </w:rPr>
        <w:t xml:space="preserve">случай </w:t>
      </w:r>
      <w:r>
        <w:rPr>
          <w:rFonts w:cs="Times New Roman"/>
          <w:b/>
          <w:bCs/>
          <w:szCs w:val="24"/>
        </w:rPr>
        <w:t>негативного сюрприза</w:t>
      </w:r>
    </w:p>
    <w:p w14:paraId="2815570C" w14:textId="77777777" w:rsidR="0080545E" w:rsidRDefault="0080545E" w:rsidP="0080545E">
      <w:pPr>
        <w:ind w:firstLine="0"/>
        <w:rPr>
          <w:rFonts w:cs="Times New Roman"/>
          <w:b/>
          <w:bCs/>
          <w:szCs w:val="24"/>
        </w:rPr>
      </w:pPr>
    </w:p>
    <w:p w14:paraId="55B936EF" w14:textId="77777777" w:rsidR="0080545E" w:rsidRPr="00005E28" w:rsidRDefault="0080545E" w:rsidP="0080545E">
      <w:pPr>
        <w:pStyle w:val="af7"/>
        <w:numPr>
          <w:ilvl w:val="0"/>
          <w:numId w:val="24"/>
        </w:numPr>
        <w:rPr>
          <w:rFonts w:ascii="Times New Roman" w:hAnsi="Times New Roman" w:cs="Times New Roman"/>
          <w:sz w:val="24"/>
          <w:szCs w:val="24"/>
        </w:rPr>
      </w:pPr>
      <w:r w:rsidRPr="00D97FBF">
        <w:rPr>
          <w:rFonts w:ascii="Times New Roman" w:hAnsi="Times New Roman" w:cs="Times New Roman"/>
          <w:sz w:val="24"/>
          <w:szCs w:val="24"/>
        </w:rPr>
        <w:t>Модель №1 (</w:t>
      </w:r>
      <w:r w:rsidRPr="00005E28">
        <w:rPr>
          <w:rFonts w:ascii="Times New Roman" w:hAnsi="Times New Roman" w:cs="Times New Roman"/>
          <w:sz w:val="24"/>
          <w:szCs w:val="24"/>
          <w:lang w:val="en-US"/>
        </w:rPr>
        <w:t>Shenzhen Stock Exchange</w:t>
      </w:r>
      <w:r w:rsidRPr="00D97FBF">
        <w:rPr>
          <w:rFonts w:ascii="Times New Roman" w:hAnsi="Times New Roman" w:cs="Times New Roman"/>
          <w:sz w:val="24"/>
          <w:szCs w:val="24"/>
          <w:lang w:val="en-US"/>
        </w:rPr>
        <w:t xml:space="preserve">, </w:t>
      </w:r>
      <w:r w:rsidRPr="00D97FBF">
        <w:rPr>
          <w:rFonts w:ascii="Times New Roman" w:hAnsi="Times New Roman" w:cs="Times New Roman"/>
          <w:sz w:val="24"/>
          <w:szCs w:val="24"/>
        </w:rPr>
        <w:t xml:space="preserve">случай </w:t>
      </w:r>
      <w:r>
        <w:rPr>
          <w:rFonts w:ascii="Times New Roman" w:hAnsi="Times New Roman" w:cs="Times New Roman"/>
          <w:sz w:val="24"/>
          <w:szCs w:val="24"/>
        </w:rPr>
        <w:t>негативного</w:t>
      </w:r>
      <w:r w:rsidRPr="00D97FBF">
        <w:rPr>
          <w:rFonts w:ascii="Times New Roman" w:hAnsi="Times New Roman" w:cs="Times New Roman"/>
          <w:sz w:val="24"/>
          <w:szCs w:val="24"/>
        </w:rPr>
        <w:t xml:space="preserve"> сюрприза)</w:t>
      </w:r>
    </w:p>
    <w:p w14:paraId="3D7D44EB" w14:textId="77777777" w:rsidR="0080545E" w:rsidRDefault="0080545E" w:rsidP="0080545E">
      <w:pPr>
        <w:ind w:firstLine="142"/>
      </w:pPr>
      <w:r w:rsidRPr="000820A1">
        <w:rPr>
          <w:noProof/>
        </w:rPr>
        <w:drawing>
          <wp:inline distT="0" distB="0" distL="0" distR="0" wp14:anchorId="5749B5A7" wp14:editId="41CAB2BE">
            <wp:extent cx="5940425" cy="3376295"/>
            <wp:effectExtent l="0" t="0" r="0" b="0"/>
            <wp:docPr id="45" name="Рисунок 45"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descr="Изображение выглядит как стол&#10;&#10;Автоматически созданное описание"/>
                    <pic:cNvPicPr/>
                  </pic:nvPicPr>
                  <pic:blipFill>
                    <a:blip r:embed="rId50"/>
                    <a:stretch>
                      <a:fillRect/>
                    </a:stretch>
                  </pic:blipFill>
                  <pic:spPr>
                    <a:xfrm>
                      <a:off x="0" y="0"/>
                      <a:ext cx="5940425" cy="3376295"/>
                    </a:xfrm>
                    <a:prstGeom prst="rect">
                      <a:avLst/>
                    </a:prstGeom>
                  </pic:spPr>
                </pic:pic>
              </a:graphicData>
            </a:graphic>
          </wp:inline>
        </w:drawing>
      </w:r>
    </w:p>
    <w:p w14:paraId="09C9B9E6" w14:textId="77777777" w:rsidR="0080545E" w:rsidRDefault="0080545E" w:rsidP="0080545E">
      <w:pPr>
        <w:ind w:firstLine="142"/>
      </w:pPr>
    </w:p>
    <w:p w14:paraId="1AED6DD2" w14:textId="77777777" w:rsidR="0080545E" w:rsidRDefault="0080545E" w:rsidP="0080545E">
      <w:pPr>
        <w:ind w:firstLine="142"/>
      </w:pPr>
      <w:r>
        <w:t>Проверка на мультиколлинеарность факторов</w:t>
      </w:r>
    </w:p>
    <w:p w14:paraId="219ACCC9" w14:textId="77777777" w:rsidR="0080545E" w:rsidRDefault="0080545E" w:rsidP="0080545E">
      <w:pPr>
        <w:ind w:firstLine="142"/>
      </w:pPr>
      <w:r w:rsidRPr="008134E0">
        <w:rPr>
          <w:noProof/>
        </w:rPr>
        <w:drawing>
          <wp:inline distT="0" distB="0" distL="0" distR="0" wp14:anchorId="1837EC28" wp14:editId="346B78CC">
            <wp:extent cx="2003728" cy="1450525"/>
            <wp:effectExtent l="0" t="0" r="0" b="0"/>
            <wp:docPr id="41" name="Рисунок 41"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descr="Изображение выглядит как стол&#10;&#10;Автоматически созданное описание"/>
                    <pic:cNvPicPr/>
                  </pic:nvPicPr>
                  <pic:blipFill>
                    <a:blip r:embed="rId51"/>
                    <a:stretch>
                      <a:fillRect/>
                    </a:stretch>
                  </pic:blipFill>
                  <pic:spPr>
                    <a:xfrm>
                      <a:off x="0" y="0"/>
                      <a:ext cx="2005876" cy="1452080"/>
                    </a:xfrm>
                    <a:prstGeom prst="rect">
                      <a:avLst/>
                    </a:prstGeom>
                  </pic:spPr>
                </pic:pic>
              </a:graphicData>
            </a:graphic>
          </wp:inline>
        </w:drawing>
      </w:r>
    </w:p>
    <w:p w14:paraId="4AAEF709" w14:textId="50E59841" w:rsidR="0080545E" w:rsidRDefault="0080545E" w:rsidP="0080545E">
      <w:pPr>
        <w:ind w:firstLine="142"/>
      </w:pPr>
    </w:p>
    <w:p w14:paraId="130EDBBE" w14:textId="3C10D19B" w:rsidR="0080545E" w:rsidRDefault="0080545E" w:rsidP="0080545E">
      <w:pPr>
        <w:ind w:firstLine="142"/>
      </w:pPr>
    </w:p>
    <w:p w14:paraId="6C45E905" w14:textId="51094A1E" w:rsidR="0080545E" w:rsidRDefault="0080545E" w:rsidP="0080545E">
      <w:pPr>
        <w:ind w:firstLine="142"/>
      </w:pPr>
    </w:p>
    <w:p w14:paraId="6C6D50EA" w14:textId="38C6100D" w:rsidR="0080545E" w:rsidRDefault="0080545E" w:rsidP="0080545E">
      <w:pPr>
        <w:ind w:firstLine="142"/>
      </w:pPr>
    </w:p>
    <w:p w14:paraId="2162A40F" w14:textId="603C850D" w:rsidR="0080545E" w:rsidRDefault="0080545E" w:rsidP="0080545E">
      <w:pPr>
        <w:ind w:firstLine="142"/>
      </w:pPr>
    </w:p>
    <w:p w14:paraId="0CC92702" w14:textId="1BEA1EB1" w:rsidR="0080545E" w:rsidRDefault="0080545E" w:rsidP="0080545E">
      <w:pPr>
        <w:ind w:firstLine="142"/>
      </w:pPr>
    </w:p>
    <w:p w14:paraId="5E82C44A" w14:textId="59B140AB" w:rsidR="0080545E" w:rsidRDefault="0080545E" w:rsidP="0080545E">
      <w:pPr>
        <w:ind w:firstLine="142"/>
      </w:pPr>
    </w:p>
    <w:p w14:paraId="000ACEA5" w14:textId="77777777" w:rsidR="0080545E" w:rsidRDefault="0080545E" w:rsidP="0080545E">
      <w:pPr>
        <w:ind w:firstLine="142"/>
      </w:pPr>
    </w:p>
    <w:p w14:paraId="35480111" w14:textId="77777777" w:rsidR="0080545E" w:rsidRDefault="0080545E" w:rsidP="0080545E">
      <w:pPr>
        <w:ind w:firstLine="142"/>
      </w:pPr>
    </w:p>
    <w:p w14:paraId="265DB920" w14:textId="77777777" w:rsidR="0080545E" w:rsidRPr="00005E28" w:rsidRDefault="0080545E" w:rsidP="0080545E">
      <w:pPr>
        <w:pStyle w:val="af7"/>
        <w:numPr>
          <w:ilvl w:val="0"/>
          <w:numId w:val="24"/>
        </w:numPr>
        <w:rPr>
          <w:rFonts w:ascii="Times New Roman" w:hAnsi="Times New Roman" w:cs="Times New Roman"/>
          <w:sz w:val="24"/>
          <w:szCs w:val="24"/>
        </w:rPr>
      </w:pPr>
      <w:r w:rsidRPr="00005E28">
        <w:rPr>
          <w:rFonts w:ascii="Times New Roman" w:hAnsi="Times New Roman" w:cs="Times New Roman"/>
          <w:sz w:val="24"/>
          <w:szCs w:val="24"/>
        </w:rPr>
        <w:t>Модель №2 (</w:t>
      </w:r>
      <w:r w:rsidRPr="00005E28">
        <w:rPr>
          <w:rFonts w:ascii="Times New Roman" w:hAnsi="Times New Roman" w:cs="Times New Roman"/>
          <w:sz w:val="24"/>
          <w:szCs w:val="24"/>
          <w:lang w:val="en-US"/>
        </w:rPr>
        <w:t xml:space="preserve">Shenzhen Stock Exchange, </w:t>
      </w:r>
      <w:r w:rsidRPr="00005E28">
        <w:rPr>
          <w:rFonts w:ascii="Times New Roman" w:hAnsi="Times New Roman" w:cs="Times New Roman"/>
          <w:sz w:val="24"/>
          <w:szCs w:val="24"/>
        </w:rPr>
        <w:t>случай негативного сюрприза)</w:t>
      </w:r>
    </w:p>
    <w:p w14:paraId="7493D331" w14:textId="77777777" w:rsidR="0080545E" w:rsidRDefault="0080545E" w:rsidP="0080545E">
      <w:pPr>
        <w:ind w:firstLine="142"/>
      </w:pPr>
    </w:p>
    <w:p w14:paraId="661A0572" w14:textId="77777777" w:rsidR="0080545E" w:rsidRDefault="0080545E" w:rsidP="0080545E">
      <w:pPr>
        <w:ind w:firstLine="142"/>
      </w:pPr>
      <w:r w:rsidRPr="000820A1">
        <w:rPr>
          <w:noProof/>
        </w:rPr>
        <w:drawing>
          <wp:inline distT="0" distB="0" distL="0" distR="0" wp14:anchorId="1A0601C7" wp14:editId="737EF6B2">
            <wp:extent cx="5940425" cy="3375660"/>
            <wp:effectExtent l="0" t="0" r="0" b="0"/>
            <wp:docPr id="46" name="Рисунок 46"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descr="Изображение выглядит как стол&#10;&#10;Автоматически созданное описание"/>
                    <pic:cNvPicPr/>
                  </pic:nvPicPr>
                  <pic:blipFill>
                    <a:blip r:embed="rId52"/>
                    <a:stretch>
                      <a:fillRect/>
                    </a:stretch>
                  </pic:blipFill>
                  <pic:spPr>
                    <a:xfrm>
                      <a:off x="0" y="0"/>
                      <a:ext cx="5940425" cy="3375660"/>
                    </a:xfrm>
                    <a:prstGeom prst="rect">
                      <a:avLst/>
                    </a:prstGeom>
                  </pic:spPr>
                </pic:pic>
              </a:graphicData>
            </a:graphic>
          </wp:inline>
        </w:drawing>
      </w:r>
    </w:p>
    <w:p w14:paraId="0F4FCFFE" w14:textId="77777777" w:rsidR="0080545E" w:rsidRDefault="0080545E" w:rsidP="0080545E">
      <w:pPr>
        <w:ind w:firstLine="142"/>
      </w:pPr>
    </w:p>
    <w:p w14:paraId="03EAF421" w14:textId="77777777" w:rsidR="0080545E" w:rsidRDefault="0080545E" w:rsidP="0080545E">
      <w:pPr>
        <w:ind w:firstLine="142"/>
      </w:pPr>
    </w:p>
    <w:p w14:paraId="67A459F2" w14:textId="77777777" w:rsidR="0080545E" w:rsidRDefault="0080545E" w:rsidP="0080545E">
      <w:pPr>
        <w:ind w:firstLine="142"/>
      </w:pPr>
    </w:p>
    <w:p w14:paraId="271B8F74" w14:textId="77777777" w:rsidR="0080545E" w:rsidRPr="00005E28" w:rsidRDefault="0080545E" w:rsidP="0080545E">
      <w:pPr>
        <w:pStyle w:val="af7"/>
        <w:numPr>
          <w:ilvl w:val="0"/>
          <w:numId w:val="24"/>
        </w:numPr>
        <w:rPr>
          <w:rFonts w:ascii="Times New Roman" w:hAnsi="Times New Roman" w:cs="Times New Roman"/>
          <w:sz w:val="24"/>
          <w:szCs w:val="24"/>
        </w:rPr>
      </w:pPr>
      <w:r w:rsidRPr="00005E28">
        <w:rPr>
          <w:rFonts w:ascii="Times New Roman" w:hAnsi="Times New Roman" w:cs="Times New Roman"/>
          <w:sz w:val="24"/>
          <w:szCs w:val="24"/>
        </w:rPr>
        <w:t>Модель №3 (</w:t>
      </w:r>
      <w:r w:rsidRPr="00005E28">
        <w:rPr>
          <w:rFonts w:ascii="Times New Roman" w:hAnsi="Times New Roman" w:cs="Times New Roman"/>
          <w:sz w:val="24"/>
          <w:szCs w:val="24"/>
          <w:lang w:val="en-US"/>
        </w:rPr>
        <w:t xml:space="preserve">Shenzhen Stock Exchange, </w:t>
      </w:r>
      <w:r w:rsidRPr="00005E28">
        <w:rPr>
          <w:rFonts w:ascii="Times New Roman" w:hAnsi="Times New Roman" w:cs="Times New Roman"/>
          <w:sz w:val="24"/>
          <w:szCs w:val="24"/>
        </w:rPr>
        <w:t>случай негативного сюрприза)</w:t>
      </w:r>
    </w:p>
    <w:p w14:paraId="675B1640" w14:textId="0CE08364" w:rsidR="0080545E" w:rsidRDefault="0080545E" w:rsidP="0080545E">
      <w:pPr>
        <w:ind w:firstLine="142"/>
      </w:pPr>
      <w:r w:rsidRPr="0021391C">
        <w:rPr>
          <w:noProof/>
        </w:rPr>
        <w:drawing>
          <wp:inline distT="0" distB="0" distL="0" distR="0" wp14:anchorId="68CB0ED6" wp14:editId="51051177">
            <wp:extent cx="5940425" cy="3382645"/>
            <wp:effectExtent l="0" t="0" r="0" b="0"/>
            <wp:docPr id="47" name="Рисунок 47"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descr="Изображение выглядит как стол&#10;&#10;Автоматически созданное описание"/>
                    <pic:cNvPicPr/>
                  </pic:nvPicPr>
                  <pic:blipFill>
                    <a:blip r:embed="rId53"/>
                    <a:stretch>
                      <a:fillRect/>
                    </a:stretch>
                  </pic:blipFill>
                  <pic:spPr>
                    <a:xfrm>
                      <a:off x="0" y="0"/>
                      <a:ext cx="5940425" cy="3382645"/>
                    </a:xfrm>
                    <a:prstGeom prst="rect">
                      <a:avLst/>
                    </a:prstGeom>
                  </pic:spPr>
                </pic:pic>
              </a:graphicData>
            </a:graphic>
          </wp:inline>
        </w:drawing>
      </w:r>
    </w:p>
    <w:p w14:paraId="1C1D5B90" w14:textId="18810818" w:rsidR="005B2D14" w:rsidRDefault="005B2D14" w:rsidP="0080545E">
      <w:pPr>
        <w:ind w:firstLine="142"/>
      </w:pPr>
    </w:p>
    <w:bookmarkEnd w:id="45"/>
    <w:p w14:paraId="29202ECD" w14:textId="3C54C1FA" w:rsidR="005B2D14" w:rsidRDefault="005B2D14" w:rsidP="0080545E">
      <w:pPr>
        <w:ind w:firstLine="142"/>
      </w:pPr>
    </w:p>
    <w:sectPr w:rsidR="005B2D14" w:rsidSect="0045559B">
      <w:footerReference w:type="default" r:id="rId54"/>
      <w:pgSz w:w="11906" w:h="16838"/>
      <w:pgMar w:top="1134" w:right="991"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52145" w14:textId="77777777" w:rsidR="00CF4558" w:rsidRDefault="00CF4558" w:rsidP="00D305E6">
      <w:pPr>
        <w:spacing w:line="240" w:lineRule="auto"/>
      </w:pPr>
      <w:r>
        <w:separator/>
      </w:r>
    </w:p>
  </w:endnote>
  <w:endnote w:type="continuationSeparator" w:id="0">
    <w:p w14:paraId="5E93CDBB" w14:textId="77777777" w:rsidR="00CF4558" w:rsidRDefault="00CF4558" w:rsidP="00D305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Roboto">
    <w:altName w:val="Roboto"/>
    <w:charset w:val="00"/>
    <w:family w:val="auto"/>
    <w:pitch w:val="variable"/>
    <w:sig w:usb0="E00002FF" w:usb1="5000205B" w:usb2="00000020" w:usb3="00000000" w:csb0="0000019F" w:csb1="00000000"/>
  </w:font>
  <w:font w:name="New York Medium">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4048858"/>
      <w:docPartObj>
        <w:docPartGallery w:val="Page Numbers (Bottom of Page)"/>
        <w:docPartUnique/>
      </w:docPartObj>
    </w:sdtPr>
    <w:sdtEndPr/>
    <w:sdtContent>
      <w:p w14:paraId="37C3607A" w14:textId="6482E34B" w:rsidR="00347E15" w:rsidRDefault="00347E15">
        <w:pPr>
          <w:pStyle w:val="af5"/>
          <w:jc w:val="right"/>
        </w:pPr>
        <w:r>
          <w:fldChar w:fldCharType="begin"/>
        </w:r>
        <w:r>
          <w:instrText>PAGE   \* MERGEFORMAT</w:instrText>
        </w:r>
        <w:r>
          <w:fldChar w:fldCharType="separate"/>
        </w:r>
        <w:r>
          <w:t>2</w:t>
        </w:r>
        <w:r>
          <w:fldChar w:fldCharType="end"/>
        </w:r>
      </w:p>
    </w:sdtContent>
  </w:sdt>
  <w:p w14:paraId="38D22225" w14:textId="77777777" w:rsidR="00347E15" w:rsidRDefault="00347E15">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3A80B" w14:textId="77777777" w:rsidR="00CF4558" w:rsidRDefault="00CF4558" w:rsidP="00D305E6">
      <w:pPr>
        <w:spacing w:line="240" w:lineRule="auto"/>
      </w:pPr>
      <w:r>
        <w:separator/>
      </w:r>
    </w:p>
  </w:footnote>
  <w:footnote w:type="continuationSeparator" w:id="0">
    <w:p w14:paraId="4DDE6267" w14:textId="77777777" w:rsidR="00CF4558" w:rsidRDefault="00CF4558" w:rsidP="00D305E6">
      <w:pPr>
        <w:spacing w:line="240" w:lineRule="auto"/>
      </w:pPr>
      <w:r>
        <w:continuationSeparator/>
      </w:r>
    </w:p>
  </w:footnote>
  <w:footnote w:id="1">
    <w:p w14:paraId="620A70C9" w14:textId="7B2E7C05" w:rsidR="006764F4" w:rsidRPr="000D0E3C" w:rsidRDefault="006764F4" w:rsidP="000D0E3C">
      <w:pPr>
        <w:pStyle w:val="afd"/>
      </w:pPr>
      <w:r w:rsidRPr="000D0E3C">
        <w:rPr>
          <w:rStyle w:val="aff"/>
          <w:vertAlign w:val="baseline"/>
        </w:rPr>
        <w:footnoteRef/>
      </w:r>
      <w:r w:rsidRPr="000D0E3C">
        <w:t xml:space="preserve"> По данным World Federation of Exchanges, 2020</w:t>
      </w:r>
    </w:p>
  </w:footnote>
  <w:footnote w:id="2">
    <w:p w14:paraId="2AEC458A" w14:textId="77777777" w:rsidR="00806661" w:rsidRPr="000D0E3C" w:rsidRDefault="00806661" w:rsidP="000D0E3C">
      <w:pPr>
        <w:pStyle w:val="afd"/>
        <w:rPr>
          <w:rStyle w:val="afe"/>
          <w:highlight w:val="white"/>
        </w:rPr>
      </w:pPr>
      <w:r>
        <w:rPr>
          <w:vertAlign w:val="superscript"/>
        </w:rPr>
        <w:footnoteRef/>
      </w:r>
      <w:r w:rsidRPr="009217DB">
        <w:rPr>
          <w:szCs w:val="20"/>
        </w:rPr>
        <w:t xml:space="preserve"> </w:t>
      </w:r>
      <w:r w:rsidRPr="000D0E3C">
        <w:rPr>
          <w:rStyle w:val="afe"/>
          <w:highlight w:val="white"/>
        </w:rPr>
        <w:t xml:space="preserve">Modigliani F., Miller M.H. The Cost of Capital, Corporation </w:t>
      </w:r>
      <w:r w:rsidRPr="000D0E3C">
        <w:rPr>
          <w:rStyle w:val="afe"/>
          <w:highlight w:val="white"/>
        </w:rPr>
        <w:t>Finance and the Theory of Investment. American Economic Review. 1958. Vol. 48. N 3. P. 261–297.</w:t>
      </w:r>
    </w:p>
    <w:p w14:paraId="453481D2" w14:textId="77777777" w:rsidR="00806661" w:rsidRPr="000D0E3C" w:rsidRDefault="00806661" w:rsidP="000D0E3C">
      <w:pPr>
        <w:pStyle w:val="afd"/>
      </w:pPr>
    </w:p>
  </w:footnote>
  <w:footnote w:id="3">
    <w:p w14:paraId="7C3C512F" w14:textId="7F916067" w:rsidR="000D0E3C" w:rsidRDefault="000D0E3C" w:rsidP="000D0E3C">
      <w:pPr>
        <w:pStyle w:val="afd"/>
      </w:pPr>
      <w:r w:rsidRPr="000D0E3C">
        <w:rPr>
          <w:rStyle w:val="aff"/>
          <w:vertAlign w:val="baseline"/>
        </w:rPr>
        <w:footnoteRef/>
      </w:r>
      <w:r w:rsidRPr="000D0E3C">
        <w:t xml:space="preserve"> </w:t>
      </w:r>
      <w:r w:rsidRPr="000D0E3C">
        <w:rPr>
          <w:rStyle w:val="afe"/>
          <w:highlight w:val="white"/>
        </w:rPr>
        <w:t xml:space="preserve">Miller М. Н., Modigliani F. Dividend Policy, </w:t>
      </w:r>
      <w:r w:rsidRPr="000D0E3C">
        <w:rPr>
          <w:rStyle w:val="afe"/>
          <w:highlight w:val="white"/>
        </w:rPr>
        <w:t>Growth and the Valuation of Shares // Journ. Business. 1961. Oct. P. 411—433.</w:t>
      </w:r>
    </w:p>
  </w:footnote>
  <w:footnote w:id="4">
    <w:p w14:paraId="3335041B" w14:textId="4F56AF19" w:rsidR="00335B0A" w:rsidRPr="009217DB" w:rsidRDefault="00335B0A" w:rsidP="009217DB">
      <w:pPr>
        <w:pStyle w:val="afd"/>
        <w:rPr>
          <w:rStyle w:val="afe"/>
          <w:highlight w:val="white"/>
        </w:rPr>
      </w:pPr>
      <w:r>
        <w:rPr>
          <w:rStyle w:val="aff"/>
        </w:rPr>
        <w:footnoteRef/>
      </w:r>
      <w:r w:rsidRPr="000D0E3C">
        <w:t xml:space="preserve"> </w:t>
      </w:r>
      <w:r w:rsidRPr="000D0E3C">
        <w:rPr>
          <w:highlight w:val="white"/>
        </w:rPr>
        <w:t>Lintner J. Distribution of incomes of corporations among dividends, retained earnings, and taxes //The American economic review. – 1956. – Т. 46. – №. 2. – С. 97-113.</w:t>
      </w:r>
    </w:p>
  </w:footnote>
  <w:footnote w:id="5">
    <w:p w14:paraId="0A652218" w14:textId="77777777" w:rsidR="00806661" w:rsidRPr="009217DB" w:rsidRDefault="00806661" w:rsidP="00806661">
      <w:pPr>
        <w:spacing w:line="240" w:lineRule="auto"/>
        <w:rPr>
          <w:sz w:val="20"/>
          <w:szCs w:val="20"/>
          <w:lang w:val="en-US"/>
        </w:rPr>
      </w:pPr>
      <w:r w:rsidRPr="00335B0A">
        <w:rPr>
          <w:rStyle w:val="afe"/>
          <w:highlight w:val="white"/>
        </w:rPr>
        <w:footnoteRef/>
      </w:r>
      <w:r w:rsidRPr="009217DB">
        <w:rPr>
          <w:rStyle w:val="afe"/>
          <w:highlight w:val="white"/>
        </w:rPr>
        <w:t xml:space="preserve"> Jensen M. C. Agency costs of free cash flow, corporate finance, and takeovers //The American economic review. – 1986. – </w:t>
      </w:r>
      <w:r w:rsidRPr="00CF44B9">
        <w:rPr>
          <w:rStyle w:val="afe"/>
          <w:highlight w:val="white"/>
        </w:rPr>
        <w:t>Т</w:t>
      </w:r>
      <w:r w:rsidRPr="009217DB">
        <w:rPr>
          <w:rStyle w:val="afe"/>
          <w:highlight w:val="white"/>
        </w:rPr>
        <w:t xml:space="preserve">. 76. – №. 2. – </w:t>
      </w:r>
      <w:r w:rsidRPr="00CF44B9">
        <w:rPr>
          <w:rStyle w:val="afe"/>
          <w:highlight w:val="white"/>
        </w:rPr>
        <w:t>С</w:t>
      </w:r>
      <w:r w:rsidRPr="009217DB">
        <w:rPr>
          <w:rStyle w:val="afe"/>
          <w:highlight w:val="white"/>
        </w:rPr>
        <w:t>. 323-329.</w:t>
      </w:r>
    </w:p>
  </w:footnote>
  <w:footnote w:id="6">
    <w:p w14:paraId="64D9AD29" w14:textId="77777777" w:rsidR="00806661" w:rsidRPr="009217DB" w:rsidRDefault="00806661" w:rsidP="009217DB">
      <w:pPr>
        <w:pStyle w:val="afd"/>
      </w:pPr>
      <w:r>
        <w:rPr>
          <w:rStyle w:val="aff"/>
        </w:rPr>
        <w:footnoteRef/>
      </w:r>
      <w:r w:rsidRPr="009217DB">
        <w:t xml:space="preserve"> Lang L. H. P., Litzenberger R. H. Dividend announcements: cash flow signalling vs. free cash flow hypothesis? //Journal of financial economics. – 1989. – </w:t>
      </w:r>
      <w:r w:rsidRPr="00CF44B9">
        <w:t>Т</w:t>
      </w:r>
      <w:r w:rsidRPr="009217DB">
        <w:t xml:space="preserve">. 24. – №. 1. – </w:t>
      </w:r>
      <w:r w:rsidRPr="00CF44B9">
        <w:t>С</w:t>
      </w:r>
      <w:r w:rsidRPr="009217DB">
        <w:t>. 181-191.</w:t>
      </w:r>
    </w:p>
  </w:footnote>
  <w:footnote w:id="7">
    <w:p w14:paraId="0DD4F1D0" w14:textId="77777777" w:rsidR="00806661" w:rsidRPr="009217DB" w:rsidRDefault="00806661" w:rsidP="009217DB">
      <w:pPr>
        <w:pStyle w:val="afd"/>
      </w:pPr>
      <w:r>
        <w:rPr>
          <w:rStyle w:val="aff"/>
        </w:rPr>
        <w:footnoteRef/>
      </w:r>
      <w:r w:rsidRPr="009217DB">
        <w:t xml:space="preserve"> Easterbrook F. H. Two agency-cost explanations of dividends //The American economic review. – 1984. – </w:t>
      </w:r>
      <w:r w:rsidRPr="00CF44B9">
        <w:t>Т</w:t>
      </w:r>
      <w:r w:rsidRPr="009217DB">
        <w:t xml:space="preserve">. 74. – №. 4. – </w:t>
      </w:r>
      <w:r w:rsidRPr="00CF44B9">
        <w:t>С</w:t>
      </w:r>
      <w:r w:rsidRPr="009217DB">
        <w:t>. 650-659.</w:t>
      </w:r>
    </w:p>
  </w:footnote>
  <w:footnote w:id="8">
    <w:p w14:paraId="3D4D6BF7" w14:textId="77777777" w:rsidR="00806661" w:rsidRPr="009217DB" w:rsidRDefault="00806661" w:rsidP="009217DB">
      <w:pPr>
        <w:pStyle w:val="afd"/>
      </w:pPr>
      <w:r>
        <w:rPr>
          <w:rStyle w:val="aff"/>
        </w:rPr>
        <w:footnoteRef/>
      </w:r>
      <w:r w:rsidRPr="009217DB">
        <w:t xml:space="preserve"> Aharony J., Swary I. Quarterly dividend and earnings announcements and stockholders' returns: An empirical analysis //The Journal of finance. – 1980. – </w:t>
      </w:r>
      <w:r w:rsidRPr="00CB6BBD">
        <w:t>Т</w:t>
      </w:r>
      <w:r w:rsidRPr="009217DB">
        <w:t xml:space="preserve">. 35. – №. 1. – </w:t>
      </w:r>
      <w:r w:rsidRPr="00CB6BBD">
        <w:t>С</w:t>
      </w:r>
      <w:r w:rsidRPr="009217DB">
        <w:t>. 1-12.</w:t>
      </w:r>
    </w:p>
  </w:footnote>
  <w:footnote w:id="9">
    <w:p w14:paraId="5E33AD6F" w14:textId="77777777" w:rsidR="00806661" w:rsidRPr="009217DB" w:rsidRDefault="00806661" w:rsidP="009217DB">
      <w:pPr>
        <w:pStyle w:val="afd"/>
      </w:pPr>
      <w:r>
        <w:rPr>
          <w:rStyle w:val="aff"/>
        </w:rPr>
        <w:footnoteRef/>
      </w:r>
      <w:r w:rsidRPr="009217DB">
        <w:t xml:space="preserve"> Yoon P. S., Starks L. T. Signaling, investment opportunities, and dividend announcements //The Review of Financial Studies. – 1995. – </w:t>
      </w:r>
      <w:r w:rsidRPr="00CB6BBD">
        <w:t>Т</w:t>
      </w:r>
      <w:r w:rsidRPr="009217DB">
        <w:t xml:space="preserve">. 8. – №. 4. – </w:t>
      </w:r>
      <w:r w:rsidRPr="00CB6BBD">
        <w:t>С</w:t>
      </w:r>
      <w:r w:rsidRPr="009217DB">
        <w:t>. 995-1018.</w:t>
      </w:r>
    </w:p>
  </w:footnote>
  <w:footnote w:id="10">
    <w:p w14:paraId="7F9158D5" w14:textId="77777777" w:rsidR="00806661" w:rsidRPr="009217DB" w:rsidRDefault="00806661" w:rsidP="009217DB">
      <w:pPr>
        <w:pStyle w:val="afd"/>
      </w:pPr>
      <w:r>
        <w:rPr>
          <w:rStyle w:val="aff"/>
        </w:rPr>
        <w:footnoteRef/>
      </w:r>
      <w:r w:rsidRPr="009217DB">
        <w:t xml:space="preserve"> Warther V. A. Dividend smoothing: A sleeping </w:t>
      </w:r>
      <w:r w:rsidRPr="009217DB">
        <w:t>dogs explanation //Available at SSRN 5466. – 1994.</w:t>
      </w:r>
    </w:p>
  </w:footnote>
  <w:footnote w:id="11">
    <w:p w14:paraId="0609D799" w14:textId="77777777" w:rsidR="00806661" w:rsidRPr="009217DB" w:rsidRDefault="00806661" w:rsidP="009217DB">
      <w:pPr>
        <w:pStyle w:val="afd"/>
      </w:pPr>
      <w:r w:rsidRPr="007600E9">
        <w:rPr>
          <w:rStyle w:val="aff"/>
        </w:rPr>
        <w:footnoteRef/>
      </w:r>
      <w:r w:rsidRPr="009217DB">
        <w:t xml:space="preserve"> Lonie A. A. et al. The stock market reaction to dividend announcements: A UK study of complex market signals //Journal of Economic studies. – 1996.</w:t>
      </w:r>
    </w:p>
  </w:footnote>
  <w:footnote w:id="12">
    <w:p w14:paraId="42A0B191" w14:textId="77777777" w:rsidR="00806661" w:rsidRPr="009217DB" w:rsidRDefault="00806661" w:rsidP="009217DB">
      <w:pPr>
        <w:pStyle w:val="afd"/>
      </w:pPr>
      <w:r>
        <w:rPr>
          <w:rStyle w:val="aff"/>
        </w:rPr>
        <w:footnoteRef/>
      </w:r>
      <w:r w:rsidRPr="009217DB">
        <w:t xml:space="preserve"> Amihud Y., Murgia M. Dividends, taxes, and </w:t>
      </w:r>
      <w:r w:rsidRPr="009217DB">
        <w:t xml:space="preserve">signaling: evidence from Germany //The Journal of Finance. – 1997. – </w:t>
      </w:r>
      <w:r w:rsidRPr="007600E9">
        <w:t>Т</w:t>
      </w:r>
      <w:r w:rsidRPr="009217DB">
        <w:t xml:space="preserve">. 52. – №. 1. – </w:t>
      </w:r>
      <w:r w:rsidRPr="007600E9">
        <w:t>С</w:t>
      </w:r>
      <w:r w:rsidRPr="009217DB">
        <w:t>. 397-408.</w:t>
      </w:r>
    </w:p>
  </w:footnote>
  <w:footnote w:id="13">
    <w:p w14:paraId="29C8EF3A" w14:textId="5361DDA1" w:rsidR="00806661" w:rsidRDefault="00806661" w:rsidP="009217DB">
      <w:pPr>
        <w:pStyle w:val="afd"/>
      </w:pPr>
      <w:r>
        <w:rPr>
          <w:rStyle w:val="aff"/>
        </w:rPr>
        <w:footnoteRef/>
      </w:r>
      <w:r w:rsidRPr="009217DB">
        <w:t xml:space="preserve"> Karim M. Announcement effect of dividend on the stock price of enlisted companies in developed countries: A comparative study between London stock exchange &amp; New York stock exchange //Available at SSRN 1624363. – 2010.</w:t>
      </w:r>
    </w:p>
    <w:p w14:paraId="6C803B02" w14:textId="77777777" w:rsidR="000D0E3C" w:rsidRPr="009217DB" w:rsidRDefault="000D0E3C" w:rsidP="000D0E3C">
      <w:pPr>
        <w:pStyle w:val="afd"/>
        <w:ind w:firstLine="0"/>
      </w:pPr>
    </w:p>
  </w:footnote>
  <w:footnote w:id="14">
    <w:p w14:paraId="1C8E5EF6" w14:textId="77777777" w:rsidR="00806661" w:rsidRPr="007600E9" w:rsidRDefault="00806661" w:rsidP="009217DB">
      <w:pPr>
        <w:pStyle w:val="afd"/>
      </w:pPr>
      <w:r>
        <w:rPr>
          <w:rStyle w:val="aff"/>
        </w:rPr>
        <w:footnoteRef/>
      </w:r>
      <w:r>
        <w:t xml:space="preserve"> </w:t>
      </w:r>
      <w:r w:rsidRPr="007600E9">
        <w:t>Теплова Т.В. Влияние дивидендных выплат на рыночную оценку российских компаний: эмпирическое исследование методом событийного анализа на российских и зарубежных торговых // Аудит и финансовый анализ. 2008. Вып. 2.С. 1–15.</w:t>
      </w:r>
    </w:p>
  </w:footnote>
  <w:footnote w:id="15">
    <w:p w14:paraId="1CDDC382" w14:textId="77777777" w:rsidR="00806661" w:rsidRPr="007600E9" w:rsidRDefault="00806661" w:rsidP="009217DB">
      <w:pPr>
        <w:pStyle w:val="afd"/>
      </w:pPr>
      <w:r>
        <w:rPr>
          <w:rStyle w:val="aff"/>
        </w:rPr>
        <w:footnoteRef/>
      </w:r>
      <w:r>
        <w:t xml:space="preserve"> Теплова Т.В. Реакция цен акций на объявления денежных дивидендов: сигнализирование на российском рынке до и после кризиса // Финансовый менеджмент.2011. No 1. С. 13–25.</w:t>
      </w:r>
    </w:p>
  </w:footnote>
  <w:footnote w:id="16">
    <w:p w14:paraId="02A2184A" w14:textId="77777777" w:rsidR="00806661" w:rsidRPr="009217DB" w:rsidRDefault="00806661" w:rsidP="009217DB">
      <w:pPr>
        <w:pStyle w:val="afd"/>
      </w:pPr>
      <w:r>
        <w:rPr>
          <w:rStyle w:val="aff"/>
        </w:rPr>
        <w:footnoteRef/>
      </w:r>
      <w:r>
        <w:t xml:space="preserve"> </w:t>
      </w:r>
      <w:r w:rsidRPr="00733B6C">
        <w:t>Березинец И. В. и др. Реакция российского фондового рынка на объявления о выплате дивидендов: эмпирическое исследование //Вестник Санкт-Петербургского университета. Менеджмент</w:t>
      </w:r>
      <w:r w:rsidRPr="009217DB">
        <w:t xml:space="preserve">. – 2015. – №. 1. – </w:t>
      </w:r>
      <w:r w:rsidRPr="00733B6C">
        <w:t>С</w:t>
      </w:r>
      <w:r w:rsidRPr="009217DB">
        <w:t>. 44-90.</w:t>
      </w:r>
    </w:p>
  </w:footnote>
  <w:footnote w:id="17">
    <w:p w14:paraId="1F8A7BFE" w14:textId="77777777" w:rsidR="00806661" w:rsidRDefault="00806661" w:rsidP="009217DB">
      <w:pPr>
        <w:pStyle w:val="afd"/>
      </w:pPr>
      <w:r>
        <w:rPr>
          <w:rStyle w:val="aff"/>
        </w:rPr>
        <w:footnoteRef/>
      </w:r>
      <w:r w:rsidRPr="009217DB">
        <w:t xml:space="preserve"> Chen D. H., Liu H. H., Huang C. T. The announcement effect of cash dividend changes on share prices: An empirical analysis of China //Chinese Economy. – 2009. – </w:t>
      </w:r>
      <w:r>
        <w:t>Т</w:t>
      </w:r>
      <w:r w:rsidRPr="009217DB">
        <w:t xml:space="preserve">. 42. – №. </w:t>
      </w:r>
      <w:r>
        <w:t>1. – С. 62-85.</w:t>
      </w:r>
    </w:p>
  </w:footnote>
  <w:footnote w:id="18">
    <w:p w14:paraId="1EC38017" w14:textId="77777777" w:rsidR="00806661" w:rsidRDefault="00806661" w:rsidP="009217DB">
      <w:pPr>
        <w:pStyle w:val="afd"/>
      </w:pPr>
      <w:r>
        <w:rPr>
          <w:vertAlign w:val="superscript"/>
        </w:rPr>
        <w:footnoteRef/>
      </w:r>
      <w:r>
        <w:t xml:space="preserve"> Закон от 28 марта 2001 г., требовал, чтобы ведущий андеррайтер в письменном отчете сообщал о любой фирме, которая не выплачивала дивиденды наличными за последние три года, и о любом совете директоров, который не объяснил разумно, почему их фирма не выплачивала дивиденды наличными. </w:t>
      </w:r>
    </w:p>
  </w:footnote>
  <w:footnote w:id="19">
    <w:p w14:paraId="4D15C168" w14:textId="77777777" w:rsidR="00806661" w:rsidRPr="009217DB" w:rsidRDefault="00806661" w:rsidP="009217DB">
      <w:pPr>
        <w:pStyle w:val="afd"/>
      </w:pPr>
      <w:r>
        <w:rPr>
          <w:rStyle w:val="aff"/>
        </w:rPr>
        <w:footnoteRef/>
      </w:r>
      <w:r w:rsidRPr="009217DB">
        <w:t xml:space="preserve"> Zuguang H., Ahmed M. U. Dividend announcement effect on stock return: an event study on Shanghai stock exchange //2010 Second WRI Global Congress on Intelligent Systems. – IEEE, 2010. – </w:t>
      </w:r>
      <w:r>
        <w:t>Т</w:t>
      </w:r>
      <w:r w:rsidRPr="009217DB">
        <w:t xml:space="preserve">. 2. – </w:t>
      </w:r>
      <w:r>
        <w:t>С</w:t>
      </w:r>
      <w:r w:rsidRPr="009217DB">
        <w:t>. 320-324.</w:t>
      </w:r>
    </w:p>
  </w:footnote>
  <w:footnote w:id="20">
    <w:p w14:paraId="56A97E75" w14:textId="77777777" w:rsidR="00806661" w:rsidRPr="009217DB" w:rsidRDefault="00806661" w:rsidP="009217DB">
      <w:pPr>
        <w:pStyle w:val="afd"/>
      </w:pPr>
      <w:r>
        <w:rPr>
          <w:rStyle w:val="aff"/>
        </w:rPr>
        <w:footnoteRef/>
      </w:r>
      <w:r w:rsidRPr="009217DB">
        <w:t xml:space="preserve"> Yoon P. S., Starks L. T. Signaling, investment opportunities, and dividend announcements //The Review of Financial Studies. – 1995. – </w:t>
      </w:r>
      <w:r w:rsidRPr="008D376F">
        <w:t>Т</w:t>
      </w:r>
      <w:r w:rsidRPr="009217DB">
        <w:t xml:space="preserve">. 8. – №. 4. – </w:t>
      </w:r>
      <w:r w:rsidRPr="008D376F">
        <w:t>С</w:t>
      </w:r>
      <w:r w:rsidRPr="009217DB">
        <w:t>. 995-1018.</w:t>
      </w:r>
    </w:p>
  </w:footnote>
  <w:footnote w:id="21">
    <w:p w14:paraId="3F6539E0" w14:textId="77777777" w:rsidR="00806661" w:rsidRPr="009217DB" w:rsidRDefault="00806661" w:rsidP="009217DB">
      <w:pPr>
        <w:pStyle w:val="afd"/>
      </w:pPr>
      <w:r w:rsidRPr="008D376F">
        <w:footnoteRef/>
      </w:r>
      <w:r w:rsidRPr="009217DB">
        <w:t xml:space="preserve"> Dhillon U., Raman K., Ramirez G. G. Analysts' Dividend Forecasts and Dividend Signaling //Available at SSRN 420782. – 2003.</w:t>
      </w:r>
    </w:p>
  </w:footnote>
  <w:footnote w:id="22">
    <w:p w14:paraId="296A2B61" w14:textId="77777777" w:rsidR="00806661" w:rsidRDefault="00806661" w:rsidP="009217DB">
      <w:pPr>
        <w:pStyle w:val="afd"/>
      </w:pPr>
      <w:r w:rsidRPr="008D376F">
        <w:rPr>
          <w:rStyle w:val="aff"/>
        </w:rPr>
        <w:footnoteRef/>
      </w:r>
      <w:r w:rsidRPr="009217DB">
        <w:t xml:space="preserve"> Andres C. et al. The information content of dividend surprises: Evidence from Germany //Journal of Business Finance &amp; Accounting. – 2013. – </w:t>
      </w:r>
      <w:r w:rsidRPr="008D376F">
        <w:t>Т</w:t>
      </w:r>
      <w:r w:rsidRPr="009217DB">
        <w:t xml:space="preserve">. 40. – №. </w:t>
      </w:r>
      <w:r w:rsidRPr="008D376F">
        <w:t>5-6. – С. 620-645.</w:t>
      </w:r>
    </w:p>
  </w:footnote>
  <w:footnote w:id="23">
    <w:p w14:paraId="690EFC61" w14:textId="77777777" w:rsidR="00806661" w:rsidRPr="009217DB" w:rsidRDefault="00806661" w:rsidP="009217DB">
      <w:pPr>
        <w:pStyle w:val="afd"/>
      </w:pPr>
      <w:r>
        <w:rPr>
          <w:rStyle w:val="aff"/>
        </w:rPr>
        <w:footnoteRef/>
      </w:r>
      <w:r>
        <w:t xml:space="preserve"> </w:t>
      </w:r>
      <w:r w:rsidRPr="00BC2301">
        <w:t xml:space="preserve">Березинец И. В. и др. Реакция российского рынка акций на дивидендные" сюрпризы": эмпирическое исследование //Российский журнал менеджмента. – 2016. – Т. 14. – №. </w:t>
      </w:r>
      <w:r w:rsidRPr="009217DB">
        <w:t xml:space="preserve">2. – </w:t>
      </w:r>
      <w:r w:rsidRPr="00BC2301">
        <w:t>С</w:t>
      </w:r>
      <w:r w:rsidRPr="009217DB">
        <w:t>. 29-48.</w:t>
      </w:r>
    </w:p>
  </w:footnote>
  <w:footnote w:id="24">
    <w:p w14:paraId="7EF514C3" w14:textId="77777777" w:rsidR="00806661" w:rsidRPr="009217DB" w:rsidRDefault="00806661" w:rsidP="009217DB">
      <w:pPr>
        <w:pStyle w:val="afd"/>
      </w:pPr>
      <w:r w:rsidRPr="00BC2301">
        <w:rPr>
          <w:rStyle w:val="aff"/>
        </w:rPr>
        <w:footnoteRef/>
      </w:r>
      <w:r w:rsidRPr="009217DB">
        <w:t xml:space="preserve"> Philippov A., Shibanov O. Stock price reaction to dividend surprises: evidence from the Russian market. – 2019.</w:t>
      </w:r>
    </w:p>
  </w:footnote>
  <w:footnote w:id="25">
    <w:p w14:paraId="1B2A82E4" w14:textId="77777777" w:rsidR="00806661" w:rsidRPr="009217DB" w:rsidRDefault="00806661" w:rsidP="009217DB">
      <w:pPr>
        <w:pStyle w:val="afd"/>
      </w:pPr>
      <w:r>
        <w:rPr>
          <w:rStyle w:val="aff"/>
        </w:rPr>
        <w:footnoteRef/>
      </w:r>
      <w:r w:rsidRPr="009217DB">
        <w:t xml:space="preserve"> </w:t>
      </w:r>
      <w:r w:rsidRPr="00D128CA">
        <w:t>Haw I. M., Kim W. S. Firm size and dividend announcement effect //Journal of Accounting, Auditing &amp; Finance. – 1991. – Т. 6. – №. 3. – С. 325-344.</w:t>
      </w:r>
    </w:p>
  </w:footnote>
  <w:footnote w:id="26">
    <w:p w14:paraId="48EC16A8" w14:textId="77777777" w:rsidR="00806661" w:rsidRPr="009217DB" w:rsidRDefault="00806661" w:rsidP="009217DB">
      <w:pPr>
        <w:pStyle w:val="afd"/>
      </w:pPr>
      <w:r w:rsidRPr="00A476E7">
        <w:rPr>
          <w:rStyle w:val="aff"/>
          <w:vertAlign w:val="baseline"/>
        </w:rPr>
        <w:footnoteRef/>
      </w:r>
      <w:r w:rsidRPr="009217DB">
        <w:t xml:space="preserve"> Bajaj M., Vijh A. M. Dividend clienteles and the information content of dividend changes //Journal of Financial Economics. – 1990. – </w:t>
      </w:r>
      <w:r w:rsidRPr="00A476E7">
        <w:t>Т</w:t>
      </w:r>
      <w:r w:rsidRPr="009217DB">
        <w:t xml:space="preserve">. 26. – №. 2. – </w:t>
      </w:r>
      <w:r w:rsidRPr="00A476E7">
        <w:t>С</w:t>
      </w:r>
      <w:r w:rsidRPr="009217DB">
        <w:t>. 193-219.</w:t>
      </w:r>
    </w:p>
  </w:footnote>
  <w:footnote w:id="27">
    <w:p w14:paraId="242DFCDB" w14:textId="77777777" w:rsidR="00806661" w:rsidRPr="009217DB" w:rsidRDefault="00806661" w:rsidP="009217DB">
      <w:pPr>
        <w:pStyle w:val="afd"/>
      </w:pPr>
      <w:r>
        <w:rPr>
          <w:rStyle w:val="aff"/>
        </w:rPr>
        <w:footnoteRef/>
      </w:r>
      <w:r w:rsidRPr="009217DB">
        <w:t xml:space="preserve"> Best R. J., Best R. W. Prior </w:t>
      </w:r>
      <w:r w:rsidRPr="009217DB">
        <w:t xml:space="preserve">information and the market reaction to dividend changes //Review of Quantitative Finance and Accounting. – 2001. – </w:t>
      </w:r>
      <w:r w:rsidRPr="00A476E7">
        <w:t>Т</w:t>
      </w:r>
      <w:r w:rsidRPr="009217DB">
        <w:t xml:space="preserve">. 17. – №. 4. – </w:t>
      </w:r>
      <w:r w:rsidRPr="00A476E7">
        <w:t>С</w:t>
      </w:r>
      <w:r w:rsidRPr="009217DB">
        <w:t>. 361-376.</w:t>
      </w:r>
    </w:p>
  </w:footnote>
  <w:footnote w:id="28">
    <w:p w14:paraId="134A1E86" w14:textId="77777777" w:rsidR="00806661" w:rsidRPr="009217DB" w:rsidRDefault="00806661" w:rsidP="009217DB">
      <w:pPr>
        <w:pStyle w:val="afd"/>
      </w:pPr>
      <w:r>
        <w:rPr>
          <w:rStyle w:val="aff"/>
        </w:rPr>
        <w:footnoteRef/>
      </w:r>
      <w:r w:rsidRPr="009217DB">
        <w:t xml:space="preserve"> Vieira E. S. Firm-specific factors and the market reaction to dividend change announcements: Evidence from Europe //Marmara Üniversitesi Avrupa Topluluğu Enstitüsü Avrupa Araştırmaları Dergisi. – 2011. – </w:t>
      </w:r>
      <w:r w:rsidRPr="00865C08">
        <w:t>Т</w:t>
      </w:r>
      <w:r w:rsidRPr="009217DB">
        <w:t xml:space="preserve">. 19. – №. 1. – </w:t>
      </w:r>
      <w:r w:rsidRPr="00865C08">
        <w:t>С</w:t>
      </w:r>
      <w:r w:rsidRPr="009217DB">
        <w:t>. 1-25.</w:t>
      </w:r>
    </w:p>
  </w:footnote>
  <w:footnote w:id="29">
    <w:p w14:paraId="1D81C0AA" w14:textId="77777777" w:rsidR="00806661" w:rsidRPr="009217DB" w:rsidRDefault="00806661" w:rsidP="009217DB">
      <w:pPr>
        <w:pStyle w:val="afd"/>
      </w:pPr>
      <w:r>
        <w:rPr>
          <w:rStyle w:val="aff"/>
        </w:rPr>
        <w:footnoteRef/>
      </w:r>
      <w:r w:rsidRPr="009217DB">
        <w:t xml:space="preserve"> Koch A. S., Sun A. X. Dividend changes and the persistence of past earnings changes //The Journal of Finance. – 2004. – </w:t>
      </w:r>
      <w:r>
        <w:t>Т</w:t>
      </w:r>
      <w:r w:rsidRPr="009217DB">
        <w:t xml:space="preserve">. 59. – №. 5. – </w:t>
      </w:r>
      <w:r>
        <w:t>С</w:t>
      </w:r>
      <w:r w:rsidRPr="009217DB">
        <w:t>. 2093-2116.</w:t>
      </w:r>
    </w:p>
  </w:footnote>
  <w:footnote w:id="30">
    <w:p w14:paraId="15C90643" w14:textId="77777777" w:rsidR="00806661" w:rsidRPr="009217DB" w:rsidRDefault="00806661" w:rsidP="009217DB">
      <w:pPr>
        <w:pStyle w:val="afd"/>
      </w:pPr>
      <w:r>
        <w:rPr>
          <w:rStyle w:val="aff"/>
        </w:rPr>
        <w:footnoteRef/>
      </w:r>
      <w:r w:rsidRPr="009217DB">
        <w:t xml:space="preserve"> Lonie A. A. et al. The stock market reaction to dividend announcements: A UK study of complex market signals //Journal of Economic studies. – 1996.</w:t>
      </w:r>
    </w:p>
  </w:footnote>
  <w:footnote w:id="31">
    <w:p w14:paraId="5C01FD46" w14:textId="77777777" w:rsidR="00806661" w:rsidRPr="009217DB" w:rsidRDefault="00806661" w:rsidP="009217DB">
      <w:pPr>
        <w:pStyle w:val="afd"/>
        <w:rPr>
          <w:color w:val="000000"/>
        </w:rPr>
      </w:pPr>
      <w:r>
        <w:rPr>
          <w:vertAlign w:val="superscript"/>
        </w:rPr>
        <w:footnoteRef/>
      </w:r>
      <w:r w:rsidRPr="009217DB">
        <w:rPr>
          <w:rFonts w:eastAsia="Times New Roman"/>
          <w:color w:val="000000"/>
        </w:rPr>
        <w:t xml:space="preserve"> </w:t>
      </w:r>
      <w:r w:rsidRPr="009217DB">
        <w:rPr>
          <w:highlight w:val="white"/>
        </w:rPr>
        <w:t xml:space="preserve">Lang L. H. P., Litzenberger R. H. Dividend announcements: cash flow signalling vs. free cash flow hypothesis? //Journal of financial economics. – 1989. – </w:t>
      </w:r>
      <w:r>
        <w:rPr>
          <w:highlight w:val="white"/>
        </w:rPr>
        <w:t>Т</w:t>
      </w:r>
      <w:r w:rsidRPr="009217DB">
        <w:rPr>
          <w:highlight w:val="white"/>
        </w:rPr>
        <w:t xml:space="preserve">. 24. – №. 1. – </w:t>
      </w:r>
      <w:r>
        <w:rPr>
          <w:highlight w:val="white"/>
        </w:rPr>
        <w:t>С</w:t>
      </w:r>
      <w:r w:rsidRPr="009217DB">
        <w:rPr>
          <w:highlight w:val="white"/>
        </w:rPr>
        <w:t>. 181-191.</w:t>
      </w:r>
    </w:p>
  </w:footnote>
  <w:footnote w:id="32">
    <w:p w14:paraId="535E4477" w14:textId="77777777" w:rsidR="00806661" w:rsidRPr="009217DB" w:rsidRDefault="00806661" w:rsidP="00806661">
      <w:pPr>
        <w:pBdr>
          <w:top w:val="nil"/>
          <w:left w:val="nil"/>
          <w:bottom w:val="nil"/>
          <w:right w:val="nil"/>
          <w:between w:val="nil"/>
        </w:pBdr>
        <w:spacing w:line="240" w:lineRule="auto"/>
        <w:rPr>
          <w:color w:val="000000"/>
          <w:sz w:val="20"/>
          <w:szCs w:val="20"/>
          <w:lang w:val="en-US"/>
        </w:rPr>
      </w:pPr>
      <w:r>
        <w:rPr>
          <w:vertAlign w:val="superscript"/>
        </w:rPr>
        <w:footnoteRef/>
      </w:r>
      <w:r w:rsidRPr="009217DB">
        <w:rPr>
          <w:rFonts w:eastAsia="Times New Roman" w:cs="Times New Roman"/>
          <w:color w:val="000000"/>
          <w:sz w:val="20"/>
          <w:szCs w:val="20"/>
          <w:lang w:val="en-US"/>
        </w:rPr>
        <w:t xml:space="preserve"> </w:t>
      </w:r>
      <w:bookmarkStart w:id="15" w:name="_Hlk101387121"/>
      <w:r w:rsidRPr="009217DB">
        <w:rPr>
          <w:rStyle w:val="afe"/>
          <w:highlight w:val="white"/>
        </w:rPr>
        <w:t xml:space="preserve">Elton E. J., Gruber M. J. Marginal stockholder tax rates and the clientele effect //Investments and portfolio performance. – 2011. – </w:t>
      </w:r>
      <w:r w:rsidRPr="00BF3F39">
        <w:rPr>
          <w:rStyle w:val="afe"/>
          <w:highlight w:val="white"/>
        </w:rPr>
        <w:t>С</w:t>
      </w:r>
      <w:r w:rsidRPr="009217DB">
        <w:rPr>
          <w:rStyle w:val="afe"/>
          <w:highlight w:val="white"/>
        </w:rPr>
        <w:t>. 3-9.</w:t>
      </w:r>
      <w:bookmarkEnd w:id="15"/>
    </w:p>
  </w:footnote>
  <w:footnote w:id="33">
    <w:p w14:paraId="6275617F" w14:textId="77777777" w:rsidR="00806661" w:rsidRPr="009217DB" w:rsidRDefault="00806661" w:rsidP="009217DB">
      <w:pPr>
        <w:pStyle w:val="afd"/>
      </w:pPr>
      <w:r>
        <w:rPr>
          <w:rStyle w:val="aff"/>
        </w:rPr>
        <w:footnoteRef/>
      </w:r>
      <w:r w:rsidRPr="009217DB">
        <w:t xml:space="preserve"> Shefrin H. M., Statman M. Explaining investor preference for cash dividends //Journal of financial economics. – 1984. – </w:t>
      </w:r>
      <w:r w:rsidRPr="00BF3F39">
        <w:t>Т</w:t>
      </w:r>
      <w:r w:rsidRPr="009217DB">
        <w:t xml:space="preserve">. 13. – №. 2. – </w:t>
      </w:r>
      <w:r w:rsidRPr="00BF3F39">
        <w:t>С</w:t>
      </w:r>
      <w:r w:rsidRPr="009217DB">
        <w:t>. 253-282.</w:t>
      </w:r>
    </w:p>
  </w:footnote>
  <w:footnote w:id="34">
    <w:p w14:paraId="4C2A1DED" w14:textId="77777777" w:rsidR="00806661" w:rsidRPr="009217DB" w:rsidRDefault="00806661" w:rsidP="009217DB">
      <w:pPr>
        <w:pStyle w:val="afd"/>
      </w:pPr>
      <w:r w:rsidRPr="00BF3F39">
        <w:rPr>
          <w:rStyle w:val="aff"/>
          <w:vertAlign w:val="baseline"/>
        </w:rPr>
        <w:footnoteRef/>
      </w:r>
      <w:r w:rsidRPr="009217DB">
        <w:t xml:space="preserve"> Graham J. R., Kumar A. Do dividend clienteles exist? Evidence on dividend preferences of retail investors //The Journal of Finance. – 2006. – </w:t>
      </w:r>
      <w:r w:rsidRPr="00BF3F39">
        <w:t>Т</w:t>
      </w:r>
      <w:r w:rsidRPr="009217DB">
        <w:t xml:space="preserve">. 61. – №. 3. – </w:t>
      </w:r>
      <w:r w:rsidRPr="00BF3F39">
        <w:t>С</w:t>
      </w:r>
      <w:r w:rsidRPr="009217DB">
        <w:t>. 1305-1336.</w:t>
      </w:r>
    </w:p>
  </w:footnote>
  <w:footnote w:id="35">
    <w:p w14:paraId="06CAF04E" w14:textId="77777777" w:rsidR="00806661" w:rsidRPr="009217DB" w:rsidRDefault="00806661" w:rsidP="009217DB">
      <w:pPr>
        <w:pStyle w:val="afd"/>
      </w:pPr>
      <w:r>
        <w:rPr>
          <w:rStyle w:val="aff"/>
        </w:rPr>
        <w:footnoteRef/>
      </w:r>
      <w:r w:rsidRPr="009217DB">
        <w:t xml:space="preserve"> Du H., Ni X., Zhang J. The ‘Ex-Dividend Day’Anomaly Under a Behavioral Dividend Clientele View: Evidence </w:t>
      </w:r>
      <w:r w:rsidRPr="009217DB">
        <w:t>From China //Available at SSRN 3637553. – 2020.</w:t>
      </w:r>
    </w:p>
  </w:footnote>
  <w:footnote w:id="36">
    <w:p w14:paraId="3271A6B2" w14:textId="77777777" w:rsidR="00806661" w:rsidRPr="009217DB" w:rsidRDefault="00806661" w:rsidP="009217DB">
      <w:pPr>
        <w:pStyle w:val="afd"/>
      </w:pPr>
      <w:r>
        <w:rPr>
          <w:rStyle w:val="aff"/>
        </w:rPr>
        <w:footnoteRef/>
      </w:r>
      <w:r w:rsidRPr="009217DB">
        <w:t xml:space="preserve">  Veronesi P. Stock market overreactions to bad news in good times: a rational expectations equilibrium model //The Review of Financial Studies. – 1999. – </w:t>
      </w:r>
      <w:r>
        <w:t>Т</w:t>
      </w:r>
      <w:r w:rsidRPr="009217DB">
        <w:t xml:space="preserve">. 12. – №. 5. – </w:t>
      </w:r>
      <w:r>
        <w:t>С</w:t>
      </w:r>
      <w:r w:rsidRPr="009217DB">
        <w:t>. 975-1007.)</w:t>
      </w:r>
    </w:p>
  </w:footnote>
  <w:footnote w:id="37">
    <w:p w14:paraId="4D14C3A5" w14:textId="77777777" w:rsidR="00806661" w:rsidRPr="009217DB" w:rsidRDefault="00806661" w:rsidP="009217DB">
      <w:pPr>
        <w:pStyle w:val="afd"/>
      </w:pPr>
      <w:r>
        <w:rPr>
          <w:rStyle w:val="aff"/>
        </w:rPr>
        <w:footnoteRef/>
      </w:r>
      <w:r w:rsidRPr="009217DB">
        <w:t xml:space="preserve"> Docking D. S., Koch P. D. Sensitivity of investor reaction to market direction and volatility: dividend change announcements //Journal of Financial Research. – 2005. – </w:t>
      </w:r>
      <w:r w:rsidRPr="00952C47">
        <w:t>Т</w:t>
      </w:r>
      <w:r w:rsidRPr="009217DB">
        <w:t xml:space="preserve">. 28. – №. 1. – </w:t>
      </w:r>
      <w:r w:rsidRPr="00952C47">
        <w:t>С</w:t>
      </w:r>
      <w:r w:rsidRPr="009217DB">
        <w:t>. 21-40.</w:t>
      </w:r>
    </w:p>
  </w:footnote>
  <w:footnote w:id="38">
    <w:p w14:paraId="30A267A2" w14:textId="77777777" w:rsidR="00806661" w:rsidRPr="009217DB" w:rsidRDefault="00806661" w:rsidP="009217DB">
      <w:pPr>
        <w:pStyle w:val="afd"/>
      </w:pPr>
      <w:r>
        <w:rPr>
          <w:rStyle w:val="aff"/>
        </w:rPr>
        <w:footnoteRef/>
      </w:r>
      <w:r w:rsidRPr="009217DB">
        <w:t xml:space="preserve"> Wang X., Manry D., Wandler S. The impact of government ownership on dividend policy in China //Advances in Accounting. – 2011. – </w:t>
      </w:r>
      <w:r>
        <w:t>Т</w:t>
      </w:r>
      <w:r w:rsidRPr="009217DB">
        <w:t xml:space="preserve">. 27. – №. 2. – </w:t>
      </w:r>
      <w:r>
        <w:t>С</w:t>
      </w:r>
      <w:r w:rsidRPr="009217DB">
        <w:t>. 366-372.</w:t>
      </w:r>
    </w:p>
  </w:footnote>
  <w:footnote w:id="39">
    <w:p w14:paraId="616E91C2" w14:textId="77777777" w:rsidR="00806661" w:rsidRPr="009217DB" w:rsidRDefault="00806661" w:rsidP="009217DB">
      <w:pPr>
        <w:pStyle w:val="afd"/>
      </w:pPr>
      <w:r>
        <w:rPr>
          <w:rStyle w:val="aff"/>
        </w:rPr>
        <w:footnoteRef/>
      </w:r>
      <w:r w:rsidRPr="009217DB">
        <w:t xml:space="preserve"> Wei J. G., Zhang W., Xiao J. Z. Z. Dividend payment and ownership structure in China //Corporate Governance. – Emerald Group Publishing Limited, 2004.</w:t>
      </w:r>
    </w:p>
  </w:footnote>
  <w:footnote w:id="40">
    <w:p w14:paraId="054DCE3F" w14:textId="77777777" w:rsidR="009912CA" w:rsidRPr="009217DB" w:rsidRDefault="009912CA" w:rsidP="009912CA">
      <w:pPr>
        <w:pBdr>
          <w:top w:val="nil"/>
          <w:left w:val="nil"/>
          <w:bottom w:val="nil"/>
          <w:right w:val="nil"/>
          <w:between w:val="nil"/>
        </w:pBdr>
        <w:spacing w:line="240" w:lineRule="auto"/>
        <w:rPr>
          <w:color w:val="000000"/>
          <w:sz w:val="20"/>
          <w:szCs w:val="20"/>
          <w:lang w:val="en-US"/>
        </w:rPr>
      </w:pPr>
      <w:r>
        <w:rPr>
          <w:vertAlign w:val="superscript"/>
        </w:rPr>
        <w:footnoteRef/>
      </w:r>
      <w:r w:rsidRPr="009217DB">
        <w:rPr>
          <w:rFonts w:eastAsia="Times New Roman" w:cs="Times New Roman"/>
          <w:color w:val="000000"/>
          <w:sz w:val="20"/>
          <w:szCs w:val="20"/>
          <w:lang w:val="en-US"/>
        </w:rPr>
        <w:t xml:space="preserve"> </w:t>
      </w:r>
      <w:bookmarkStart w:id="22" w:name="_Hlk101386628"/>
      <w:r w:rsidRPr="009217DB">
        <w:rPr>
          <w:rFonts w:eastAsia="Times New Roman" w:cs="Times New Roman"/>
          <w:color w:val="000000"/>
          <w:sz w:val="20"/>
          <w:szCs w:val="20"/>
          <w:lang w:val="en-US"/>
        </w:rPr>
        <w:t>Dividend policy and ownership structure: A study of Russian dual-class stock companies. 2017 Corporate Ownership &amp; Control, 15(1-1), 199-212 (Berezinets I., Ilina Y., Alekseeva, L.)</w:t>
      </w:r>
      <w:r w:rsidRPr="009217DB">
        <w:rPr>
          <w:rFonts w:ascii="Arial" w:eastAsia="Arial" w:hAnsi="Arial" w:cs="Arial"/>
          <w:color w:val="100506"/>
          <w:sz w:val="30"/>
          <w:szCs w:val="30"/>
          <w:lang w:val="en-US"/>
        </w:rPr>
        <w:t> </w:t>
      </w:r>
      <w:bookmarkEnd w:id="22"/>
    </w:p>
  </w:footnote>
  <w:footnote w:id="41">
    <w:p w14:paraId="628C0A99" w14:textId="45D72836" w:rsidR="00B92047" w:rsidRPr="00B92047" w:rsidRDefault="00B92047">
      <w:pPr>
        <w:pStyle w:val="afd"/>
        <w:rPr>
          <w:lang w:val="ru-RU"/>
        </w:rPr>
      </w:pPr>
      <w:r>
        <w:rPr>
          <w:rStyle w:val="aff"/>
        </w:rPr>
        <w:footnoteRef/>
      </w:r>
      <w:r>
        <w:t xml:space="preserve"> </w:t>
      </w:r>
      <w:r w:rsidRPr="00B92047">
        <w:rPr>
          <w:rStyle w:val="afe"/>
        </w:rPr>
        <w:t xml:space="preserve">Business extent of disclosure index [Электронный ресурс]. –  The World Bank, 2021. – Режим доступа: </w:t>
      </w:r>
      <w:hyperlink r:id="rId1" w:history="1">
        <w:r w:rsidRPr="00B92047">
          <w:rPr>
            <w:rStyle w:val="afe"/>
          </w:rPr>
          <w:t>https://data.worldbank.org/indicator/IC.BUS.DISC.XQ</w:t>
        </w:r>
      </w:hyperlink>
      <w:r w:rsidRPr="00B92047">
        <w:rPr>
          <w:rStyle w:val="afe"/>
        </w:rPr>
        <w:t>. – Загл. с экрана. (дата обращения: 20.04.2022)</w:t>
      </w:r>
      <w:r w:rsidRPr="000B46BF">
        <w:rPr>
          <w:rFonts w:eastAsia="Times New Roman"/>
          <w:iCs/>
          <w:color w:val="000000"/>
          <w:sz w:val="24"/>
        </w:rPr>
        <w:t xml:space="preserve">   </w:t>
      </w:r>
    </w:p>
  </w:footnote>
  <w:footnote w:id="42">
    <w:p w14:paraId="14EE011C" w14:textId="7D5AC757" w:rsidR="009912CA" w:rsidRDefault="009912CA" w:rsidP="009912CA">
      <w:pPr>
        <w:pBdr>
          <w:top w:val="nil"/>
          <w:left w:val="nil"/>
          <w:bottom w:val="nil"/>
          <w:right w:val="nil"/>
          <w:between w:val="nil"/>
        </w:pBdr>
        <w:spacing w:line="240" w:lineRule="auto"/>
        <w:rPr>
          <w:color w:val="000000"/>
          <w:sz w:val="20"/>
          <w:szCs w:val="20"/>
        </w:rPr>
      </w:pPr>
      <w:r>
        <w:rPr>
          <w:vertAlign w:val="superscript"/>
        </w:rPr>
        <w:footnoteRef/>
      </w:r>
      <w:r w:rsidRPr="009217DB">
        <w:rPr>
          <w:rFonts w:eastAsia="Times New Roman" w:cs="Times New Roman"/>
          <w:color w:val="000000"/>
          <w:sz w:val="20"/>
          <w:szCs w:val="20"/>
          <w:lang w:val="en-US"/>
        </w:rPr>
        <w:t xml:space="preserve"> </w:t>
      </w:r>
      <w:r>
        <w:rPr>
          <w:rFonts w:eastAsia="Times New Roman" w:cs="Times New Roman"/>
          <w:color w:val="000000"/>
          <w:sz w:val="20"/>
          <w:szCs w:val="20"/>
        </w:rPr>
        <w:t>Как</w:t>
      </w:r>
      <w:r w:rsidRPr="009217DB">
        <w:rPr>
          <w:rFonts w:eastAsia="Times New Roman" w:cs="Times New Roman"/>
          <w:color w:val="000000"/>
          <w:sz w:val="20"/>
          <w:szCs w:val="20"/>
          <w:lang w:val="en-US"/>
        </w:rPr>
        <w:t xml:space="preserve"> </w:t>
      </w:r>
      <w:r>
        <w:rPr>
          <w:rFonts w:eastAsia="Times New Roman" w:cs="Times New Roman"/>
          <w:color w:val="000000"/>
          <w:sz w:val="20"/>
          <w:szCs w:val="20"/>
        </w:rPr>
        <w:t>публичные</w:t>
      </w:r>
      <w:r w:rsidRPr="009217DB">
        <w:rPr>
          <w:rFonts w:eastAsia="Times New Roman" w:cs="Times New Roman"/>
          <w:color w:val="000000"/>
          <w:sz w:val="20"/>
          <w:szCs w:val="20"/>
          <w:lang w:val="en-US"/>
        </w:rPr>
        <w:t xml:space="preserve"> </w:t>
      </w:r>
      <w:r>
        <w:rPr>
          <w:rFonts w:eastAsia="Times New Roman" w:cs="Times New Roman"/>
          <w:color w:val="000000"/>
          <w:sz w:val="20"/>
          <w:szCs w:val="20"/>
        </w:rPr>
        <w:t>компании</w:t>
      </w:r>
      <w:r w:rsidRPr="009217DB">
        <w:rPr>
          <w:rFonts w:eastAsia="Times New Roman" w:cs="Times New Roman"/>
          <w:color w:val="000000"/>
          <w:sz w:val="20"/>
          <w:szCs w:val="20"/>
          <w:lang w:val="en-US"/>
        </w:rPr>
        <w:t xml:space="preserve"> </w:t>
      </w:r>
      <w:r>
        <w:rPr>
          <w:rFonts w:eastAsia="Times New Roman" w:cs="Times New Roman"/>
          <w:color w:val="000000"/>
          <w:sz w:val="20"/>
          <w:szCs w:val="20"/>
        </w:rPr>
        <w:t>платят</w:t>
      </w:r>
      <w:r w:rsidRPr="009217DB">
        <w:rPr>
          <w:rFonts w:eastAsia="Times New Roman" w:cs="Times New Roman"/>
          <w:color w:val="000000"/>
          <w:sz w:val="20"/>
          <w:szCs w:val="20"/>
          <w:lang w:val="en-US"/>
        </w:rPr>
        <w:t xml:space="preserve"> </w:t>
      </w:r>
      <w:r>
        <w:rPr>
          <w:rFonts w:eastAsia="Times New Roman" w:cs="Times New Roman"/>
          <w:color w:val="000000"/>
          <w:sz w:val="20"/>
          <w:szCs w:val="20"/>
        </w:rPr>
        <w:t>дивиденды</w:t>
      </w:r>
      <w:r w:rsidRPr="009217DB">
        <w:rPr>
          <w:rFonts w:eastAsia="Times New Roman" w:cs="Times New Roman"/>
          <w:color w:val="000000"/>
          <w:sz w:val="20"/>
          <w:szCs w:val="20"/>
          <w:lang w:val="en-US"/>
        </w:rPr>
        <w:t xml:space="preserve"> [</w:t>
      </w:r>
      <w:r>
        <w:rPr>
          <w:rFonts w:eastAsia="Times New Roman" w:cs="Times New Roman"/>
          <w:color w:val="000000"/>
          <w:sz w:val="20"/>
          <w:szCs w:val="20"/>
        </w:rPr>
        <w:t>Электронный</w:t>
      </w:r>
      <w:r w:rsidRPr="009217DB">
        <w:rPr>
          <w:rFonts w:eastAsia="Times New Roman" w:cs="Times New Roman"/>
          <w:color w:val="000000"/>
          <w:sz w:val="20"/>
          <w:szCs w:val="20"/>
          <w:lang w:val="en-US"/>
        </w:rPr>
        <w:t xml:space="preserve"> </w:t>
      </w:r>
      <w:r>
        <w:rPr>
          <w:rFonts w:eastAsia="Times New Roman" w:cs="Times New Roman"/>
          <w:color w:val="000000"/>
          <w:sz w:val="20"/>
          <w:szCs w:val="20"/>
        </w:rPr>
        <w:t>ресурс</w:t>
      </w:r>
      <w:r w:rsidRPr="009217DB">
        <w:rPr>
          <w:rFonts w:eastAsia="Times New Roman" w:cs="Times New Roman"/>
          <w:color w:val="000000"/>
          <w:sz w:val="20"/>
          <w:szCs w:val="20"/>
          <w:lang w:val="en-US"/>
        </w:rPr>
        <w:t xml:space="preserve">]. –  </w:t>
      </w:r>
      <w:r>
        <w:rPr>
          <w:rFonts w:eastAsia="Times New Roman" w:cs="Times New Roman"/>
          <w:color w:val="000000"/>
          <w:sz w:val="20"/>
          <w:szCs w:val="20"/>
        </w:rPr>
        <w:t>Журнал</w:t>
      </w:r>
      <w:r w:rsidRPr="009217DB">
        <w:rPr>
          <w:rFonts w:eastAsia="Times New Roman" w:cs="Times New Roman"/>
          <w:color w:val="000000"/>
          <w:sz w:val="20"/>
          <w:szCs w:val="20"/>
          <w:lang w:val="en-US"/>
        </w:rPr>
        <w:t xml:space="preserve"> «</w:t>
      </w:r>
      <w:r>
        <w:rPr>
          <w:rFonts w:eastAsia="Times New Roman" w:cs="Times New Roman"/>
          <w:color w:val="000000"/>
          <w:sz w:val="20"/>
          <w:szCs w:val="20"/>
        </w:rPr>
        <w:t>Тинькофф</w:t>
      </w:r>
      <w:r w:rsidRPr="009217DB">
        <w:rPr>
          <w:rFonts w:eastAsia="Times New Roman" w:cs="Times New Roman"/>
          <w:color w:val="000000"/>
          <w:sz w:val="20"/>
          <w:szCs w:val="20"/>
          <w:lang w:val="en-US"/>
        </w:rPr>
        <w:t xml:space="preserve">», 2018. - </w:t>
      </w:r>
      <w:r>
        <w:rPr>
          <w:rFonts w:eastAsia="Times New Roman" w:cs="Times New Roman"/>
          <w:color w:val="000000"/>
          <w:sz w:val="20"/>
          <w:szCs w:val="20"/>
        </w:rPr>
        <w:t>Режим</w:t>
      </w:r>
      <w:r w:rsidRPr="009217DB">
        <w:rPr>
          <w:rFonts w:eastAsia="Times New Roman" w:cs="Times New Roman"/>
          <w:color w:val="000000"/>
          <w:sz w:val="20"/>
          <w:szCs w:val="20"/>
          <w:lang w:val="en-US"/>
        </w:rPr>
        <w:t xml:space="preserve"> </w:t>
      </w:r>
      <w:r>
        <w:rPr>
          <w:rFonts w:eastAsia="Times New Roman" w:cs="Times New Roman"/>
          <w:color w:val="000000"/>
          <w:sz w:val="20"/>
          <w:szCs w:val="20"/>
        </w:rPr>
        <w:t>доступа</w:t>
      </w:r>
      <w:r w:rsidRPr="009217DB">
        <w:rPr>
          <w:rFonts w:eastAsia="Times New Roman" w:cs="Times New Roman"/>
          <w:color w:val="000000"/>
          <w:sz w:val="20"/>
          <w:szCs w:val="20"/>
          <w:lang w:val="en-US"/>
        </w:rPr>
        <w:t xml:space="preserve">:  </w:t>
      </w:r>
      <w:r w:rsidRPr="009217DB">
        <w:rPr>
          <w:rFonts w:eastAsia="Times New Roman" w:cs="Times New Roman"/>
          <w:color w:val="000000"/>
          <w:sz w:val="20"/>
          <w:szCs w:val="20"/>
          <w:lang w:val="en-US"/>
        </w:rPr>
        <w:br/>
        <w:t xml:space="preserve">https://journal.tinkoff.ru/news/50percent/. – </w:t>
      </w:r>
      <w:r>
        <w:rPr>
          <w:rFonts w:eastAsia="Times New Roman" w:cs="Times New Roman"/>
          <w:color w:val="000000"/>
          <w:sz w:val="20"/>
          <w:szCs w:val="20"/>
        </w:rPr>
        <w:t>Загл</w:t>
      </w:r>
      <w:r w:rsidRPr="009217DB">
        <w:rPr>
          <w:rFonts w:eastAsia="Times New Roman" w:cs="Times New Roman"/>
          <w:color w:val="000000"/>
          <w:sz w:val="20"/>
          <w:szCs w:val="20"/>
          <w:lang w:val="en-US"/>
        </w:rPr>
        <w:t xml:space="preserve">. </w:t>
      </w:r>
      <w:r>
        <w:rPr>
          <w:rFonts w:eastAsia="Times New Roman" w:cs="Times New Roman"/>
          <w:color w:val="000000"/>
          <w:sz w:val="20"/>
          <w:szCs w:val="20"/>
        </w:rPr>
        <w:t>с</w:t>
      </w:r>
      <w:r w:rsidRPr="009217DB">
        <w:rPr>
          <w:rFonts w:eastAsia="Times New Roman" w:cs="Times New Roman"/>
          <w:color w:val="000000"/>
          <w:sz w:val="20"/>
          <w:szCs w:val="20"/>
          <w:lang w:val="en-US"/>
        </w:rPr>
        <w:t xml:space="preserve"> </w:t>
      </w:r>
      <w:r>
        <w:rPr>
          <w:rFonts w:eastAsia="Times New Roman" w:cs="Times New Roman"/>
          <w:color w:val="000000"/>
          <w:sz w:val="20"/>
          <w:szCs w:val="20"/>
        </w:rPr>
        <w:t>экрана</w:t>
      </w:r>
      <w:r w:rsidRPr="009217DB">
        <w:rPr>
          <w:rFonts w:eastAsia="Times New Roman" w:cs="Times New Roman"/>
          <w:color w:val="000000"/>
          <w:sz w:val="20"/>
          <w:szCs w:val="20"/>
          <w:lang w:val="en-US"/>
        </w:rPr>
        <w:t xml:space="preserve">. </w:t>
      </w:r>
      <w:r>
        <w:rPr>
          <w:rFonts w:eastAsia="Times New Roman" w:cs="Times New Roman"/>
          <w:color w:val="000000"/>
          <w:sz w:val="20"/>
          <w:szCs w:val="20"/>
        </w:rPr>
        <w:t xml:space="preserve">(дата обращения: </w:t>
      </w:r>
      <w:r w:rsidR="00B0020B">
        <w:rPr>
          <w:rFonts w:eastAsia="Times New Roman" w:cs="Times New Roman"/>
          <w:color w:val="000000"/>
          <w:sz w:val="20"/>
          <w:szCs w:val="20"/>
        </w:rPr>
        <w:t>20</w:t>
      </w:r>
      <w:r>
        <w:rPr>
          <w:rFonts w:eastAsia="Times New Roman" w:cs="Times New Roman"/>
          <w:color w:val="000000"/>
          <w:sz w:val="20"/>
          <w:szCs w:val="20"/>
        </w:rPr>
        <w:t>.0</w:t>
      </w:r>
      <w:r w:rsidR="00B0020B">
        <w:rPr>
          <w:rFonts w:eastAsia="Times New Roman" w:cs="Times New Roman"/>
          <w:color w:val="000000"/>
          <w:sz w:val="20"/>
          <w:szCs w:val="20"/>
        </w:rPr>
        <w:t>4</w:t>
      </w:r>
      <w:r>
        <w:rPr>
          <w:rFonts w:eastAsia="Times New Roman" w:cs="Times New Roman"/>
          <w:color w:val="000000"/>
          <w:sz w:val="20"/>
          <w:szCs w:val="20"/>
        </w:rPr>
        <w:t>.202</w:t>
      </w:r>
      <w:r w:rsidR="00B0020B">
        <w:rPr>
          <w:rFonts w:eastAsia="Times New Roman" w:cs="Times New Roman"/>
          <w:color w:val="000000"/>
          <w:sz w:val="20"/>
          <w:szCs w:val="20"/>
        </w:rPr>
        <w:t>2</w:t>
      </w:r>
      <w:r>
        <w:rPr>
          <w:rFonts w:eastAsia="Times New Roman" w:cs="Times New Roman"/>
          <w:color w:val="000000"/>
          <w:sz w:val="20"/>
          <w:szCs w:val="20"/>
        </w:rPr>
        <w:t xml:space="preserve">)  </w:t>
      </w:r>
    </w:p>
    <w:p w14:paraId="09AD47D2" w14:textId="77777777" w:rsidR="009912CA" w:rsidRDefault="009912CA" w:rsidP="009912CA">
      <w:pPr>
        <w:pBdr>
          <w:top w:val="nil"/>
          <w:left w:val="nil"/>
          <w:bottom w:val="nil"/>
          <w:right w:val="nil"/>
          <w:between w:val="nil"/>
        </w:pBdr>
        <w:spacing w:line="240" w:lineRule="auto"/>
        <w:rPr>
          <w:color w:val="000000"/>
          <w:sz w:val="20"/>
          <w:szCs w:val="20"/>
        </w:rPr>
      </w:pPr>
    </w:p>
  </w:footnote>
  <w:footnote w:id="43">
    <w:p w14:paraId="57A9030D" w14:textId="1C238D93" w:rsidR="009912CA" w:rsidRDefault="009912CA" w:rsidP="009912CA">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Исполнение федерального бюджета и бюджетов бюджетной системы Российской Федерации за 2020 год [Электронный ресурс]. – Министерство финансов, 2020. - Режим доступа:  </w:t>
      </w:r>
      <w:r>
        <w:rPr>
          <w:rFonts w:eastAsia="Times New Roman" w:cs="Times New Roman"/>
          <w:color w:val="000000"/>
          <w:sz w:val="20"/>
          <w:szCs w:val="20"/>
        </w:rPr>
        <w:br/>
      </w:r>
      <w:hyperlink r:id="rId2">
        <w:r>
          <w:rPr>
            <w:rFonts w:eastAsia="Times New Roman" w:cs="Times New Roman"/>
            <w:color w:val="000000"/>
            <w:sz w:val="20"/>
            <w:szCs w:val="20"/>
          </w:rPr>
          <w:t>https://minfin.gov.ru/common/upload/library/2021/03/main/Ispolnenie_2020_god.pdf</w:t>
        </w:r>
      </w:hyperlink>
      <w:r>
        <w:rPr>
          <w:rFonts w:eastAsia="Times New Roman" w:cs="Times New Roman"/>
          <w:color w:val="000000"/>
          <w:sz w:val="20"/>
          <w:szCs w:val="20"/>
        </w:rPr>
        <w:t>. – Загл. с экрана. (дата обращения: 14.0</w:t>
      </w:r>
      <w:r w:rsidR="00B0020B">
        <w:rPr>
          <w:rFonts w:eastAsia="Times New Roman" w:cs="Times New Roman"/>
          <w:color w:val="000000"/>
          <w:sz w:val="20"/>
          <w:szCs w:val="20"/>
        </w:rPr>
        <w:t>4</w:t>
      </w:r>
      <w:r>
        <w:rPr>
          <w:rFonts w:eastAsia="Times New Roman" w:cs="Times New Roman"/>
          <w:color w:val="000000"/>
          <w:sz w:val="20"/>
          <w:szCs w:val="20"/>
        </w:rPr>
        <w:t>.202</w:t>
      </w:r>
      <w:r w:rsidR="00B0020B">
        <w:rPr>
          <w:rFonts w:eastAsia="Times New Roman" w:cs="Times New Roman"/>
          <w:color w:val="000000"/>
          <w:sz w:val="20"/>
          <w:szCs w:val="20"/>
        </w:rPr>
        <w:t>2</w:t>
      </w:r>
      <w:r>
        <w:rPr>
          <w:rFonts w:eastAsia="Times New Roman" w:cs="Times New Roman"/>
          <w:color w:val="000000"/>
          <w:sz w:val="20"/>
          <w:szCs w:val="20"/>
        </w:rPr>
        <w:t xml:space="preserve">)  </w:t>
      </w:r>
    </w:p>
  </w:footnote>
  <w:footnote w:id="44">
    <w:p w14:paraId="5C90EED8" w14:textId="7885B562" w:rsidR="00C2768C" w:rsidRDefault="00C2768C" w:rsidP="009217DB">
      <w:pPr>
        <w:pStyle w:val="afd"/>
      </w:pPr>
      <w:r>
        <w:rPr>
          <w:rStyle w:val="aff"/>
        </w:rPr>
        <w:footnoteRef/>
      </w:r>
      <w:r>
        <w:t xml:space="preserve"> </w:t>
      </w:r>
      <w:r w:rsidR="00E338E1" w:rsidRPr="003D54E3">
        <w:t>Абрамов А. Е. и др. Особенности и риски дивидендной политики российских акционерных обществ //Экономическое развитие России. – 2021. – Т. 28. – №. 8. – С. 37-46.</w:t>
      </w:r>
    </w:p>
  </w:footnote>
  <w:footnote w:id="45">
    <w:p w14:paraId="4A2E3105" w14:textId="10979D02" w:rsidR="003D54E3" w:rsidRDefault="003D54E3" w:rsidP="009217DB">
      <w:pPr>
        <w:pStyle w:val="afd"/>
      </w:pPr>
      <w:r>
        <w:rPr>
          <w:rStyle w:val="aff"/>
        </w:rPr>
        <w:footnoteRef/>
      </w:r>
      <w:r>
        <w:t xml:space="preserve"> </w:t>
      </w:r>
      <w:r w:rsidRPr="003D54E3">
        <w:t>Абрамов А. Е. и др. Особенности и риски дивидендной политики российских акционерных обществ //Экономическое развитие России. – 2021. – Т. 28. – №. 8. – С. 37-46.</w:t>
      </w:r>
    </w:p>
  </w:footnote>
  <w:footnote w:id="46">
    <w:p w14:paraId="09E6F9AB" w14:textId="77777777" w:rsidR="009912CA" w:rsidRPr="009217DB" w:rsidRDefault="009912CA" w:rsidP="009912CA">
      <w:pPr>
        <w:pBdr>
          <w:top w:val="nil"/>
          <w:left w:val="nil"/>
          <w:bottom w:val="nil"/>
          <w:right w:val="nil"/>
          <w:between w:val="nil"/>
        </w:pBdr>
        <w:spacing w:line="240" w:lineRule="auto"/>
        <w:rPr>
          <w:rStyle w:val="afe"/>
          <w:rFonts w:eastAsia="Arial"/>
        </w:rPr>
      </w:pPr>
      <w:r w:rsidRPr="00FD0870">
        <w:rPr>
          <w:rFonts w:eastAsia="Times New Roman"/>
          <w:szCs w:val="24"/>
          <w:vertAlign w:val="superscript"/>
        </w:rPr>
        <w:footnoteRef/>
      </w:r>
      <w:r w:rsidRPr="00FD0870">
        <w:rPr>
          <w:rStyle w:val="afe"/>
          <w:rFonts w:eastAsia="Arial"/>
          <w:highlight w:val="white"/>
        </w:rPr>
        <w:t xml:space="preserve"> </w:t>
      </w:r>
      <w:r w:rsidRPr="005C3957">
        <w:rPr>
          <w:rStyle w:val="afe"/>
          <w:rFonts w:eastAsia="Arial"/>
          <w:highlight w:val="white"/>
        </w:rPr>
        <w:t>China’s Stock Ma</w:t>
      </w:r>
      <w:r>
        <w:rPr>
          <w:rStyle w:val="afe"/>
          <w:rFonts w:eastAsia="Arial"/>
          <w:highlight w:val="white"/>
        </w:rPr>
        <w:t>rket</w:t>
      </w:r>
      <w:r w:rsidRPr="009217DB">
        <w:rPr>
          <w:rStyle w:val="afe"/>
          <w:rFonts w:eastAsia="Arial"/>
          <w:highlight w:val="white"/>
          <w:lang w:val="ru-RU"/>
        </w:rPr>
        <w:t xml:space="preserve">, </w:t>
      </w:r>
      <w:r w:rsidRPr="005C3957">
        <w:rPr>
          <w:rStyle w:val="afe"/>
          <w:rFonts w:eastAsia="Arial"/>
          <w:highlight w:val="white"/>
        </w:rPr>
        <w:t>Including Shanghai, Shenzhen, and Hong Kong</w:t>
      </w:r>
      <w:r w:rsidRPr="009217DB">
        <w:rPr>
          <w:rStyle w:val="afe"/>
          <w:rFonts w:eastAsia="Arial"/>
          <w:highlight w:val="white"/>
          <w:lang w:val="ru-RU"/>
        </w:rPr>
        <w:t xml:space="preserve"> </w:t>
      </w:r>
      <w:r w:rsidRPr="005C3957">
        <w:rPr>
          <w:rStyle w:val="afe"/>
          <w:rFonts w:eastAsia="Arial"/>
          <w:highlight w:val="white"/>
        </w:rPr>
        <w:t xml:space="preserve">[Электронный ресурс]. </w:t>
      </w:r>
      <w:r w:rsidRPr="005C3957">
        <w:rPr>
          <w:rStyle w:val="afe"/>
          <w:rFonts w:eastAsia="Arial"/>
          <w:highlight w:val="white"/>
        </w:rPr>
        <w:t>–  “The Balance”, 2022. -</w:t>
      </w:r>
      <w:r>
        <w:rPr>
          <w:rFonts w:eastAsia="Times New Roman" w:cs="Times New Roman"/>
          <w:color w:val="000000"/>
          <w:sz w:val="20"/>
          <w:szCs w:val="20"/>
        </w:rPr>
        <w:t xml:space="preserve"> Режим доступа:  </w:t>
      </w:r>
      <w:r>
        <w:rPr>
          <w:rFonts w:eastAsia="Times New Roman" w:cs="Times New Roman"/>
          <w:color w:val="000000"/>
          <w:sz w:val="20"/>
          <w:szCs w:val="20"/>
        </w:rPr>
        <w:br/>
      </w:r>
      <w:r w:rsidRPr="005C3957">
        <w:rPr>
          <w:rStyle w:val="afe"/>
          <w:rFonts w:eastAsia="Arial"/>
          <w:highlight w:val="white"/>
        </w:rPr>
        <w:t>https://www.thebalance.com/china-stock-market-shanghai-shenzhen-hong-kong-3305480</w:t>
      </w:r>
      <w:r w:rsidRPr="009217DB">
        <w:rPr>
          <w:rStyle w:val="afe"/>
          <w:rFonts w:eastAsia="Arial"/>
          <w:lang w:val="ru-RU"/>
        </w:rPr>
        <w:t xml:space="preserve"> </w:t>
      </w:r>
      <w:r w:rsidRPr="009217DB">
        <w:rPr>
          <w:color w:val="000000"/>
          <w:sz w:val="20"/>
          <w:szCs w:val="20"/>
        </w:rPr>
        <w:t xml:space="preserve">. </w:t>
      </w:r>
      <w:r>
        <w:rPr>
          <w:rFonts w:eastAsia="Times New Roman" w:cs="Times New Roman"/>
          <w:color w:val="000000"/>
          <w:sz w:val="20"/>
          <w:szCs w:val="20"/>
        </w:rPr>
        <w:t xml:space="preserve">– Загл. с экрана. </w:t>
      </w:r>
      <w:r w:rsidRPr="009217DB">
        <w:rPr>
          <w:rFonts w:eastAsia="Times New Roman" w:cs="Times New Roman"/>
          <w:color w:val="000000"/>
          <w:sz w:val="20"/>
          <w:szCs w:val="20"/>
          <w:lang w:val="en-US"/>
        </w:rPr>
        <w:t>(</w:t>
      </w:r>
      <w:r>
        <w:rPr>
          <w:rFonts w:eastAsia="Times New Roman" w:cs="Times New Roman"/>
          <w:color w:val="000000"/>
          <w:sz w:val="20"/>
          <w:szCs w:val="20"/>
        </w:rPr>
        <w:t>дата</w:t>
      </w:r>
      <w:r>
        <w:rPr>
          <w:color w:val="000000"/>
          <w:sz w:val="20"/>
          <w:szCs w:val="20"/>
          <w:lang w:val="en-US"/>
        </w:rPr>
        <w:t xml:space="preserve"> </w:t>
      </w:r>
      <w:r>
        <w:rPr>
          <w:color w:val="000000"/>
          <w:sz w:val="20"/>
          <w:szCs w:val="20"/>
        </w:rPr>
        <w:t>образения</w:t>
      </w:r>
      <w:r w:rsidRPr="009217DB">
        <w:rPr>
          <w:color w:val="000000"/>
          <w:sz w:val="20"/>
          <w:szCs w:val="20"/>
          <w:lang w:val="en-US"/>
        </w:rPr>
        <w:t xml:space="preserve"> 20.04.2022)</w:t>
      </w:r>
      <w:r w:rsidRPr="009217DB">
        <w:rPr>
          <w:rFonts w:eastAsia="Times New Roman" w:cs="Times New Roman"/>
          <w:color w:val="000000"/>
          <w:sz w:val="20"/>
          <w:szCs w:val="20"/>
          <w:lang w:val="en-US"/>
        </w:rPr>
        <w:t xml:space="preserve"> </w:t>
      </w:r>
    </w:p>
  </w:footnote>
  <w:footnote w:id="47">
    <w:p w14:paraId="7D04D6D4" w14:textId="77777777" w:rsidR="009912CA" w:rsidRPr="009217DB" w:rsidRDefault="009912CA" w:rsidP="009912CA">
      <w:pPr>
        <w:pBdr>
          <w:top w:val="nil"/>
          <w:left w:val="nil"/>
          <w:bottom w:val="nil"/>
          <w:right w:val="nil"/>
          <w:between w:val="nil"/>
        </w:pBdr>
        <w:spacing w:line="240" w:lineRule="auto"/>
        <w:rPr>
          <w:color w:val="000000"/>
          <w:sz w:val="20"/>
          <w:szCs w:val="20"/>
          <w:lang w:val="en-US"/>
        </w:rPr>
      </w:pPr>
      <w:r>
        <w:rPr>
          <w:vertAlign w:val="superscript"/>
        </w:rPr>
        <w:footnoteRef/>
      </w:r>
      <w:r w:rsidRPr="009217DB">
        <w:rPr>
          <w:rFonts w:eastAsia="Times New Roman" w:cs="Times New Roman"/>
          <w:color w:val="000000"/>
          <w:sz w:val="20"/>
          <w:szCs w:val="20"/>
          <w:lang w:val="en-US"/>
        </w:rPr>
        <w:t xml:space="preserve"> </w:t>
      </w:r>
      <w:r w:rsidRPr="009217DB">
        <w:rPr>
          <w:rStyle w:val="afe"/>
          <w:highlight w:val="white"/>
        </w:rPr>
        <w:t xml:space="preserve">Qi Q. et al. Continuous cash dividends, ownership structure and firm value: Evidence from Chinese A-share market //Plos one. – 2022. – </w:t>
      </w:r>
      <w:r w:rsidRPr="00FD0870">
        <w:rPr>
          <w:rStyle w:val="afe"/>
          <w:highlight w:val="white"/>
        </w:rPr>
        <w:t>Т</w:t>
      </w:r>
      <w:r w:rsidRPr="009217DB">
        <w:rPr>
          <w:rStyle w:val="afe"/>
          <w:highlight w:val="white"/>
        </w:rPr>
        <w:t xml:space="preserve">. 17. – №. 3. – </w:t>
      </w:r>
      <w:r w:rsidRPr="00FD0870">
        <w:rPr>
          <w:rStyle w:val="afe"/>
          <w:highlight w:val="white"/>
        </w:rPr>
        <w:t>С</w:t>
      </w:r>
      <w:r w:rsidRPr="009217DB">
        <w:rPr>
          <w:rStyle w:val="afe"/>
          <w:highlight w:val="white"/>
        </w:rPr>
        <w:t>. e0265177.</w:t>
      </w:r>
    </w:p>
  </w:footnote>
  <w:footnote w:id="48">
    <w:p w14:paraId="22076F20" w14:textId="77777777" w:rsidR="007720FB" w:rsidRPr="009217DB" w:rsidRDefault="007720FB" w:rsidP="009217DB">
      <w:pPr>
        <w:pStyle w:val="afd"/>
      </w:pPr>
      <w:r>
        <w:rPr>
          <w:rStyle w:val="aff"/>
        </w:rPr>
        <w:footnoteRef/>
      </w:r>
      <w:r w:rsidRPr="009217DB">
        <w:t xml:space="preserve"> Zhao Y., Ng S. H. Dividend payout policies in the pre and post split share structure reform in China //Cogent Economics &amp; Finance. – 2021. – </w:t>
      </w:r>
      <w:r w:rsidRPr="00CD5FDC">
        <w:t>Т</w:t>
      </w:r>
      <w:r w:rsidRPr="009217DB">
        <w:t xml:space="preserve">. 9. – №. 1. – </w:t>
      </w:r>
      <w:r w:rsidRPr="00CD5FDC">
        <w:t>С</w:t>
      </w:r>
      <w:r w:rsidRPr="009217DB">
        <w:t>. 1923620.</w:t>
      </w:r>
    </w:p>
  </w:footnote>
  <w:footnote w:id="49">
    <w:p w14:paraId="24900B00" w14:textId="77777777" w:rsidR="00B6796F" w:rsidRPr="00104187" w:rsidRDefault="00B6796F" w:rsidP="00B6796F">
      <w:pPr>
        <w:pStyle w:val="afd"/>
        <w:rPr>
          <w:lang w:val="ru-RU"/>
        </w:rPr>
      </w:pPr>
      <w:r>
        <w:rPr>
          <w:rStyle w:val="aff"/>
        </w:rPr>
        <w:footnoteRef/>
      </w:r>
      <w:r>
        <w:t xml:space="preserve"> </w:t>
      </w:r>
      <w:r w:rsidRPr="00104187">
        <w:t>Chan K., Menkveld A. J., Yang Z. Information asymmetry and asset prices: Evidence from the China foreign share discount //The Journal of Finance. – 2008. – Т. 63. – №. 1. – С. 159-196.</w:t>
      </w:r>
    </w:p>
  </w:footnote>
  <w:footnote w:id="50">
    <w:p w14:paraId="2DCECD62" w14:textId="646C591E" w:rsidR="00B92047" w:rsidRPr="00B92047" w:rsidRDefault="00B92047">
      <w:pPr>
        <w:pStyle w:val="afd"/>
        <w:rPr>
          <w:lang w:val="ru-RU"/>
        </w:rPr>
      </w:pPr>
      <w:r>
        <w:rPr>
          <w:rStyle w:val="aff"/>
        </w:rPr>
        <w:footnoteRef/>
      </w:r>
      <w:r>
        <w:t xml:space="preserve"> </w:t>
      </w:r>
      <w:r w:rsidRPr="00B92047">
        <w:rPr>
          <w:rStyle w:val="afe"/>
        </w:rPr>
        <w:t xml:space="preserve">Business extent of disclosure index [Электронный ресурс]. –  The World Bank, 2021. – Режим доступа: </w:t>
      </w:r>
      <w:hyperlink r:id="rId3" w:history="1">
        <w:r w:rsidRPr="00B92047">
          <w:rPr>
            <w:rStyle w:val="afe"/>
          </w:rPr>
          <w:t>https://data.worldbank.org/indicator/IC.BUS.DISC.XQ</w:t>
        </w:r>
      </w:hyperlink>
      <w:r w:rsidRPr="00B92047">
        <w:rPr>
          <w:rStyle w:val="afe"/>
        </w:rPr>
        <w:t>. – Загл. с экрана. (дата обращения: 20.04.2022)</w:t>
      </w:r>
      <w:r w:rsidRPr="000B46BF">
        <w:rPr>
          <w:rFonts w:eastAsia="Times New Roman"/>
          <w:iCs/>
          <w:color w:val="000000"/>
          <w:sz w:val="24"/>
        </w:rPr>
        <w:t xml:space="preserve">   </w:t>
      </w:r>
    </w:p>
  </w:footnote>
  <w:footnote w:id="51">
    <w:p w14:paraId="794CF287" w14:textId="05B577AD" w:rsidR="009217DB" w:rsidRPr="009217DB" w:rsidRDefault="009217DB" w:rsidP="009217DB">
      <w:pPr>
        <w:pStyle w:val="afd"/>
      </w:pPr>
      <w:r>
        <w:rPr>
          <w:rStyle w:val="aff"/>
        </w:rPr>
        <w:footnoteRef/>
      </w:r>
      <w:r w:rsidRPr="009217DB">
        <w:t xml:space="preserve"> Xie Z. Estimating Effects of Dividend Tax Policy Changes in China Part I //Proceedings. Annual Conference on Taxation and Minutes of the Annual Meeting of the National Tax Association. – National Tax Association, 2018. – Т. 111. – С. 1-54.</w:t>
      </w:r>
    </w:p>
  </w:footnote>
  <w:footnote w:id="52">
    <w:p w14:paraId="4B0F6E82" w14:textId="5CD00252" w:rsidR="0097064A" w:rsidRPr="000B46BF" w:rsidRDefault="0097064A" w:rsidP="00B92047">
      <w:pPr>
        <w:pStyle w:val="af7"/>
        <w:pBdr>
          <w:top w:val="nil"/>
          <w:left w:val="nil"/>
          <w:bottom w:val="nil"/>
          <w:right w:val="nil"/>
          <w:between w:val="nil"/>
        </w:pBdr>
        <w:spacing w:line="360" w:lineRule="auto"/>
        <w:rPr>
          <w:rFonts w:ascii="Times New Roman" w:hAnsi="Times New Roman" w:cs="Times New Roman"/>
          <w:iCs/>
          <w:color w:val="000000"/>
          <w:sz w:val="24"/>
          <w:szCs w:val="24"/>
        </w:rPr>
      </w:pPr>
      <w:r>
        <w:rPr>
          <w:rStyle w:val="aff"/>
        </w:rPr>
        <w:footnoteRef/>
      </w:r>
      <w:r>
        <w:t xml:space="preserve"> </w:t>
      </w:r>
      <w:r w:rsidRPr="00B92047">
        <w:rPr>
          <w:rStyle w:val="afe"/>
        </w:rPr>
        <w:t>Business extent of disclosure index [Электронный ресурс]. –  The World Bank</w:t>
      </w:r>
      <w:r w:rsidR="00B92047" w:rsidRPr="00B92047">
        <w:rPr>
          <w:rStyle w:val="afe"/>
        </w:rPr>
        <w:t xml:space="preserve">, 2021. – Режим доступа: </w:t>
      </w:r>
      <w:hyperlink r:id="rId4" w:history="1">
        <w:r w:rsidR="00B92047" w:rsidRPr="00B92047">
          <w:rPr>
            <w:rStyle w:val="afe"/>
          </w:rPr>
          <w:t>https://data.worldbank.org/indicator/IC.BUS.DISC.XQ</w:t>
        </w:r>
      </w:hyperlink>
      <w:r w:rsidR="00B92047" w:rsidRPr="00B92047">
        <w:rPr>
          <w:rStyle w:val="afe"/>
        </w:rPr>
        <w:t>. – Загл. с экрана. (дата обращения: 20.04.2022)</w:t>
      </w:r>
      <w:r w:rsidR="00B92047" w:rsidRPr="000B46BF">
        <w:rPr>
          <w:rFonts w:ascii="Times New Roman" w:eastAsia="Times New Roman" w:hAnsi="Times New Roman" w:cs="Times New Roman"/>
          <w:iCs/>
          <w:color w:val="000000"/>
          <w:sz w:val="24"/>
          <w:szCs w:val="24"/>
        </w:rPr>
        <w:t xml:space="preserve">  </w:t>
      </w:r>
      <w:r w:rsidRPr="000B46BF">
        <w:rPr>
          <w:rFonts w:ascii="Times New Roman" w:eastAsia="Times New Roman" w:hAnsi="Times New Roman" w:cs="Times New Roman"/>
          <w:iCs/>
          <w:color w:val="000000"/>
          <w:sz w:val="24"/>
          <w:szCs w:val="24"/>
        </w:rPr>
        <w:t xml:space="preserve"> </w:t>
      </w:r>
    </w:p>
    <w:p w14:paraId="5A336F47" w14:textId="2A0F4539" w:rsidR="0097064A" w:rsidRPr="0097064A" w:rsidRDefault="0097064A">
      <w:pPr>
        <w:pStyle w:val="afd"/>
        <w:rPr>
          <w:lang w:val="ru-RU"/>
        </w:rPr>
      </w:pPr>
    </w:p>
  </w:footnote>
  <w:footnote w:id="53">
    <w:p w14:paraId="23B851DF" w14:textId="77777777" w:rsidR="00927CD4" w:rsidRPr="00350DE2" w:rsidRDefault="00927CD4" w:rsidP="00927CD4">
      <w:pPr>
        <w:pStyle w:val="aff3"/>
        <w:spacing w:before="0" w:beforeAutospacing="0" w:after="160" w:afterAutospacing="0"/>
        <w:rPr>
          <w:sz w:val="20"/>
          <w:szCs w:val="20"/>
          <w:lang w:val="ru-RU"/>
        </w:rPr>
      </w:pPr>
      <w:r>
        <w:rPr>
          <w:rStyle w:val="aff"/>
        </w:rPr>
        <w:footnoteRef/>
      </w:r>
      <w:r>
        <w:t xml:space="preserve"> </w:t>
      </w:r>
      <w:r w:rsidRPr="00B12B5C">
        <w:rPr>
          <w:rStyle w:val="afe"/>
          <w:rFonts w:eastAsiaTheme="majorEastAsia"/>
        </w:rPr>
        <w:t>В случае каждого объявления 30 торговых дней (около 6 недель), предш</w:t>
      </w:r>
      <w:r>
        <w:rPr>
          <w:rStyle w:val="afe"/>
          <w:rFonts w:eastAsiaTheme="majorEastAsia"/>
          <w:lang w:val="ru-RU"/>
        </w:rPr>
        <w:t>е</w:t>
      </w:r>
      <w:r w:rsidRPr="00B12B5C">
        <w:rPr>
          <w:rStyle w:val="afe"/>
          <w:rFonts w:eastAsiaTheme="majorEastAsia"/>
        </w:rPr>
        <w:t xml:space="preserve">ствующих дню объявления. Для этого периода рассчитывалось выборочное среднее и стандартное отклонение для ежедневных доходностей рыночного индекса. Далее вся выборка pre-announcement периодов была разделена на три части: up market – </w:t>
      </w:r>
      <w:r w:rsidRPr="00350DE2">
        <w:rPr>
          <w:rStyle w:val="afe"/>
          <w:rFonts w:eastAsiaTheme="majorEastAsia"/>
        </w:rPr>
        <w:t>значения свыше 66%-го персентиля</w:t>
      </w:r>
      <w:r w:rsidRPr="00B12B5C">
        <w:rPr>
          <w:rStyle w:val="afe"/>
          <w:rFonts w:eastAsiaTheme="majorEastAsia"/>
        </w:rPr>
        <w:t xml:space="preserve">, down market – </w:t>
      </w:r>
      <w:r w:rsidRPr="00350DE2">
        <w:rPr>
          <w:rStyle w:val="afe"/>
          <w:rFonts w:eastAsiaTheme="majorEastAsia"/>
        </w:rPr>
        <w:t xml:space="preserve">значения меньше 33%-го персентиля </w:t>
      </w:r>
      <w:r w:rsidRPr="00B12B5C">
        <w:rPr>
          <w:rStyle w:val="afe"/>
          <w:rFonts w:eastAsiaTheme="majorEastAsia"/>
        </w:rPr>
        <w:t xml:space="preserve">и normal – </w:t>
      </w:r>
      <w:r w:rsidRPr="00350DE2">
        <w:rPr>
          <w:rStyle w:val="afe"/>
          <w:rFonts w:eastAsiaTheme="majorEastAsia"/>
        </w:rPr>
        <w:t>значения между 33%-ым и 66%-ым персентилем</w:t>
      </w:r>
      <w:r w:rsidRPr="00B12B5C">
        <w:rPr>
          <w:rStyle w:val="afe"/>
          <w:rFonts w:eastAsiaTheme="majorEastAsia"/>
        </w:rPr>
        <w:t>.</w:t>
      </w:r>
      <w:r w:rsidRPr="00350DE2">
        <w:rPr>
          <w:rStyle w:val="afe"/>
          <w:rFonts w:eastAsiaTheme="majorEastAsia"/>
        </w:rPr>
        <w:t xml:space="preserve"> </w:t>
      </w:r>
      <w:r w:rsidRPr="00B12B5C">
        <w:rPr>
          <w:rStyle w:val="afe"/>
          <w:rFonts w:eastAsiaTheme="majorEastAsia"/>
        </w:rPr>
        <w:t xml:space="preserve">Аналогичное деление </w:t>
      </w:r>
      <w:r>
        <w:rPr>
          <w:rStyle w:val="afe"/>
          <w:rFonts w:eastAsiaTheme="majorEastAsia"/>
          <w:lang w:val="ru-RU"/>
        </w:rPr>
        <w:t xml:space="preserve">проводилось </w:t>
      </w:r>
      <w:r w:rsidRPr="00B12B5C">
        <w:rPr>
          <w:rStyle w:val="afe"/>
          <w:rFonts w:eastAsiaTheme="majorEastAsia"/>
        </w:rPr>
        <w:t>для стандартного отклонения доходности, характеризующего волатильность рынка</w:t>
      </w:r>
      <w:r>
        <w:rPr>
          <w:rStyle w:val="afe"/>
          <w:rFonts w:eastAsiaTheme="majorEastAsia"/>
          <w:lang w:val="ru-RU"/>
        </w:rPr>
        <w:t>.</w:t>
      </w:r>
    </w:p>
  </w:footnote>
  <w:footnote w:id="54">
    <w:p w14:paraId="671CFA29" w14:textId="548E8453" w:rsidR="003F2184" w:rsidRDefault="003F2184" w:rsidP="009217DB">
      <w:pPr>
        <w:pStyle w:val="afd"/>
      </w:pPr>
      <w:r>
        <w:rPr>
          <w:rStyle w:val="aff"/>
        </w:rPr>
        <w:footnoteRef/>
      </w:r>
      <w:r>
        <w:t xml:space="preserve"> Под таким объявлением понимается дата оглашения решения Совета Директоров о рекомендуемой норме выплат дивидендов</w:t>
      </w:r>
    </w:p>
  </w:footnote>
  <w:footnote w:id="55">
    <w:p w14:paraId="7633DB75" w14:textId="258F04A1" w:rsidR="00887416" w:rsidRDefault="00887416" w:rsidP="009217DB">
      <w:pPr>
        <w:pStyle w:val="afd"/>
      </w:pPr>
      <w:r>
        <w:rPr>
          <w:rStyle w:val="aff"/>
        </w:rPr>
        <w:footnoteRef/>
      </w:r>
      <w:r>
        <w:t xml:space="preserve"> </w:t>
      </w:r>
      <w:r w:rsidRPr="00887416">
        <w:t xml:space="preserve">«Китайское безумие»: как миллионы частных инвесторов раздули новый пузырь [Электронный ресурс]. –  РБК, 2015. - Режим доступа:  </w:t>
      </w:r>
      <w:r w:rsidRPr="00887416">
        <w:br/>
        <w:t>https://www.rbc.ru/finances/09/07/2015/559dca919a79475cc74f15c7</w:t>
      </w:r>
    </w:p>
  </w:footnote>
  <w:footnote w:id="56">
    <w:p w14:paraId="5678EE8E" w14:textId="6D4F29E0" w:rsidR="00BF35F3" w:rsidRPr="00BF35F3" w:rsidRDefault="00BF35F3" w:rsidP="00BF35F3">
      <w:pPr>
        <w:shd w:val="clear" w:color="auto" w:fill="FFFFFF"/>
        <w:spacing w:before="100" w:beforeAutospacing="1" w:after="24" w:line="240" w:lineRule="auto"/>
        <w:jc w:val="left"/>
        <w:rPr>
          <w:sz w:val="20"/>
          <w:szCs w:val="20"/>
        </w:rPr>
      </w:pPr>
      <w:r>
        <w:rPr>
          <w:rStyle w:val="aff"/>
        </w:rPr>
        <w:footnoteRef/>
      </w:r>
      <w:r w:rsidRPr="009217DB">
        <w:rPr>
          <w:lang w:val="en-US"/>
        </w:rPr>
        <w:t xml:space="preserve"> </w:t>
      </w:r>
      <w:r w:rsidRPr="009217DB">
        <w:rPr>
          <w:rFonts w:ascii="Arial" w:hAnsi="Arial" w:cs="Arial"/>
          <w:color w:val="202122"/>
          <w:sz w:val="19"/>
          <w:szCs w:val="19"/>
          <w:lang w:val="en-US"/>
        </w:rPr>
        <w:t> </w:t>
      </w:r>
      <w:r w:rsidRPr="009217DB">
        <w:rPr>
          <w:sz w:val="20"/>
          <w:szCs w:val="20"/>
          <w:lang w:val="en-US"/>
        </w:rPr>
        <w:t>WFE Annual Statistics Guide 2020 (</w:t>
      </w:r>
      <w:r w:rsidRPr="00BF35F3">
        <w:rPr>
          <w:sz w:val="20"/>
          <w:szCs w:val="20"/>
        </w:rPr>
        <w:t>англ</w:t>
      </w:r>
      <w:r w:rsidRPr="009217DB">
        <w:rPr>
          <w:sz w:val="20"/>
          <w:szCs w:val="20"/>
          <w:lang w:val="en-US"/>
        </w:rPr>
        <w:t>.). </w:t>
      </w:r>
      <w:r w:rsidRPr="00BF35F3">
        <w:rPr>
          <w:sz w:val="20"/>
          <w:szCs w:val="20"/>
        </w:rPr>
        <w:t xml:space="preserve">Всемирная федерация бирж. </w:t>
      </w:r>
      <w:r w:rsidRPr="00887416">
        <w:rPr>
          <w:sz w:val="20"/>
          <w:szCs w:val="20"/>
        </w:rPr>
        <w:t>[Электронный ресурс]. –  20</w:t>
      </w:r>
      <w:r>
        <w:rPr>
          <w:sz w:val="20"/>
          <w:szCs w:val="20"/>
        </w:rPr>
        <w:t xml:space="preserve">20. </w:t>
      </w:r>
      <w:r w:rsidRPr="00887416">
        <w:rPr>
          <w:sz w:val="20"/>
          <w:szCs w:val="20"/>
        </w:rPr>
        <w:t xml:space="preserve">- Режим доступа: </w:t>
      </w:r>
      <w:r w:rsidRPr="00BF35F3">
        <w:rPr>
          <w:sz w:val="20"/>
          <w:szCs w:val="20"/>
        </w:rPr>
        <w:t>https://www.world-exchanges.org/storage/app/media/WFE%20Annual%20Statistics%20Guide%202020%20v15.xlsx</w:t>
      </w:r>
      <w:r w:rsidRPr="00887416">
        <w:rPr>
          <w:sz w:val="20"/>
          <w:szCs w:val="20"/>
        </w:rPr>
        <w:t xml:space="preserve"> </w:t>
      </w:r>
    </w:p>
    <w:p w14:paraId="285BAF03" w14:textId="7864A788" w:rsidR="00BF35F3" w:rsidRDefault="00BF35F3" w:rsidP="009217DB">
      <w:pPr>
        <w:pStyle w:val="afd"/>
      </w:pPr>
    </w:p>
  </w:footnote>
  <w:footnote w:id="57">
    <w:p w14:paraId="12BC5E71" w14:textId="2E3870C6" w:rsidR="00BC068A" w:rsidRPr="009217DB" w:rsidRDefault="00BC068A" w:rsidP="009217DB">
      <w:pPr>
        <w:pStyle w:val="afd"/>
      </w:pPr>
      <w:r>
        <w:rPr>
          <w:rStyle w:val="aff"/>
        </w:rPr>
        <w:footnoteRef/>
      </w:r>
      <w:r w:rsidRPr="009217DB">
        <w:t xml:space="preserve"> Shefrin H. M., Statman M. Explaining investor preference for cash dividends //Journal of financial economics. – 1984. – </w:t>
      </w:r>
      <w:r w:rsidRPr="00BF3F39">
        <w:t>Т</w:t>
      </w:r>
      <w:r w:rsidRPr="009217DB">
        <w:t xml:space="preserve">. 13. – №. 2. – </w:t>
      </w:r>
      <w:r w:rsidRPr="00BF3F39">
        <w:t>С</w:t>
      </w:r>
      <w:r w:rsidRPr="009217DB">
        <w:t>. 253-282.</w:t>
      </w:r>
    </w:p>
  </w:footnote>
  <w:footnote w:id="58">
    <w:p w14:paraId="6569B6B5" w14:textId="504834E8" w:rsidR="0096494E" w:rsidRPr="009217DB" w:rsidRDefault="0096494E" w:rsidP="009217DB">
      <w:pPr>
        <w:pStyle w:val="afd"/>
      </w:pPr>
      <w:r>
        <w:rPr>
          <w:rStyle w:val="aff"/>
        </w:rPr>
        <w:footnoteRef/>
      </w:r>
      <w:r w:rsidRPr="009217DB">
        <w:t xml:space="preserve"> https://www.if24.ru/sanktsii-protiv-gosdolga-privedut-k-gromadnym-poteryam-v-investitsiyah/</w:t>
      </w:r>
    </w:p>
  </w:footnote>
  <w:footnote w:id="59">
    <w:p w14:paraId="22D19E01" w14:textId="290A0BF6" w:rsidR="0028358E" w:rsidRPr="009217DB" w:rsidRDefault="0028358E" w:rsidP="009217DB">
      <w:pPr>
        <w:pStyle w:val="afd"/>
      </w:pPr>
      <w:r>
        <w:rPr>
          <w:rStyle w:val="aff"/>
        </w:rPr>
        <w:footnoteRef/>
      </w:r>
      <w:r w:rsidRPr="009217DB">
        <w:t xml:space="preserve"> https://quote.rbc.ru/news/article/5ed0ec129a7947572d6933e4</w:t>
      </w:r>
    </w:p>
  </w:footnote>
  <w:footnote w:id="60">
    <w:p w14:paraId="4199024A" w14:textId="031FFF05" w:rsidR="00CD5FDC" w:rsidRPr="00CD5FDC" w:rsidRDefault="00CD5FDC" w:rsidP="009217DB">
      <w:pPr>
        <w:pStyle w:val="afd"/>
      </w:pPr>
      <w:r>
        <w:rPr>
          <w:rStyle w:val="aff"/>
        </w:rPr>
        <w:footnoteRef/>
      </w:r>
      <w:r w:rsidRPr="009217DB">
        <w:t xml:space="preserve"> Zhao Y., Ng S. H. Dividend payout policies in the pre and post split share structure reform in China //Cogent Economics &amp; Finance. – 2021. – </w:t>
      </w:r>
      <w:r w:rsidRPr="00CD5FDC">
        <w:t>Т</w:t>
      </w:r>
      <w:r w:rsidRPr="009217DB">
        <w:t xml:space="preserve">. 9. – №. </w:t>
      </w:r>
      <w:r w:rsidRPr="00CD5FDC">
        <w:t>1. – С. 1923620.</w:t>
      </w:r>
    </w:p>
  </w:footnote>
  <w:footnote w:id="61">
    <w:p w14:paraId="009A373A" w14:textId="4620EEA0" w:rsidR="00614C65" w:rsidRDefault="00614C65" w:rsidP="009217DB">
      <w:pPr>
        <w:pStyle w:val="afd"/>
      </w:pPr>
      <w:r>
        <w:rPr>
          <w:rStyle w:val="aff"/>
        </w:rPr>
        <w:footnoteRef/>
      </w:r>
      <w:r>
        <w:t xml:space="preserve"> </w:t>
      </w:r>
      <w:r w:rsidRPr="00614C65">
        <w:t>https://carnegie.ru/commentary/60763</w:t>
      </w:r>
      <w:r>
        <w:t xml:space="preserve"> Что произошло на фондовом рынке Китая и почему это важно. – Московский центр Карнеги, 2015.</w:t>
      </w:r>
    </w:p>
  </w:footnote>
  <w:footnote w:id="62">
    <w:p w14:paraId="1A950CD3" w14:textId="02CA896E" w:rsidR="00ED2486" w:rsidRDefault="00ED2486" w:rsidP="009217DB">
      <w:pPr>
        <w:pStyle w:val="afd"/>
      </w:pPr>
      <w:r>
        <w:rPr>
          <w:rStyle w:val="aff"/>
        </w:rPr>
        <w:footnoteRef/>
      </w:r>
      <w:r w:rsidRPr="009217DB">
        <w:t xml:space="preserve"> Jain M., Saraswat S. US–China trade war: Chinese perspective //Manag Econ Res J. – 2019. – </w:t>
      </w:r>
      <w:r w:rsidRPr="00ED2486">
        <w:t>Т</w:t>
      </w:r>
      <w:r w:rsidRPr="009217DB">
        <w:t xml:space="preserve">. 5. – №. </w:t>
      </w:r>
      <w:r w:rsidRPr="00ED2486">
        <w:t>2019. – С. 10335.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E68DA"/>
    <w:multiLevelType w:val="hybridMultilevel"/>
    <w:tmpl w:val="67C8E9A4"/>
    <w:lvl w:ilvl="0" w:tplc="DC4CF1D0">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15:restartNumberingAfterBreak="0">
    <w:nsid w:val="0387087A"/>
    <w:multiLevelType w:val="multilevel"/>
    <w:tmpl w:val="B6C8C2E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607863"/>
    <w:multiLevelType w:val="hybridMultilevel"/>
    <w:tmpl w:val="B784F92E"/>
    <w:lvl w:ilvl="0" w:tplc="7506D86E">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0AD951A7"/>
    <w:multiLevelType w:val="hybridMultilevel"/>
    <w:tmpl w:val="6C8A8D1A"/>
    <w:lvl w:ilvl="0" w:tplc="6A48C2EC">
      <w:start w:val="1"/>
      <w:numFmt w:val="decimal"/>
      <w:lvlText w:val="%1)"/>
      <w:lvlJc w:val="left"/>
      <w:pPr>
        <w:ind w:left="107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114423D4"/>
    <w:multiLevelType w:val="hybridMultilevel"/>
    <w:tmpl w:val="2D9AC2F0"/>
    <w:lvl w:ilvl="0" w:tplc="4C4EB4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0774FF"/>
    <w:multiLevelType w:val="hybridMultilevel"/>
    <w:tmpl w:val="6FACA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E56B8C"/>
    <w:multiLevelType w:val="hybridMultilevel"/>
    <w:tmpl w:val="FD3C968C"/>
    <w:lvl w:ilvl="0" w:tplc="B5B22176">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15:restartNumberingAfterBreak="0">
    <w:nsid w:val="1C4660CB"/>
    <w:multiLevelType w:val="hybridMultilevel"/>
    <w:tmpl w:val="34728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E832A4"/>
    <w:multiLevelType w:val="hybridMultilevel"/>
    <w:tmpl w:val="31C25996"/>
    <w:lvl w:ilvl="0" w:tplc="2F0065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FB43C0"/>
    <w:multiLevelType w:val="multilevel"/>
    <w:tmpl w:val="C686818A"/>
    <w:lvl w:ilvl="0">
      <w:start w:val="1"/>
      <w:numFmt w:val="decimal"/>
      <w:lvlText w:val="%1"/>
      <w:lvlJc w:val="left"/>
      <w:pPr>
        <w:ind w:left="390" w:hanging="390"/>
      </w:pPr>
    </w:lvl>
    <w:lvl w:ilvl="1">
      <w:start w:val="1"/>
      <w:numFmt w:val="decimal"/>
      <w:lvlText w:val="%1.%2"/>
      <w:lvlJc w:val="left"/>
      <w:pPr>
        <w:ind w:left="390" w:hanging="39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26A42BB6"/>
    <w:multiLevelType w:val="hybridMultilevel"/>
    <w:tmpl w:val="01046CAE"/>
    <w:lvl w:ilvl="0" w:tplc="D35647C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15:restartNumberingAfterBreak="0">
    <w:nsid w:val="27907202"/>
    <w:multiLevelType w:val="hybridMultilevel"/>
    <w:tmpl w:val="5768CC5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AEC587F"/>
    <w:multiLevelType w:val="hybridMultilevel"/>
    <w:tmpl w:val="B59A82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43194F"/>
    <w:multiLevelType w:val="hybridMultilevel"/>
    <w:tmpl w:val="85DEF854"/>
    <w:lvl w:ilvl="0" w:tplc="D2D8385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15:restartNumberingAfterBreak="0">
    <w:nsid w:val="2E60426A"/>
    <w:multiLevelType w:val="hybridMultilevel"/>
    <w:tmpl w:val="2D8A8954"/>
    <w:lvl w:ilvl="0" w:tplc="6756D5B6">
      <w:start w:val="1"/>
      <w:numFmt w:val="decimal"/>
      <w:pStyle w:val="a"/>
      <w:lvlText w:val="Таблица %1."/>
      <w:lvlJc w:val="center"/>
      <w:pPr>
        <w:ind w:left="6739" w:hanging="360"/>
      </w:pPr>
      <w:rPr>
        <w:rFonts w:ascii="Times New Roman" w:hAnsi="Times New Roman" w:hint="default"/>
        <w:b/>
        <w:i w:val="0"/>
        <w:strike w:val="0"/>
        <w:dstrike w:val="0"/>
        <w:vanish w:val="0"/>
        <w:color w:val="000000" w:themeColor="text1"/>
        <w:sz w:val="24"/>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19C6C93"/>
    <w:multiLevelType w:val="hybridMultilevel"/>
    <w:tmpl w:val="B93EF124"/>
    <w:lvl w:ilvl="0" w:tplc="AC0AAF7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520411"/>
    <w:multiLevelType w:val="hybridMultilevel"/>
    <w:tmpl w:val="10CCE620"/>
    <w:lvl w:ilvl="0" w:tplc="BF8CFEF2">
      <w:start w:val="1"/>
      <w:numFmt w:val="decimal"/>
      <w:pStyle w:val="a0"/>
      <w:lvlText w:val="Рис. %1. "/>
      <w:lvlJc w:val="right"/>
      <w:pPr>
        <w:ind w:left="360" w:hanging="360"/>
      </w:pPr>
      <w:rPr>
        <w:rFonts w:ascii="Times New Roman" w:hAnsi="Times New Roman" w:hint="default"/>
        <w:b/>
        <w:i/>
        <w:strike w:val="0"/>
        <w:dstrike w:val="0"/>
        <w:vanish w:val="0"/>
        <w:color w:val="000000" w:themeColor="text1"/>
        <w:sz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D411FD6"/>
    <w:multiLevelType w:val="hybridMultilevel"/>
    <w:tmpl w:val="D974CC78"/>
    <w:lvl w:ilvl="0" w:tplc="F2322D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265CEE"/>
    <w:multiLevelType w:val="hybridMultilevel"/>
    <w:tmpl w:val="5768CC5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FC51707"/>
    <w:multiLevelType w:val="hybridMultilevel"/>
    <w:tmpl w:val="40100450"/>
    <w:lvl w:ilvl="0" w:tplc="D8A4978C">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0" w15:restartNumberingAfterBreak="0">
    <w:nsid w:val="4C55299E"/>
    <w:multiLevelType w:val="multilevel"/>
    <w:tmpl w:val="DEFAE148"/>
    <w:lvl w:ilvl="0">
      <w:start w:val="1"/>
      <w:numFmt w:val="decimal"/>
      <w:lvlText w:val="Таблица %1."/>
      <w:lvlJc w:val="left"/>
      <w:pPr>
        <w:ind w:left="360" w:hanging="360"/>
      </w:pPr>
      <w:rPr>
        <w:rFonts w:ascii="Times New Roman" w:hAnsi="Times New Roman" w:hint="default"/>
        <w:b/>
        <w:i w:val="0"/>
        <w:strike w:val="0"/>
        <w:color w:val="000000"/>
        <w:sz w:val="24"/>
        <w:szCs w:val="24"/>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05E60F0"/>
    <w:multiLevelType w:val="hybridMultilevel"/>
    <w:tmpl w:val="254C451E"/>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2" w15:restartNumberingAfterBreak="0">
    <w:nsid w:val="59BD6BDB"/>
    <w:multiLevelType w:val="hybridMultilevel"/>
    <w:tmpl w:val="121064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B17A35"/>
    <w:multiLevelType w:val="hybridMultilevel"/>
    <w:tmpl w:val="6D085D10"/>
    <w:lvl w:ilvl="0" w:tplc="2F0065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E021C2"/>
    <w:multiLevelType w:val="multilevel"/>
    <w:tmpl w:val="9326939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25F2D8A"/>
    <w:multiLevelType w:val="multilevel"/>
    <w:tmpl w:val="7584D18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6" w15:restartNumberingAfterBreak="0">
    <w:nsid w:val="69066264"/>
    <w:multiLevelType w:val="multilevel"/>
    <w:tmpl w:val="CC7E8E6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57718FF"/>
    <w:multiLevelType w:val="multilevel"/>
    <w:tmpl w:val="6DDE611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C13564"/>
    <w:multiLevelType w:val="hybridMultilevel"/>
    <w:tmpl w:val="A17A59AC"/>
    <w:lvl w:ilvl="0" w:tplc="CEE23F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EF41C3"/>
    <w:multiLevelType w:val="hybridMultilevel"/>
    <w:tmpl w:val="5768CC5E"/>
    <w:lvl w:ilvl="0" w:tplc="4C4EB4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166302"/>
    <w:multiLevelType w:val="hybridMultilevel"/>
    <w:tmpl w:val="11041AE8"/>
    <w:lvl w:ilvl="0" w:tplc="213C5F6C">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1" w15:restartNumberingAfterBreak="0">
    <w:nsid w:val="7E792CA7"/>
    <w:multiLevelType w:val="multilevel"/>
    <w:tmpl w:val="94B44B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226694684">
    <w:abstractNumId w:val="16"/>
  </w:num>
  <w:num w:numId="2" w16cid:durableId="500893919">
    <w:abstractNumId w:val="14"/>
  </w:num>
  <w:num w:numId="3" w16cid:durableId="904417114">
    <w:abstractNumId w:val="9"/>
  </w:num>
  <w:num w:numId="4" w16cid:durableId="1972129625">
    <w:abstractNumId w:val="20"/>
  </w:num>
  <w:num w:numId="5" w16cid:durableId="500237426">
    <w:abstractNumId w:val="15"/>
  </w:num>
  <w:num w:numId="6" w16cid:durableId="1374303162">
    <w:abstractNumId w:val="22"/>
  </w:num>
  <w:num w:numId="7" w16cid:durableId="910121231">
    <w:abstractNumId w:val="31"/>
  </w:num>
  <w:num w:numId="8" w16cid:durableId="2009166633">
    <w:abstractNumId w:val="25"/>
  </w:num>
  <w:num w:numId="9" w16cid:durableId="2143424545">
    <w:abstractNumId w:val="28"/>
  </w:num>
  <w:num w:numId="10" w16cid:durableId="906039666">
    <w:abstractNumId w:val="10"/>
  </w:num>
  <w:num w:numId="11" w16cid:durableId="957184061">
    <w:abstractNumId w:val="23"/>
  </w:num>
  <w:num w:numId="12" w16cid:durableId="261842234">
    <w:abstractNumId w:val="8"/>
  </w:num>
  <w:num w:numId="13" w16cid:durableId="1034307205">
    <w:abstractNumId w:val="1"/>
  </w:num>
  <w:num w:numId="14" w16cid:durableId="1664699655">
    <w:abstractNumId w:val="27"/>
  </w:num>
  <w:num w:numId="15" w16cid:durableId="910121387">
    <w:abstractNumId w:val="2"/>
  </w:num>
  <w:num w:numId="16" w16cid:durableId="560099213">
    <w:abstractNumId w:val="3"/>
  </w:num>
  <w:num w:numId="17" w16cid:durableId="1467620024">
    <w:abstractNumId w:val="12"/>
  </w:num>
  <w:num w:numId="18" w16cid:durableId="1301379040">
    <w:abstractNumId w:val="4"/>
  </w:num>
  <w:num w:numId="19" w16cid:durableId="546527275">
    <w:abstractNumId w:val="21"/>
  </w:num>
  <w:num w:numId="20" w16cid:durableId="35080396">
    <w:abstractNumId w:val="0"/>
  </w:num>
  <w:num w:numId="21" w16cid:durableId="2133934833">
    <w:abstractNumId w:val="6"/>
  </w:num>
  <w:num w:numId="22" w16cid:durableId="1146556006">
    <w:abstractNumId w:val="30"/>
  </w:num>
  <w:num w:numId="23" w16cid:durableId="1083188395">
    <w:abstractNumId w:val="19"/>
  </w:num>
  <w:num w:numId="24" w16cid:durableId="52192660">
    <w:abstractNumId w:val="29"/>
  </w:num>
  <w:num w:numId="25" w16cid:durableId="2080589258">
    <w:abstractNumId w:val="11"/>
  </w:num>
  <w:num w:numId="26" w16cid:durableId="1473983198">
    <w:abstractNumId w:val="18"/>
  </w:num>
  <w:num w:numId="27" w16cid:durableId="2012096535">
    <w:abstractNumId w:val="24"/>
  </w:num>
  <w:num w:numId="28" w16cid:durableId="977808126">
    <w:abstractNumId w:val="26"/>
  </w:num>
  <w:num w:numId="29" w16cid:durableId="244457553">
    <w:abstractNumId w:val="13"/>
  </w:num>
  <w:num w:numId="30" w16cid:durableId="1425954103">
    <w:abstractNumId w:val="17"/>
  </w:num>
  <w:num w:numId="31" w16cid:durableId="786703662">
    <w:abstractNumId w:val="5"/>
  </w:num>
  <w:num w:numId="32" w16cid:durableId="2039694394">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characterSpacingControl w:val="doNotCompress"/>
  <w:savePreviewPicture/>
  <w:hdrShapeDefaults>
    <o:shapedefaults v:ext="edit" spidmax="205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744769"/>
    <w:rsid w:val="0000101C"/>
    <w:rsid w:val="000011F7"/>
    <w:rsid w:val="00001CBD"/>
    <w:rsid w:val="0000297B"/>
    <w:rsid w:val="00002D3C"/>
    <w:rsid w:val="000045F5"/>
    <w:rsid w:val="00004EDF"/>
    <w:rsid w:val="000055FA"/>
    <w:rsid w:val="000057E4"/>
    <w:rsid w:val="00005BC7"/>
    <w:rsid w:val="00005E28"/>
    <w:rsid w:val="00006033"/>
    <w:rsid w:val="000060E1"/>
    <w:rsid w:val="00006277"/>
    <w:rsid w:val="00010A17"/>
    <w:rsid w:val="00010DFE"/>
    <w:rsid w:val="00011DE4"/>
    <w:rsid w:val="0001214A"/>
    <w:rsid w:val="000122AE"/>
    <w:rsid w:val="0001239B"/>
    <w:rsid w:val="0001424B"/>
    <w:rsid w:val="000149F2"/>
    <w:rsid w:val="0001632A"/>
    <w:rsid w:val="00016637"/>
    <w:rsid w:val="0001668A"/>
    <w:rsid w:val="00016952"/>
    <w:rsid w:val="00017CB2"/>
    <w:rsid w:val="000211CC"/>
    <w:rsid w:val="00021A69"/>
    <w:rsid w:val="0002300C"/>
    <w:rsid w:val="00023357"/>
    <w:rsid w:val="0002486D"/>
    <w:rsid w:val="00024A64"/>
    <w:rsid w:val="00025B01"/>
    <w:rsid w:val="000267D6"/>
    <w:rsid w:val="00026F28"/>
    <w:rsid w:val="00027A7C"/>
    <w:rsid w:val="00027BCA"/>
    <w:rsid w:val="0003117A"/>
    <w:rsid w:val="000312C7"/>
    <w:rsid w:val="00031E67"/>
    <w:rsid w:val="00032299"/>
    <w:rsid w:val="000323C9"/>
    <w:rsid w:val="000351FD"/>
    <w:rsid w:val="000370A6"/>
    <w:rsid w:val="00037258"/>
    <w:rsid w:val="00037D72"/>
    <w:rsid w:val="00040906"/>
    <w:rsid w:val="000413FA"/>
    <w:rsid w:val="000425FA"/>
    <w:rsid w:val="00042E32"/>
    <w:rsid w:val="00043D59"/>
    <w:rsid w:val="00044856"/>
    <w:rsid w:val="00045351"/>
    <w:rsid w:val="000459E1"/>
    <w:rsid w:val="00046138"/>
    <w:rsid w:val="00046950"/>
    <w:rsid w:val="000503EF"/>
    <w:rsid w:val="00051550"/>
    <w:rsid w:val="00051830"/>
    <w:rsid w:val="000518EE"/>
    <w:rsid w:val="00052D9F"/>
    <w:rsid w:val="00052FE6"/>
    <w:rsid w:val="000536CF"/>
    <w:rsid w:val="00060D5C"/>
    <w:rsid w:val="00061FE0"/>
    <w:rsid w:val="000643F9"/>
    <w:rsid w:val="00064DB1"/>
    <w:rsid w:val="000665FB"/>
    <w:rsid w:val="000709B3"/>
    <w:rsid w:val="000716FA"/>
    <w:rsid w:val="00071CFD"/>
    <w:rsid w:val="00071E30"/>
    <w:rsid w:val="00072106"/>
    <w:rsid w:val="000722DF"/>
    <w:rsid w:val="00072ADD"/>
    <w:rsid w:val="00072BF0"/>
    <w:rsid w:val="00073BB7"/>
    <w:rsid w:val="0007477F"/>
    <w:rsid w:val="00075911"/>
    <w:rsid w:val="00075CFD"/>
    <w:rsid w:val="00076C3D"/>
    <w:rsid w:val="000778A5"/>
    <w:rsid w:val="00077DF5"/>
    <w:rsid w:val="00081864"/>
    <w:rsid w:val="00082550"/>
    <w:rsid w:val="00082897"/>
    <w:rsid w:val="00083F74"/>
    <w:rsid w:val="000845F2"/>
    <w:rsid w:val="0008493E"/>
    <w:rsid w:val="000854CC"/>
    <w:rsid w:val="00085846"/>
    <w:rsid w:val="000858C8"/>
    <w:rsid w:val="000869DF"/>
    <w:rsid w:val="000900C6"/>
    <w:rsid w:val="00090576"/>
    <w:rsid w:val="000911E9"/>
    <w:rsid w:val="00091A7E"/>
    <w:rsid w:val="00092CFA"/>
    <w:rsid w:val="00093137"/>
    <w:rsid w:val="00093841"/>
    <w:rsid w:val="00093A3A"/>
    <w:rsid w:val="000945EB"/>
    <w:rsid w:val="00094C24"/>
    <w:rsid w:val="00095497"/>
    <w:rsid w:val="0009788A"/>
    <w:rsid w:val="000A0FF5"/>
    <w:rsid w:val="000A2254"/>
    <w:rsid w:val="000A511B"/>
    <w:rsid w:val="000A5F06"/>
    <w:rsid w:val="000A6496"/>
    <w:rsid w:val="000A686F"/>
    <w:rsid w:val="000A6D95"/>
    <w:rsid w:val="000B0A71"/>
    <w:rsid w:val="000B0F1B"/>
    <w:rsid w:val="000B1826"/>
    <w:rsid w:val="000B2243"/>
    <w:rsid w:val="000B4217"/>
    <w:rsid w:val="000B44BD"/>
    <w:rsid w:val="000B46BF"/>
    <w:rsid w:val="000B4B95"/>
    <w:rsid w:val="000B4CC1"/>
    <w:rsid w:val="000B4E7A"/>
    <w:rsid w:val="000B52D1"/>
    <w:rsid w:val="000B5890"/>
    <w:rsid w:val="000B6135"/>
    <w:rsid w:val="000B6AB3"/>
    <w:rsid w:val="000B7674"/>
    <w:rsid w:val="000B7B83"/>
    <w:rsid w:val="000C0F44"/>
    <w:rsid w:val="000C1278"/>
    <w:rsid w:val="000C18EF"/>
    <w:rsid w:val="000C2BD0"/>
    <w:rsid w:val="000C39F5"/>
    <w:rsid w:val="000C424E"/>
    <w:rsid w:val="000C54E9"/>
    <w:rsid w:val="000D0E3C"/>
    <w:rsid w:val="000D2C56"/>
    <w:rsid w:val="000D2E6E"/>
    <w:rsid w:val="000D46AA"/>
    <w:rsid w:val="000D489D"/>
    <w:rsid w:val="000D5188"/>
    <w:rsid w:val="000D56E7"/>
    <w:rsid w:val="000D6452"/>
    <w:rsid w:val="000D7AF5"/>
    <w:rsid w:val="000E03F7"/>
    <w:rsid w:val="000E0B5A"/>
    <w:rsid w:val="000E1F06"/>
    <w:rsid w:val="000E2365"/>
    <w:rsid w:val="000E504C"/>
    <w:rsid w:val="000E6712"/>
    <w:rsid w:val="000E69E0"/>
    <w:rsid w:val="000E7048"/>
    <w:rsid w:val="000E7DB9"/>
    <w:rsid w:val="000F060A"/>
    <w:rsid w:val="000F120C"/>
    <w:rsid w:val="000F2D66"/>
    <w:rsid w:val="000F34E9"/>
    <w:rsid w:val="000F3C39"/>
    <w:rsid w:val="000F4377"/>
    <w:rsid w:val="000F4541"/>
    <w:rsid w:val="000F570E"/>
    <w:rsid w:val="000F6122"/>
    <w:rsid w:val="000F665E"/>
    <w:rsid w:val="00100247"/>
    <w:rsid w:val="00104187"/>
    <w:rsid w:val="00104C72"/>
    <w:rsid w:val="00105607"/>
    <w:rsid w:val="00105AFF"/>
    <w:rsid w:val="00106A56"/>
    <w:rsid w:val="0010726D"/>
    <w:rsid w:val="00110921"/>
    <w:rsid w:val="001109B4"/>
    <w:rsid w:val="00111750"/>
    <w:rsid w:val="00111BE4"/>
    <w:rsid w:val="00111E0B"/>
    <w:rsid w:val="0011253F"/>
    <w:rsid w:val="00112886"/>
    <w:rsid w:val="00113223"/>
    <w:rsid w:val="001142DF"/>
    <w:rsid w:val="00114CCA"/>
    <w:rsid w:val="00114FE0"/>
    <w:rsid w:val="001155F6"/>
    <w:rsid w:val="00115BD9"/>
    <w:rsid w:val="00116A2A"/>
    <w:rsid w:val="00116F56"/>
    <w:rsid w:val="0011724C"/>
    <w:rsid w:val="0011728B"/>
    <w:rsid w:val="001206A7"/>
    <w:rsid w:val="00124D25"/>
    <w:rsid w:val="001250EE"/>
    <w:rsid w:val="00125C76"/>
    <w:rsid w:val="00126748"/>
    <w:rsid w:val="00126F91"/>
    <w:rsid w:val="00127D4B"/>
    <w:rsid w:val="001303C6"/>
    <w:rsid w:val="00130D1D"/>
    <w:rsid w:val="00131067"/>
    <w:rsid w:val="0013146B"/>
    <w:rsid w:val="0013210E"/>
    <w:rsid w:val="0013214D"/>
    <w:rsid w:val="00132C0B"/>
    <w:rsid w:val="00132C73"/>
    <w:rsid w:val="00133843"/>
    <w:rsid w:val="001341B0"/>
    <w:rsid w:val="00135951"/>
    <w:rsid w:val="001364E2"/>
    <w:rsid w:val="00136A11"/>
    <w:rsid w:val="00136F5A"/>
    <w:rsid w:val="00137FA4"/>
    <w:rsid w:val="001414C7"/>
    <w:rsid w:val="00141DF3"/>
    <w:rsid w:val="00143485"/>
    <w:rsid w:val="00143590"/>
    <w:rsid w:val="0014395A"/>
    <w:rsid w:val="001446DA"/>
    <w:rsid w:val="00145085"/>
    <w:rsid w:val="0014545B"/>
    <w:rsid w:val="00147C3B"/>
    <w:rsid w:val="00147EEE"/>
    <w:rsid w:val="001527CC"/>
    <w:rsid w:val="001539FD"/>
    <w:rsid w:val="00154343"/>
    <w:rsid w:val="00154A44"/>
    <w:rsid w:val="00156C18"/>
    <w:rsid w:val="00156D89"/>
    <w:rsid w:val="0015735C"/>
    <w:rsid w:val="001576A5"/>
    <w:rsid w:val="00160976"/>
    <w:rsid w:val="00160E48"/>
    <w:rsid w:val="001629D7"/>
    <w:rsid w:val="00162CF6"/>
    <w:rsid w:val="00163AB5"/>
    <w:rsid w:val="00164EA9"/>
    <w:rsid w:val="00167245"/>
    <w:rsid w:val="001675F0"/>
    <w:rsid w:val="00167727"/>
    <w:rsid w:val="001678E0"/>
    <w:rsid w:val="001724A7"/>
    <w:rsid w:val="001725CF"/>
    <w:rsid w:val="00172A28"/>
    <w:rsid w:val="00173360"/>
    <w:rsid w:val="00173CE7"/>
    <w:rsid w:val="001757A7"/>
    <w:rsid w:val="001763C7"/>
    <w:rsid w:val="001767AE"/>
    <w:rsid w:val="00177919"/>
    <w:rsid w:val="001802C3"/>
    <w:rsid w:val="00180EE5"/>
    <w:rsid w:val="00181557"/>
    <w:rsid w:val="00184946"/>
    <w:rsid w:val="001850F3"/>
    <w:rsid w:val="00185F48"/>
    <w:rsid w:val="0018629A"/>
    <w:rsid w:val="00186559"/>
    <w:rsid w:val="00187CAA"/>
    <w:rsid w:val="00187D1C"/>
    <w:rsid w:val="00187EA3"/>
    <w:rsid w:val="001906E3"/>
    <w:rsid w:val="00193273"/>
    <w:rsid w:val="001932F1"/>
    <w:rsid w:val="001933A7"/>
    <w:rsid w:val="00193446"/>
    <w:rsid w:val="0019417F"/>
    <w:rsid w:val="001945CE"/>
    <w:rsid w:val="00194E8F"/>
    <w:rsid w:val="00195011"/>
    <w:rsid w:val="00195049"/>
    <w:rsid w:val="00195471"/>
    <w:rsid w:val="00195563"/>
    <w:rsid w:val="00196AC0"/>
    <w:rsid w:val="001A0C3D"/>
    <w:rsid w:val="001A1555"/>
    <w:rsid w:val="001A2FD8"/>
    <w:rsid w:val="001A31EF"/>
    <w:rsid w:val="001A3800"/>
    <w:rsid w:val="001A47FC"/>
    <w:rsid w:val="001A5585"/>
    <w:rsid w:val="001A6032"/>
    <w:rsid w:val="001A6312"/>
    <w:rsid w:val="001A68C7"/>
    <w:rsid w:val="001A6D3D"/>
    <w:rsid w:val="001A7277"/>
    <w:rsid w:val="001B001E"/>
    <w:rsid w:val="001B16F9"/>
    <w:rsid w:val="001B230D"/>
    <w:rsid w:val="001B26CB"/>
    <w:rsid w:val="001B38D4"/>
    <w:rsid w:val="001B4E55"/>
    <w:rsid w:val="001B68EA"/>
    <w:rsid w:val="001B71A7"/>
    <w:rsid w:val="001B7365"/>
    <w:rsid w:val="001B766C"/>
    <w:rsid w:val="001B77B1"/>
    <w:rsid w:val="001C0AF7"/>
    <w:rsid w:val="001C2B44"/>
    <w:rsid w:val="001C3A5E"/>
    <w:rsid w:val="001C3EEB"/>
    <w:rsid w:val="001C51C1"/>
    <w:rsid w:val="001C5B65"/>
    <w:rsid w:val="001C6EA8"/>
    <w:rsid w:val="001C7CFA"/>
    <w:rsid w:val="001C7D2F"/>
    <w:rsid w:val="001D10CE"/>
    <w:rsid w:val="001D11D2"/>
    <w:rsid w:val="001D19DA"/>
    <w:rsid w:val="001D208A"/>
    <w:rsid w:val="001D2F50"/>
    <w:rsid w:val="001D4707"/>
    <w:rsid w:val="001D5429"/>
    <w:rsid w:val="001D59F1"/>
    <w:rsid w:val="001D5C71"/>
    <w:rsid w:val="001D5FCE"/>
    <w:rsid w:val="001D5FD6"/>
    <w:rsid w:val="001E03F5"/>
    <w:rsid w:val="001E0704"/>
    <w:rsid w:val="001E0715"/>
    <w:rsid w:val="001E1C00"/>
    <w:rsid w:val="001E27E7"/>
    <w:rsid w:val="001E30A1"/>
    <w:rsid w:val="001E3FD2"/>
    <w:rsid w:val="001E404C"/>
    <w:rsid w:val="001E4575"/>
    <w:rsid w:val="001E473D"/>
    <w:rsid w:val="001E4D29"/>
    <w:rsid w:val="001E7705"/>
    <w:rsid w:val="001E7CBD"/>
    <w:rsid w:val="001F1984"/>
    <w:rsid w:val="001F1CC7"/>
    <w:rsid w:val="001F2BB7"/>
    <w:rsid w:val="001F2CBA"/>
    <w:rsid w:val="001F3566"/>
    <w:rsid w:val="001F4960"/>
    <w:rsid w:val="001F4E2B"/>
    <w:rsid w:val="001F6888"/>
    <w:rsid w:val="001F6DD5"/>
    <w:rsid w:val="001F748F"/>
    <w:rsid w:val="001F7617"/>
    <w:rsid w:val="00201186"/>
    <w:rsid w:val="00201D9A"/>
    <w:rsid w:val="0020251F"/>
    <w:rsid w:val="00203167"/>
    <w:rsid w:val="00203B14"/>
    <w:rsid w:val="00203B94"/>
    <w:rsid w:val="002054B0"/>
    <w:rsid w:val="00205D10"/>
    <w:rsid w:val="002069C8"/>
    <w:rsid w:val="00206D1C"/>
    <w:rsid w:val="002102FC"/>
    <w:rsid w:val="002110F7"/>
    <w:rsid w:val="00211F8C"/>
    <w:rsid w:val="002126EE"/>
    <w:rsid w:val="002146B7"/>
    <w:rsid w:val="00215CAA"/>
    <w:rsid w:val="002200EA"/>
    <w:rsid w:val="00220C0A"/>
    <w:rsid w:val="0022105D"/>
    <w:rsid w:val="0022120D"/>
    <w:rsid w:val="00221A1B"/>
    <w:rsid w:val="002239B9"/>
    <w:rsid w:val="00224151"/>
    <w:rsid w:val="00224743"/>
    <w:rsid w:val="00224DBA"/>
    <w:rsid w:val="00225287"/>
    <w:rsid w:val="00225586"/>
    <w:rsid w:val="002279E2"/>
    <w:rsid w:val="00230A0C"/>
    <w:rsid w:val="0023156C"/>
    <w:rsid w:val="0023221B"/>
    <w:rsid w:val="002326BA"/>
    <w:rsid w:val="00232BEF"/>
    <w:rsid w:val="002333D3"/>
    <w:rsid w:val="002334F7"/>
    <w:rsid w:val="002337EE"/>
    <w:rsid w:val="00234133"/>
    <w:rsid w:val="00236512"/>
    <w:rsid w:val="00236E5E"/>
    <w:rsid w:val="002403A9"/>
    <w:rsid w:val="0024259A"/>
    <w:rsid w:val="00242854"/>
    <w:rsid w:val="0024291B"/>
    <w:rsid w:val="00243F6B"/>
    <w:rsid w:val="00244F9D"/>
    <w:rsid w:val="00246744"/>
    <w:rsid w:val="002477A8"/>
    <w:rsid w:val="00250440"/>
    <w:rsid w:val="00250473"/>
    <w:rsid w:val="00250A1D"/>
    <w:rsid w:val="0025137C"/>
    <w:rsid w:val="00252531"/>
    <w:rsid w:val="00252A69"/>
    <w:rsid w:val="002536C2"/>
    <w:rsid w:val="00253DA0"/>
    <w:rsid w:val="00254645"/>
    <w:rsid w:val="00255261"/>
    <w:rsid w:val="00255B9C"/>
    <w:rsid w:val="00256E33"/>
    <w:rsid w:val="002572E4"/>
    <w:rsid w:val="002600BC"/>
    <w:rsid w:val="002611C6"/>
    <w:rsid w:val="00261649"/>
    <w:rsid w:val="0026203B"/>
    <w:rsid w:val="00264918"/>
    <w:rsid w:val="0026645F"/>
    <w:rsid w:val="00266994"/>
    <w:rsid w:val="00267A1B"/>
    <w:rsid w:val="00267F7B"/>
    <w:rsid w:val="00273363"/>
    <w:rsid w:val="002739E0"/>
    <w:rsid w:val="00274A9F"/>
    <w:rsid w:val="00275967"/>
    <w:rsid w:val="002762AC"/>
    <w:rsid w:val="0027669C"/>
    <w:rsid w:val="00276F9B"/>
    <w:rsid w:val="0027732C"/>
    <w:rsid w:val="00277ACC"/>
    <w:rsid w:val="00277BDF"/>
    <w:rsid w:val="002800E6"/>
    <w:rsid w:val="00280727"/>
    <w:rsid w:val="00280BB0"/>
    <w:rsid w:val="00282CAC"/>
    <w:rsid w:val="002832C0"/>
    <w:rsid w:val="0028358E"/>
    <w:rsid w:val="00283F57"/>
    <w:rsid w:val="00285408"/>
    <w:rsid w:val="002855EF"/>
    <w:rsid w:val="002862A4"/>
    <w:rsid w:val="00286EE5"/>
    <w:rsid w:val="002917DE"/>
    <w:rsid w:val="00293D0D"/>
    <w:rsid w:val="0029515B"/>
    <w:rsid w:val="00295456"/>
    <w:rsid w:val="00295CE1"/>
    <w:rsid w:val="00295D28"/>
    <w:rsid w:val="002963AE"/>
    <w:rsid w:val="002965E1"/>
    <w:rsid w:val="002967DC"/>
    <w:rsid w:val="00296EA5"/>
    <w:rsid w:val="00297D3E"/>
    <w:rsid w:val="002A135B"/>
    <w:rsid w:val="002A43C1"/>
    <w:rsid w:val="002A5964"/>
    <w:rsid w:val="002A5A2E"/>
    <w:rsid w:val="002A5B4A"/>
    <w:rsid w:val="002A6CCD"/>
    <w:rsid w:val="002B16BD"/>
    <w:rsid w:val="002B1979"/>
    <w:rsid w:val="002B2C64"/>
    <w:rsid w:val="002B2EC1"/>
    <w:rsid w:val="002B3114"/>
    <w:rsid w:val="002B3259"/>
    <w:rsid w:val="002B59E3"/>
    <w:rsid w:val="002B5B29"/>
    <w:rsid w:val="002C01EA"/>
    <w:rsid w:val="002C080C"/>
    <w:rsid w:val="002C101E"/>
    <w:rsid w:val="002C17D8"/>
    <w:rsid w:val="002C2518"/>
    <w:rsid w:val="002C2E5C"/>
    <w:rsid w:val="002C4067"/>
    <w:rsid w:val="002C4A12"/>
    <w:rsid w:val="002C4A59"/>
    <w:rsid w:val="002C4D20"/>
    <w:rsid w:val="002C5259"/>
    <w:rsid w:val="002D00ED"/>
    <w:rsid w:val="002D095D"/>
    <w:rsid w:val="002D0AA2"/>
    <w:rsid w:val="002D0FA4"/>
    <w:rsid w:val="002D1236"/>
    <w:rsid w:val="002D1E99"/>
    <w:rsid w:val="002D2322"/>
    <w:rsid w:val="002D25A1"/>
    <w:rsid w:val="002D3D62"/>
    <w:rsid w:val="002D3F55"/>
    <w:rsid w:val="002D4883"/>
    <w:rsid w:val="002D5559"/>
    <w:rsid w:val="002D6267"/>
    <w:rsid w:val="002D660F"/>
    <w:rsid w:val="002E0857"/>
    <w:rsid w:val="002E1712"/>
    <w:rsid w:val="002E1B11"/>
    <w:rsid w:val="002E2DB0"/>
    <w:rsid w:val="002E3217"/>
    <w:rsid w:val="002E4347"/>
    <w:rsid w:val="002E62A0"/>
    <w:rsid w:val="002E683A"/>
    <w:rsid w:val="002E6D7A"/>
    <w:rsid w:val="002E7C43"/>
    <w:rsid w:val="002F0D28"/>
    <w:rsid w:val="002F136B"/>
    <w:rsid w:val="002F197F"/>
    <w:rsid w:val="002F4943"/>
    <w:rsid w:val="002F5676"/>
    <w:rsid w:val="002F6A3C"/>
    <w:rsid w:val="002F6C0E"/>
    <w:rsid w:val="00302700"/>
    <w:rsid w:val="0030379F"/>
    <w:rsid w:val="00304AA7"/>
    <w:rsid w:val="00304E1E"/>
    <w:rsid w:val="00305531"/>
    <w:rsid w:val="00305DC4"/>
    <w:rsid w:val="00307AC6"/>
    <w:rsid w:val="003115D1"/>
    <w:rsid w:val="00313FAC"/>
    <w:rsid w:val="00314FDF"/>
    <w:rsid w:val="00315235"/>
    <w:rsid w:val="003159B6"/>
    <w:rsid w:val="003172E9"/>
    <w:rsid w:val="00317A29"/>
    <w:rsid w:val="003200B5"/>
    <w:rsid w:val="003217E2"/>
    <w:rsid w:val="00322224"/>
    <w:rsid w:val="00322721"/>
    <w:rsid w:val="00323784"/>
    <w:rsid w:val="003238EA"/>
    <w:rsid w:val="0032556F"/>
    <w:rsid w:val="003257F8"/>
    <w:rsid w:val="00325E28"/>
    <w:rsid w:val="0032685C"/>
    <w:rsid w:val="003268FD"/>
    <w:rsid w:val="00330706"/>
    <w:rsid w:val="00331058"/>
    <w:rsid w:val="00332768"/>
    <w:rsid w:val="00332AE4"/>
    <w:rsid w:val="00333A81"/>
    <w:rsid w:val="00333F25"/>
    <w:rsid w:val="003343D0"/>
    <w:rsid w:val="00334445"/>
    <w:rsid w:val="00335603"/>
    <w:rsid w:val="00335A4B"/>
    <w:rsid w:val="00335B0A"/>
    <w:rsid w:val="0033609B"/>
    <w:rsid w:val="00336A5E"/>
    <w:rsid w:val="00336AA5"/>
    <w:rsid w:val="00336C40"/>
    <w:rsid w:val="003375B3"/>
    <w:rsid w:val="00340931"/>
    <w:rsid w:val="00341B09"/>
    <w:rsid w:val="00341B9A"/>
    <w:rsid w:val="003422BF"/>
    <w:rsid w:val="0034690A"/>
    <w:rsid w:val="00347E15"/>
    <w:rsid w:val="003500BC"/>
    <w:rsid w:val="003502C9"/>
    <w:rsid w:val="003502D5"/>
    <w:rsid w:val="00350DEA"/>
    <w:rsid w:val="003514DE"/>
    <w:rsid w:val="003516AB"/>
    <w:rsid w:val="003518ED"/>
    <w:rsid w:val="00353327"/>
    <w:rsid w:val="0035387E"/>
    <w:rsid w:val="00353B95"/>
    <w:rsid w:val="00354FCC"/>
    <w:rsid w:val="00355BA1"/>
    <w:rsid w:val="003563C1"/>
    <w:rsid w:val="00356F18"/>
    <w:rsid w:val="00362513"/>
    <w:rsid w:val="00365DCB"/>
    <w:rsid w:val="00366DB7"/>
    <w:rsid w:val="00367134"/>
    <w:rsid w:val="00367551"/>
    <w:rsid w:val="003678A1"/>
    <w:rsid w:val="00367FCC"/>
    <w:rsid w:val="00370BAE"/>
    <w:rsid w:val="003725D8"/>
    <w:rsid w:val="003728D7"/>
    <w:rsid w:val="00374C90"/>
    <w:rsid w:val="003756C6"/>
    <w:rsid w:val="00376871"/>
    <w:rsid w:val="00376E2C"/>
    <w:rsid w:val="00380053"/>
    <w:rsid w:val="0038016A"/>
    <w:rsid w:val="00381962"/>
    <w:rsid w:val="003839D2"/>
    <w:rsid w:val="00384B3A"/>
    <w:rsid w:val="00385261"/>
    <w:rsid w:val="003859AA"/>
    <w:rsid w:val="0038667F"/>
    <w:rsid w:val="003877FD"/>
    <w:rsid w:val="0039011C"/>
    <w:rsid w:val="0039047C"/>
    <w:rsid w:val="0039102D"/>
    <w:rsid w:val="0039106B"/>
    <w:rsid w:val="003952EE"/>
    <w:rsid w:val="00395CC2"/>
    <w:rsid w:val="003964D9"/>
    <w:rsid w:val="00397011"/>
    <w:rsid w:val="003A1099"/>
    <w:rsid w:val="003A1899"/>
    <w:rsid w:val="003A1BA0"/>
    <w:rsid w:val="003A294C"/>
    <w:rsid w:val="003A2E6C"/>
    <w:rsid w:val="003A440F"/>
    <w:rsid w:val="003A4932"/>
    <w:rsid w:val="003A7BDC"/>
    <w:rsid w:val="003A7E17"/>
    <w:rsid w:val="003B0F3B"/>
    <w:rsid w:val="003B1058"/>
    <w:rsid w:val="003B12B5"/>
    <w:rsid w:val="003B332D"/>
    <w:rsid w:val="003B3610"/>
    <w:rsid w:val="003B4D6F"/>
    <w:rsid w:val="003B4DE1"/>
    <w:rsid w:val="003B5159"/>
    <w:rsid w:val="003B6C1F"/>
    <w:rsid w:val="003C049C"/>
    <w:rsid w:val="003C06D0"/>
    <w:rsid w:val="003C2566"/>
    <w:rsid w:val="003C4B9C"/>
    <w:rsid w:val="003C4ED7"/>
    <w:rsid w:val="003C51AC"/>
    <w:rsid w:val="003C6060"/>
    <w:rsid w:val="003C60B4"/>
    <w:rsid w:val="003C63DC"/>
    <w:rsid w:val="003D01FD"/>
    <w:rsid w:val="003D0C09"/>
    <w:rsid w:val="003D12D2"/>
    <w:rsid w:val="003D3116"/>
    <w:rsid w:val="003D3149"/>
    <w:rsid w:val="003D343F"/>
    <w:rsid w:val="003D3DD7"/>
    <w:rsid w:val="003D4971"/>
    <w:rsid w:val="003D54E3"/>
    <w:rsid w:val="003D69B6"/>
    <w:rsid w:val="003D6D3F"/>
    <w:rsid w:val="003E17A5"/>
    <w:rsid w:val="003E187D"/>
    <w:rsid w:val="003E195A"/>
    <w:rsid w:val="003E1E54"/>
    <w:rsid w:val="003E2B05"/>
    <w:rsid w:val="003E3169"/>
    <w:rsid w:val="003E318E"/>
    <w:rsid w:val="003E330F"/>
    <w:rsid w:val="003E43C6"/>
    <w:rsid w:val="003E4EEF"/>
    <w:rsid w:val="003E6DF1"/>
    <w:rsid w:val="003F083F"/>
    <w:rsid w:val="003F0860"/>
    <w:rsid w:val="003F2184"/>
    <w:rsid w:val="003F2AA1"/>
    <w:rsid w:val="003F3048"/>
    <w:rsid w:val="003F3593"/>
    <w:rsid w:val="003F48FE"/>
    <w:rsid w:val="003F53D6"/>
    <w:rsid w:val="003F5807"/>
    <w:rsid w:val="003F609C"/>
    <w:rsid w:val="003F7019"/>
    <w:rsid w:val="00400D13"/>
    <w:rsid w:val="004016ED"/>
    <w:rsid w:val="00401D56"/>
    <w:rsid w:val="004032CC"/>
    <w:rsid w:val="0040367F"/>
    <w:rsid w:val="00404C83"/>
    <w:rsid w:val="00404E13"/>
    <w:rsid w:val="00404F75"/>
    <w:rsid w:val="0040533A"/>
    <w:rsid w:val="004059C2"/>
    <w:rsid w:val="00405C84"/>
    <w:rsid w:val="004063C7"/>
    <w:rsid w:val="00406D4A"/>
    <w:rsid w:val="00407177"/>
    <w:rsid w:val="00407C06"/>
    <w:rsid w:val="00410A40"/>
    <w:rsid w:val="00410BD8"/>
    <w:rsid w:val="004119DA"/>
    <w:rsid w:val="00413856"/>
    <w:rsid w:val="00414DFF"/>
    <w:rsid w:val="00415213"/>
    <w:rsid w:val="00415C5C"/>
    <w:rsid w:val="00417CA1"/>
    <w:rsid w:val="00417FF3"/>
    <w:rsid w:val="00420B0B"/>
    <w:rsid w:val="0042239A"/>
    <w:rsid w:val="00423DD4"/>
    <w:rsid w:val="00424015"/>
    <w:rsid w:val="00430185"/>
    <w:rsid w:val="00430812"/>
    <w:rsid w:val="004309C6"/>
    <w:rsid w:val="00430BB3"/>
    <w:rsid w:val="00431ECA"/>
    <w:rsid w:val="00432520"/>
    <w:rsid w:val="00433E5A"/>
    <w:rsid w:val="00434B59"/>
    <w:rsid w:val="00434DFC"/>
    <w:rsid w:val="00434F0A"/>
    <w:rsid w:val="00434F0B"/>
    <w:rsid w:val="004359B3"/>
    <w:rsid w:val="004369C5"/>
    <w:rsid w:val="00437609"/>
    <w:rsid w:val="00437674"/>
    <w:rsid w:val="004379F0"/>
    <w:rsid w:val="00440B35"/>
    <w:rsid w:val="00443CCD"/>
    <w:rsid w:val="00443EA6"/>
    <w:rsid w:val="0044559F"/>
    <w:rsid w:val="00445CF8"/>
    <w:rsid w:val="00446B6B"/>
    <w:rsid w:val="00446F02"/>
    <w:rsid w:val="004476BE"/>
    <w:rsid w:val="00447A49"/>
    <w:rsid w:val="00447C40"/>
    <w:rsid w:val="004505D3"/>
    <w:rsid w:val="00451451"/>
    <w:rsid w:val="00451AA2"/>
    <w:rsid w:val="00452274"/>
    <w:rsid w:val="00452470"/>
    <w:rsid w:val="00452564"/>
    <w:rsid w:val="004530EB"/>
    <w:rsid w:val="00454E0B"/>
    <w:rsid w:val="0045559B"/>
    <w:rsid w:val="00455B4C"/>
    <w:rsid w:val="00455E90"/>
    <w:rsid w:val="00455F5A"/>
    <w:rsid w:val="004570D4"/>
    <w:rsid w:val="004577EB"/>
    <w:rsid w:val="00460B25"/>
    <w:rsid w:val="0046266D"/>
    <w:rsid w:val="004632B6"/>
    <w:rsid w:val="00463D7B"/>
    <w:rsid w:val="00464408"/>
    <w:rsid w:val="00464F46"/>
    <w:rsid w:val="004676AD"/>
    <w:rsid w:val="00470222"/>
    <w:rsid w:val="004718BF"/>
    <w:rsid w:val="00471909"/>
    <w:rsid w:val="00471BCA"/>
    <w:rsid w:val="0047201F"/>
    <w:rsid w:val="004736E1"/>
    <w:rsid w:val="00474003"/>
    <w:rsid w:val="00474B42"/>
    <w:rsid w:val="00474B8B"/>
    <w:rsid w:val="004754E8"/>
    <w:rsid w:val="00475710"/>
    <w:rsid w:val="004771B8"/>
    <w:rsid w:val="00477343"/>
    <w:rsid w:val="004773B4"/>
    <w:rsid w:val="00480768"/>
    <w:rsid w:val="004844BB"/>
    <w:rsid w:val="004855AF"/>
    <w:rsid w:val="004857B0"/>
    <w:rsid w:val="00486502"/>
    <w:rsid w:val="00486705"/>
    <w:rsid w:val="00486932"/>
    <w:rsid w:val="0048775C"/>
    <w:rsid w:val="00487D94"/>
    <w:rsid w:val="00491D97"/>
    <w:rsid w:val="00492C9B"/>
    <w:rsid w:val="00492ED8"/>
    <w:rsid w:val="00493071"/>
    <w:rsid w:val="004930B9"/>
    <w:rsid w:val="00493D4E"/>
    <w:rsid w:val="004947D6"/>
    <w:rsid w:val="0049481E"/>
    <w:rsid w:val="00494977"/>
    <w:rsid w:val="00494EF9"/>
    <w:rsid w:val="00495C9E"/>
    <w:rsid w:val="00497F7B"/>
    <w:rsid w:val="004A3BC9"/>
    <w:rsid w:val="004A4BD9"/>
    <w:rsid w:val="004A4F4C"/>
    <w:rsid w:val="004A6317"/>
    <w:rsid w:val="004A67AE"/>
    <w:rsid w:val="004A757D"/>
    <w:rsid w:val="004A7EBC"/>
    <w:rsid w:val="004B0DF1"/>
    <w:rsid w:val="004B2318"/>
    <w:rsid w:val="004B2CB0"/>
    <w:rsid w:val="004B3DCA"/>
    <w:rsid w:val="004B4118"/>
    <w:rsid w:val="004B4356"/>
    <w:rsid w:val="004B458A"/>
    <w:rsid w:val="004B479E"/>
    <w:rsid w:val="004B4EE2"/>
    <w:rsid w:val="004B590A"/>
    <w:rsid w:val="004B5983"/>
    <w:rsid w:val="004B60B6"/>
    <w:rsid w:val="004B6F5D"/>
    <w:rsid w:val="004B7556"/>
    <w:rsid w:val="004B7765"/>
    <w:rsid w:val="004C0C67"/>
    <w:rsid w:val="004C1659"/>
    <w:rsid w:val="004C2DAB"/>
    <w:rsid w:val="004C69D9"/>
    <w:rsid w:val="004D1558"/>
    <w:rsid w:val="004D1A81"/>
    <w:rsid w:val="004D1E14"/>
    <w:rsid w:val="004D1F22"/>
    <w:rsid w:val="004D354E"/>
    <w:rsid w:val="004D548D"/>
    <w:rsid w:val="004D6E20"/>
    <w:rsid w:val="004D7C5E"/>
    <w:rsid w:val="004E084D"/>
    <w:rsid w:val="004E0BA6"/>
    <w:rsid w:val="004E1098"/>
    <w:rsid w:val="004E158B"/>
    <w:rsid w:val="004E1BE1"/>
    <w:rsid w:val="004E3718"/>
    <w:rsid w:val="004E37AB"/>
    <w:rsid w:val="004E3904"/>
    <w:rsid w:val="004E4DA8"/>
    <w:rsid w:val="004E5611"/>
    <w:rsid w:val="004E5A70"/>
    <w:rsid w:val="004E6D24"/>
    <w:rsid w:val="004F033E"/>
    <w:rsid w:val="004F0558"/>
    <w:rsid w:val="004F0CF8"/>
    <w:rsid w:val="004F321F"/>
    <w:rsid w:val="004F356E"/>
    <w:rsid w:val="004F43C0"/>
    <w:rsid w:val="004F4FF6"/>
    <w:rsid w:val="004F72D4"/>
    <w:rsid w:val="00500C3C"/>
    <w:rsid w:val="00501C04"/>
    <w:rsid w:val="0050223B"/>
    <w:rsid w:val="00502C6F"/>
    <w:rsid w:val="00502C7B"/>
    <w:rsid w:val="00503E49"/>
    <w:rsid w:val="00504C49"/>
    <w:rsid w:val="00506130"/>
    <w:rsid w:val="00506B98"/>
    <w:rsid w:val="00506BAB"/>
    <w:rsid w:val="00506D6A"/>
    <w:rsid w:val="005071BB"/>
    <w:rsid w:val="00507CB5"/>
    <w:rsid w:val="00511616"/>
    <w:rsid w:val="00511AF9"/>
    <w:rsid w:val="00512067"/>
    <w:rsid w:val="00514B20"/>
    <w:rsid w:val="005164A0"/>
    <w:rsid w:val="00516AB3"/>
    <w:rsid w:val="005171F4"/>
    <w:rsid w:val="0052034B"/>
    <w:rsid w:val="0052114A"/>
    <w:rsid w:val="005214CB"/>
    <w:rsid w:val="0052227E"/>
    <w:rsid w:val="00523402"/>
    <w:rsid w:val="00524757"/>
    <w:rsid w:val="00524E35"/>
    <w:rsid w:val="005261E5"/>
    <w:rsid w:val="00527057"/>
    <w:rsid w:val="005275DD"/>
    <w:rsid w:val="00530135"/>
    <w:rsid w:val="00530235"/>
    <w:rsid w:val="00532AD2"/>
    <w:rsid w:val="005332D5"/>
    <w:rsid w:val="00534335"/>
    <w:rsid w:val="0053483E"/>
    <w:rsid w:val="00535366"/>
    <w:rsid w:val="00535515"/>
    <w:rsid w:val="0053790B"/>
    <w:rsid w:val="0053795A"/>
    <w:rsid w:val="00540898"/>
    <w:rsid w:val="00540DF5"/>
    <w:rsid w:val="00541687"/>
    <w:rsid w:val="0054264F"/>
    <w:rsid w:val="005431DD"/>
    <w:rsid w:val="0054343D"/>
    <w:rsid w:val="0054433B"/>
    <w:rsid w:val="005448B1"/>
    <w:rsid w:val="00544A24"/>
    <w:rsid w:val="00544A79"/>
    <w:rsid w:val="00544E6F"/>
    <w:rsid w:val="00544EAE"/>
    <w:rsid w:val="00546933"/>
    <w:rsid w:val="00547793"/>
    <w:rsid w:val="00547E4C"/>
    <w:rsid w:val="00550DAD"/>
    <w:rsid w:val="00551A87"/>
    <w:rsid w:val="00552508"/>
    <w:rsid w:val="00552823"/>
    <w:rsid w:val="00552C1B"/>
    <w:rsid w:val="00552ED5"/>
    <w:rsid w:val="00554932"/>
    <w:rsid w:val="005559B2"/>
    <w:rsid w:val="00555F1C"/>
    <w:rsid w:val="005568EA"/>
    <w:rsid w:val="005610F3"/>
    <w:rsid w:val="005618D5"/>
    <w:rsid w:val="00562BC9"/>
    <w:rsid w:val="00565043"/>
    <w:rsid w:val="005653A6"/>
    <w:rsid w:val="00565885"/>
    <w:rsid w:val="005669AC"/>
    <w:rsid w:val="00570892"/>
    <w:rsid w:val="00570B24"/>
    <w:rsid w:val="005719BE"/>
    <w:rsid w:val="005722C2"/>
    <w:rsid w:val="00572EF7"/>
    <w:rsid w:val="005738B7"/>
    <w:rsid w:val="00573D31"/>
    <w:rsid w:val="0057423C"/>
    <w:rsid w:val="00574AB2"/>
    <w:rsid w:val="00574EA8"/>
    <w:rsid w:val="00576CC5"/>
    <w:rsid w:val="00580669"/>
    <w:rsid w:val="005816E3"/>
    <w:rsid w:val="00581737"/>
    <w:rsid w:val="005835C3"/>
    <w:rsid w:val="005862C1"/>
    <w:rsid w:val="00586338"/>
    <w:rsid w:val="0058684B"/>
    <w:rsid w:val="0058783E"/>
    <w:rsid w:val="0059059A"/>
    <w:rsid w:val="00591A5B"/>
    <w:rsid w:val="00592081"/>
    <w:rsid w:val="005939D3"/>
    <w:rsid w:val="00593D33"/>
    <w:rsid w:val="00594E38"/>
    <w:rsid w:val="0059552B"/>
    <w:rsid w:val="005958FF"/>
    <w:rsid w:val="00595F43"/>
    <w:rsid w:val="00596096"/>
    <w:rsid w:val="00596722"/>
    <w:rsid w:val="0059777C"/>
    <w:rsid w:val="00597A39"/>
    <w:rsid w:val="00597BF6"/>
    <w:rsid w:val="005A0ADB"/>
    <w:rsid w:val="005A0B96"/>
    <w:rsid w:val="005A4712"/>
    <w:rsid w:val="005A484C"/>
    <w:rsid w:val="005A4D92"/>
    <w:rsid w:val="005A4F0F"/>
    <w:rsid w:val="005A54CB"/>
    <w:rsid w:val="005A5871"/>
    <w:rsid w:val="005A5D70"/>
    <w:rsid w:val="005A6848"/>
    <w:rsid w:val="005A7488"/>
    <w:rsid w:val="005A779D"/>
    <w:rsid w:val="005B0C74"/>
    <w:rsid w:val="005B18A7"/>
    <w:rsid w:val="005B2D14"/>
    <w:rsid w:val="005B2F02"/>
    <w:rsid w:val="005B55F2"/>
    <w:rsid w:val="005B5F62"/>
    <w:rsid w:val="005B609C"/>
    <w:rsid w:val="005B6109"/>
    <w:rsid w:val="005B624A"/>
    <w:rsid w:val="005B6D0A"/>
    <w:rsid w:val="005B6DFC"/>
    <w:rsid w:val="005B7498"/>
    <w:rsid w:val="005B75E3"/>
    <w:rsid w:val="005C05AA"/>
    <w:rsid w:val="005C1D43"/>
    <w:rsid w:val="005C2478"/>
    <w:rsid w:val="005C2C43"/>
    <w:rsid w:val="005C647F"/>
    <w:rsid w:val="005C6E01"/>
    <w:rsid w:val="005C727A"/>
    <w:rsid w:val="005C7465"/>
    <w:rsid w:val="005C7DF8"/>
    <w:rsid w:val="005D15DB"/>
    <w:rsid w:val="005D228E"/>
    <w:rsid w:val="005D2633"/>
    <w:rsid w:val="005D2930"/>
    <w:rsid w:val="005D29B9"/>
    <w:rsid w:val="005D3098"/>
    <w:rsid w:val="005D3822"/>
    <w:rsid w:val="005D3ABC"/>
    <w:rsid w:val="005D3E60"/>
    <w:rsid w:val="005D4607"/>
    <w:rsid w:val="005D5789"/>
    <w:rsid w:val="005D6C16"/>
    <w:rsid w:val="005D708B"/>
    <w:rsid w:val="005D79E3"/>
    <w:rsid w:val="005D7D87"/>
    <w:rsid w:val="005D7EAA"/>
    <w:rsid w:val="005D7EC4"/>
    <w:rsid w:val="005E08C0"/>
    <w:rsid w:val="005E1A73"/>
    <w:rsid w:val="005E1CF3"/>
    <w:rsid w:val="005E1EFE"/>
    <w:rsid w:val="005E216C"/>
    <w:rsid w:val="005E2FE1"/>
    <w:rsid w:val="005E344C"/>
    <w:rsid w:val="005E394A"/>
    <w:rsid w:val="005E3BCA"/>
    <w:rsid w:val="005E426C"/>
    <w:rsid w:val="005E4ABE"/>
    <w:rsid w:val="005E51E2"/>
    <w:rsid w:val="005E58D5"/>
    <w:rsid w:val="005E5B18"/>
    <w:rsid w:val="005E7607"/>
    <w:rsid w:val="005F0424"/>
    <w:rsid w:val="005F1D61"/>
    <w:rsid w:val="005F2135"/>
    <w:rsid w:val="005F3B4E"/>
    <w:rsid w:val="005F6454"/>
    <w:rsid w:val="005F650B"/>
    <w:rsid w:val="005F65B8"/>
    <w:rsid w:val="005F6FC6"/>
    <w:rsid w:val="00600637"/>
    <w:rsid w:val="0060083B"/>
    <w:rsid w:val="006008BE"/>
    <w:rsid w:val="00601814"/>
    <w:rsid w:val="006026C7"/>
    <w:rsid w:val="006040A1"/>
    <w:rsid w:val="006053E4"/>
    <w:rsid w:val="0060716F"/>
    <w:rsid w:val="00607691"/>
    <w:rsid w:val="006104BC"/>
    <w:rsid w:val="006108CA"/>
    <w:rsid w:val="0061270B"/>
    <w:rsid w:val="00612FC6"/>
    <w:rsid w:val="00614C43"/>
    <w:rsid w:val="00614C65"/>
    <w:rsid w:val="006156C9"/>
    <w:rsid w:val="006169B8"/>
    <w:rsid w:val="006175A3"/>
    <w:rsid w:val="0061768C"/>
    <w:rsid w:val="00620989"/>
    <w:rsid w:val="00621468"/>
    <w:rsid w:val="00622248"/>
    <w:rsid w:val="0062247B"/>
    <w:rsid w:val="00623696"/>
    <w:rsid w:val="0062395A"/>
    <w:rsid w:val="00623E8E"/>
    <w:rsid w:val="00624A7B"/>
    <w:rsid w:val="00624B24"/>
    <w:rsid w:val="0063106F"/>
    <w:rsid w:val="00631DD2"/>
    <w:rsid w:val="006322FE"/>
    <w:rsid w:val="00632F22"/>
    <w:rsid w:val="00633F24"/>
    <w:rsid w:val="00634119"/>
    <w:rsid w:val="00634D14"/>
    <w:rsid w:val="0063513B"/>
    <w:rsid w:val="0063514D"/>
    <w:rsid w:val="00635418"/>
    <w:rsid w:val="00635D03"/>
    <w:rsid w:val="006361A7"/>
    <w:rsid w:val="006363A2"/>
    <w:rsid w:val="00636617"/>
    <w:rsid w:val="006369A9"/>
    <w:rsid w:val="0063755E"/>
    <w:rsid w:val="00637E3C"/>
    <w:rsid w:val="0064015A"/>
    <w:rsid w:val="0064193F"/>
    <w:rsid w:val="0064198C"/>
    <w:rsid w:val="00641D10"/>
    <w:rsid w:val="00641FE2"/>
    <w:rsid w:val="00642834"/>
    <w:rsid w:val="00644496"/>
    <w:rsid w:val="00644A05"/>
    <w:rsid w:val="00644A8F"/>
    <w:rsid w:val="00645C8E"/>
    <w:rsid w:val="00645FBE"/>
    <w:rsid w:val="006509AD"/>
    <w:rsid w:val="00650A1D"/>
    <w:rsid w:val="00652422"/>
    <w:rsid w:val="00652507"/>
    <w:rsid w:val="00652824"/>
    <w:rsid w:val="00652A73"/>
    <w:rsid w:val="00652F24"/>
    <w:rsid w:val="00654059"/>
    <w:rsid w:val="0065475D"/>
    <w:rsid w:val="00654ADC"/>
    <w:rsid w:val="00657118"/>
    <w:rsid w:val="00660085"/>
    <w:rsid w:val="0066101D"/>
    <w:rsid w:val="0066105F"/>
    <w:rsid w:val="00662566"/>
    <w:rsid w:val="00664528"/>
    <w:rsid w:val="006662AD"/>
    <w:rsid w:val="00667CB6"/>
    <w:rsid w:val="0067280B"/>
    <w:rsid w:val="00674E85"/>
    <w:rsid w:val="00675CDA"/>
    <w:rsid w:val="00675EB1"/>
    <w:rsid w:val="006764F4"/>
    <w:rsid w:val="0067677B"/>
    <w:rsid w:val="006773CC"/>
    <w:rsid w:val="0068122C"/>
    <w:rsid w:val="00681D65"/>
    <w:rsid w:val="00687FFA"/>
    <w:rsid w:val="0069121C"/>
    <w:rsid w:val="0069126A"/>
    <w:rsid w:val="006913BE"/>
    <w:rsid w:val="0069143A"/>
    <w:rsid w:val="0069212C"/>
    <w:rsid w:val="0069225F"/>
    <w:rsid w:val="00693472"/>
    <w:rsid w:val="00693829"/>
    <w:rsid w:val="00694504"/>
    <w:rsid w:val="006945BA"/>
    <w:rsid w:val="00694DE7"/>
    <w:rsid w:val="006951AF"/>
    <w:rsid w:val="0069529C"/>
    <w:rsid w:val="00695689"/>
    <w:rsid w:val="006959B1"/>
    <w:rsid w:val="0069718E"/>
    <w:rsid w:val="006A0757"/>
    <w:rsid w:val="006A087F"/>
    <w:rsid w:val="006A1180"/>
    <w:rsid w:val="006A119D"/>
    <w:rsid w:val="006A1E3E"/>
    <w:rsid w:val="006A2E1B"/>
    <w:rsid w:val="006A360F"/>
    <w:rsid w:val="006A40BE"/>
    <w:rsid w:val="006A48EF"/>
    <w:rsid w:val="006A69EE"/>
    <w:rsid w:val="006A6C62"/>
    <w:rsid w:val="006A7E65"/>
    <w:rsid w:val="006B0114"/>
    <w:rsid w:val="006B02C8"/>
    <w:rsid w:val="006B155C"/>
    <w:rsid w:val="006B1EA1"/>
    <w:rsid w:val="006B2028"/>
    <w:rsid w:val="006B281F"/>
    <w:rsid w:val="006B3369"/>
    <w:rsid w:val="006B38A0"/>
    <w:rsid w:val="006B3A1E"/>
    <w:rsid w:val="006B3F69"/>
    <w:rsid w:val="006B4235"/>
    <w:rsid w:val="006B4584"/>
    <w:rsid w:val="006B4DCA"/>
    <w:rsid w:val="006B5192"/>
    <w:rsid w:val="006B5319"/>
    <w:rsid w:val="006B6ACA"/>
    <w:rsid w:val="006C0151"/>
    <w:rsid w:val="006C2082"/>
    <w:rsid w:val="006C243B"/>
    <w:rsid w:val="006C2CDA"/>
    <w:rsid w:val="006C3D71"/>
    <w:rsid w:val="006C3FDC"/>
    <w:rsid w:val="006C4522"/>
    <w:rsid w:val="006C4B32"/>
    <w:rsid w:val="006C56A0"/>
    <w:rsid w:val="006C6756"/>
    <w:rsid w:val="006C714D"/>
    <w:rsid w:val="006C7AEA"/>
    <w:rsid w:val="006D0175"/>
    <w:rsid w:val="006D1942"/>
    <w:rsid w:val="006D2B2A"/>
    <w:rsid w:val="006D389B"/>
    <w:rsid w:val="006D3F1D"/>
    <w:rsid w:val="006E028D"/>
    <w:rsid w:val="006E105B"/>
    <w:rsid w:val="006E2DDB"/>
    <w:rsid w:val="006E36C1"/>
    <w:rsid w:val="006E4133"/>
    <w:rsid w:val="006E4AA0"/>
    <w:rsid w:val="006E6201"/>
    <w:rsid w:val="006E7328"/>
    <w:rsid w:val="006E740E"/>
    <w:rsid w:val="006E74EF"/>
    <w:rsid w:val="006E7AAE"/>
    <w:rsid w:val="006E7C80"/>
    <w:rsid w:val="006E7D6D"/>
    <w:rsid w:val="006F0817"/>
    <w:rsid w:val="006F13CB"/>
    <w:rsid w:val="006F2449"/>
    <w:rsid w:val="006F2458"/>
    <w:rsid w:val="006F34AD"/>
    <w:rsid w:val="006F357F"/>
    <w:rsid w:val="006F369E"/>
    <w:rsid w:val="006F5653"/>
    <w:rsid w:val="006F754E"/>
    <w:rsid w:val="0070028F"/>
    <w:rsid w:val="007005BA"/>
    <w:rsid w:val="0070063B"/>
    <w:rsid w:val="007019EF"/>
    <w:rsid w:val="0070255E"/>
    <w:rsid w:val="00702EE1"/>
    <w:rsid w:val="0070380A"/>
    <w:rsid w:val="00703875"/>
    <w:rsid w:val="00703B1A"/>
    <w:rsid w:val="00704ADD"/>
    <w:rsid w:val="00704E3C"/>
    <w:rsid w:val="007050E3"/>
    <w:rsid w:val="0070534F"/>
    <w:rsid w:val="00705404"/>
    <w:rsid w:val="0070698B"/>
    <w:rsid w:val="00707595"/>
    <w:rsid w:val="00710C38"/>
    <w:rsid w:val="00711E96"/>
    <w:rsid w:val="007120C5"/>
    <w:rsid w:val="007122EB"/>
    <w:rsid w:val="00712451"/>
    <w:rsid w:val="0071271D"/>
    <w:rsid w:val="007127FC"/>
    <w:rsid w:val="00712985"/>
    <w:rsid w:val="00713745"/>
    <w:rsid w:val="00715019"/>
    <w:rsid w:val="00715510"/>
    <w:rsid w:val="00715918"/>
    <w:rsid w:val="00716E15"/>
    <w:rsid w:val="00717486"/>
    <w:rsid w:val="007204F2"/>
    <w:rsid w:val="00721D30"/>
    <w:rsid w:val="007226B9"/>
    <w:rsid w:val="0072458C"/>
    <w:rsid w:val="00725570"/>
    <w:rsid w:val="00727C71"/>
    <w:rsid w:val="00730260"/>
    <w:rsid w:val="007302C0"/>
    <w:rsid w:val="007316AF"/>
    <w:rsid w:val="00731722"/>
    <w:rsid w:val="007327C8"/>
    <w:rsid w:val="00732814"/>
    <w:rsid w:val="00732C13"/>
    <w:rsid w:val="0073466A"/>
    <w:rsid w:val="00734FF5"/>
    <w:rsid w:val="00735463"/>
    <w:rsid w:val="00736050"/>
    <w:rsid w:val="0073615A"/>
    <w:rsid w:val="007368C4"/>
    <w:rsid w:val="007379E0"/>
    <w:rsid w:val="00737A5A"/>
    <w:rsid w:val="00741057"/>
    <w:rsid w:val="0074167C"/>
    <w:rsid w:val="00741708"/>
    <w:rsid w:val="00742B4E"/>
    <w:rsid w:val="00743887"/>
    <w:rsid w:val="0074400C"/>
    <w:rsid w:val="007440B2"/>
    <w:rsid w:val="00744769"/>
    <w:rsid w:val="00744DE3"/>
    <w:rsid w:val="00744EF2"/>
    <w:rsid w:val="007459A1"/>
    <w:rsid w:val="00746923"/>
    <w:rsid w:val="007472B7"/>
    <w:rsid w:val="007474E7"/>
    <w:rsid w:val="007474F4"/>
    <w:rsid w:val="00750259"/>
    <w:rsid w:val="00751CF7"/>
    <w:rsid w:val="007527C1"/>
    <w:rsid w:val="00753BD5"/>
    <w:rsid w:val="00755F8C"/>
    <w:rsid w:val="00757DE6"/>
    <w:rsid w:val="00757E20"/>
    <w:rsid w:val="00761EB3"/>
    <w:rsid w:val="0076279A"/>
    <w:rsid w:val="00762AC5"/>
    <w:rsid w:val="00762B8E"/>
    <w:rsid w:val="00762D68"/>
    <w:rsid w:val="00763CAA"/>
    <w:rsid w:val="007644EB"/>
    <w:rsid w:val="00764A1B"/>
    <w:rsid w:val="00767097"/>
    <w:rsid w:val="007672C0"/>
    <w:rsid w:val="00767B8E"/>
    <w:rsid w:val="007700BE"/>
    <w:rsid w:val="00770624"/>
    <w:rsid w:val="007706F5"/>
    <w:rsid w:val="007720FB"/>
    <w:rsid w:val="00773778"/>
    <w:rsid w:val="00774AD9"/>
    <w:rsid w:val="00775E72"/>
    <w:rsid w:val="0077785E"/>
    <w:rsid w:val="0078091A"/>
    <w:rsid w:val="00781068"/>
    <w:rsid w:val="0078198E"/>
    <w:rsid w:val="0078243D"/>
    <w:rsid w:val="00782AEB"/>
    <w:rsid w:val="0078314A"/>
    <w:rsid w:val="0078323A"/>
    <w:rsid w:val="00783397"/>
    <w:rsid w:val="00783636"/>
    <w:rsid w:val="007841B7"/>
    <w:rsid w:val="00784431"/>
    <w:rsid w:val="00784576"/>
    <w:rsid w:val="007845DD"/>
    <w:rsid w:val="007848CF"/>
    <w:rsid w:val="00785BB4"/>
    <w:rsid w:val="00786ACA"/>
    <w:rsid w:val="00790073"/>
    <w:rsid w:val="007909A4"/>
    <w:rsid w:val="00790DB0"/>
    <w:rsid w:val="0079109D"/>
    <w:rsid w:val="00792786"/>
    <w:rsid w:val="0079431E"/>
    <w:rsid w:val="007946B1"/>
    <w:rsid w:val="007954F0"/>
    <w:rsid w:val="00795C1E"/>
    <w:rsid w:val="00796DE2"/>
    <w:rsid w:val="007A0103"/>
    <w:rsid w:val="007A072C"/>
    <w:rsid w:val="007A089B"/>
    <w:rsid w:val="007A1935"/>
    <w:rsid w:val="007A1B8F"/>
    <w:rsid w:val="007A1D3D"/>
    <w:rsid w:val="007A2F3A"/>
    <w:rsid w:val="007A3A30"/>
    <w:rsid w:val="007A3B85"/>
    <w:rsid w:val="007A47F5"/>
    <w:rsid w:val="007A5584"/>
    <w:rsid w:val="007A586C"/>
    <w:rsid w:val="007A5D73"/>
    <w:rsid w:val="007A6CED"/>
    <w:rsid w:val="007B180D"/>
    <w:rsid w:val="007B25EA"/>
    <w:rsid w:val="007B2F37"/>
    <w:rsid w:val="007B312E"/>
    <w:rsid w:val="007B3F53"/>
    <w:rsid w:val="007B41CD"/>
    <w:rsid w:val="007B432D"/>
    <w:rsid w:val="007B4AB3"/>
    <w:rsid w:val="007B5337"/>
    <w:rsid w:val="007B53D8"/>
    <w:rsid w:val="007B5AED"/>
    <w:rsid w:val="007B72A0"/>
    <w:rsid w:val="007B7566"/>
    <w:rsid w:val="007B7719"/>
    <w:rsid w:val="007C060F"/>
    <w:rsid w:val="007C0978"/>
    <w:rsid w:val="007C0B9F"/>
    <w:rsid w:val="007C1675"/>
    <w:rsid w:val="007C1785"/>
    <w:rsid w:val="007C269D"/>
    <w:rsid w:val="007C36B6"/>
    <w:rsid w:val="007C3997"/>
    <w:rsid w:val="007C3FA7"/>
    <w:rsid w:val="007C4EA7"/>
    <w:rsid w:val="007C61A6"/>
    <w:rsid w:val="007D14A7"/>
    <w:rsid w:val="007D1AFA"/>
    <w:rsid w:val="007D4B6D"/>
    <w:rsid w:val="007D5566"/>
    <w:rsid w:val="007D583A"/>
    <w:rsid w:val="007D7177"/>
    <w:rsid w:val="007D7C25"/>
    <w:rsid w:val="007E0CDE"/>
    <w:rsid w:val="007E1311"/>
    <w:rsid w:val="007E13BF"/>
    <w:rsid w:val="007E26F1"/>
    <w:rsid w:val="007E2A74"/>
    <w:rsid w:val="007E444C"/>
    <w:rsid w:val="007E5A61"/>
    <w:rsid w:val="007E6744"/>
    <w:rsid w:val="007F1689"/>
    <w:rsid w:val="007F22C5"/>
    <w:rsid w:val="007F3A4B"/>
    <w:rsid w:val="007F3ABE"/>
    <w:rsid w:val="007F4437"/>
    <w:rsid w:val="007F618C"/>
    <w:rsid w:val="00800FD8"/>
    <w:rsid w:val="008010C6"/>
    <w:rsid w:val="00801BB2"/>
    <w:rsid w:val="008028FE"/>
    <w:rsid w:val="00803D7A"/>
    <w:rsid w:val="00804D29"/>
    <w:rsid w:val="00804EB7"/>
    <w:rsid w:val="00804F05"/>
    <w:rsid w:val="008050FD"/>
    <w:rsid w:val="0080545E"/>
    <w:rsid w:val="00805866"/>
    <w:rsid w:val="00806661"/>
    <w:rsid w:val="0080773F"/>
    <w:rsid w:val="008112F0"/>
    <w:rsid w:val="00811C47"/>
    <w:rsid w:val="008128E9"/>
    <w:rsid w:val="00812B38"/>
    <w:rsid w:val="008134E0"/>
    <w:rsid w:val="008141BF"/>
    <w:rsid w:val="00814255"/>
    <w:rsid w:val="00814875"/>
    <w:rsid w:val="008148F2"/>
    <w:rsid w:val="00814F03"/>
    <w:rsid w:val="00815DE4"/>
    <w:rsid w:val="0081687B"/>
    <w:rsid w:val="008176C1"/>
    <w:rsid w:val="00817E1F"/>
    <w:rsid w:val="00820DDA"/>
    <w:rsid w:val="008212C9"/>
    <w:rsid w:val="00821B0B"/>
    <w:rsid w:val="00822303"/>
    <w:rsid w:val="00822495"/>
    <w:rsid w:val="008227BF"/>
    <w:rsid w:val="00823225"/>
    <w:rsid w:val="0082509F"/>
    <w:rsid w:val="008255EA"/>
    <w:rsid w:val="00825959"/>
    <w:rsid w:val="00825F06"/>
    <w:rsid w:val="00827619"/>
    <w:rsid w:val="00827790"/>
    <w:rsid w:val="0083050B"/>
    <w:rsid w:val="0083123F"/>
    <w:rsid w:val="00831694"/>
    <w:rsid w:val="00831B91"/>
    <w:rsid w:val="00832CB0"/>
    <w:rsid w:val="008334CC"/>
    <w:rsid w:val="008334E5"/>
    <w:rsid w:val="00833593"/>
    <w:rsid w:val="008350C8"/>
    <w:rsid w:val="00835BB6"/>
    <w:rsid w:val="00835F88"/>
    <w:rsid w:val="00837BBA"/>
    <w:rsid w:val="00840EFE"/>
    <w:rsid w:val="008433FD"/>
    <w:rsid w:val="00843582"/>
    <w:rsid w:val="00843E3F"/>
    <w:rsid w:val="00844C29"/>
    <w:rsid w:val="008460C8"/>
    <w:rsid w:val="00847202"/>
    <w:rsid w:val="00847759"/>
    <w:rsid w:val="00847CC8"/>
    <w:rsid w:val="008502A7"/>
    <w:rsid w:val="0085036E"/>
    <w:rsid w:val="00851821"/>
    <w:rsid w:val="008525DE"/>
    <w:rsid w:val="00852952"/>
    <w:rsid w:val="008534DC"/>
    <w:rsid w:val="00853631"/>
    <w:rsid w:val="0085365A"/>
    <w:rsid w:val="00856B37"/>
    <w:rsid w:val="00856CCB"/>
    <w:rsid w:val="00856EF1"/>
    <w:rsid w:val="008572D9"/>
    <w:rsid w:val="0085767B"/>
    <w:rsid w:val="00857692"/>
    <w:rsid w:val="00857BF6"/>
    <w:rsid w:val="00862605"/>
    <w:rsid w:val="00862701"/>
    <w:rsid w:val="00862A9D"/>
    <w:rsid w:val="00863038"/>
    <w:rsid w:val="0086315C"/>
    <w:rsid w:val="0086338C"/>
    <w:rsid w:val="008633E7"/>
    <w:rsid w:val="00863E0A"/>
    <w:rsid w:val="00865C08"/>
    <w:rsid w:val="008667E5"/>
    <w:rsid w:val="00870526"/>
    <w:rsid w:val="00870FAE"/>
    <w:rsid w:val="00871407"/>
    <w:rsid w:val="00871AE7"/>
    <w:rsid w:val="00873517"/>
    <w:rsid w:val="00874305"/>
    <w:rsid w:val="00874C12"/>
    <w:rsid w:val="00877408"/>
    <w:rsid w:val="00877657"/>
    <w:rsid w:val="00881777"/>
    <w:rsid w:val="00881B01"/>
    <w:rsid w:val="00881E6A"/>
    <w:rsid w:val="008829AE"/>
    <w:rsid w:val="00882B2E"/>
    <w:rsid w:val="008851B0"/>
    <w:rsid w:val="008852F2"/>
    <w:rsid w:val="008856AB"/>
    <w:rsid w:val="00885F20"/>
    <w:rsid w:val="008862C6"/>
    <w:rsid w:val="00887416"/>
    <w:rsid w:val="00887E18"/>
    <w:rsid w:val="00893A3A"/>
    <w:rsid w:val="00893A99"/>
    <w:rsid w:val="00896640"/>
    <w:rsid w:val="008966CC"/>
    <w:rsid w:val="008A1DA1"/>
    <w:rsid w:val="008A2C56"/>
    <w:rsid w:val="008A3863"/>
    <w:rsid w:val="008A415F"/>
    <w:rsid w:val="008A431D"/>
    <w:rsid w:val="008A47B5"/>
    <w:rsid w:val="008A55F1"/>
    <w:rsid w:val="008A5E2A"/>
    <w:rsid w:val="008A6C1D"/>
    <w:rsid w:val="008A76BF"/>
    <w:rsid w:val="008A7719"/>
    <w:rsid w:val="008B18C5"/>
    <w:rsid w:val="008B2331"/>
    <w:rsid w:val="008B2718"/>
    <w:rsid w:val="008B3B03"/>
    <w:rsid w:val="008B4065"/>
    <w:rsid w:val="008B4E60"/>
    <w:rsid w:val="008B6A5C"/>
    <w:rsid w:val="008B7DCD"/>
    <w:rsid w:val="008B7EA1"/>
    <w:rsid w:val="008C013A"/>
    <w:rsid w:val="008C11DD"/>
    <w:rsid w:val="008C1828"/>
    <w:rsid w:val="008C1C9C"/>
    <w:rsid w:val="008C6152"/>
    <w:rsid w:val="008C6C55"/>
    <w:rsid w:val="008C6FC1"/>
    <w:rsid w:val="008C7A94"/>
    <w:rsid w:val="008C7C1C"/>
    <w:rsid w:val="008D0D64"/>
    <w:rsid w:val="008D0FCE"/>
    <w:rsid w:val="008D10D2"/>
    <w:rsid w:val="008D22A5"/>
    <w:rsid w:val="008D35BB"/>
    <w:rsid w:val="008D47E0"/>
    <w:rsid w:val="008D49C1"/>
    <w:rsid w:val="008D4C66"/>
    <w:rsid w:val="008D68DD"/>
    <w:rsid w:val="008E0003"/>
    <w:rsid w:val="008E0E29"/>
    <w:rsid w:val="008E0F3B"/>
    <w:rsid w:val="008E0FF9"/>
    <w:rsid w:val="008E2415"/>
    <w:rsid w:val="008E2BAB"/>
    <w:rsid w:val="008E2D18"/>
    <w:rsid w:val="008E2F80"/>
    <w:rsid w:val="008E3667"/>
    <w:rsid w:val="008E45E3"/>
    <w:rsid w:val="008E4EE4"/>
    <w:rsid w:val="008E6B7D"/>
    <w:rsid w:val="008F01B0"/>
    <w:rsid w:val="008F0594"/>
    <w:rsid w:val="008F0925"/>
    <w:rsid w:val="008F1076"/>
    <w:rsid w:val="008F1C66"/>
    <w:rsid w:val="008F1E71"/>
    <w:rsid w:val="008F2309"/>
    <w:rsid w:val="008F582B"/>
    <w:rsid w:val="008F59FE"/>
    <w:rsid w:val="008F5FE1"/>
    <w:rsid w:val="008F6B43"/>
    <w:rsid w:val="008F6EFE"/>
    <w:rsid w:val="008F7BFA"/>
    <w:rsid w:val="00904C8F"/>
    <w:rsid w:val="009059E0"/>
    <w:rsid w:val="009068C7"/>
    <w:rsid w:val="00906A51"/>
    <w:rsid w:val="00906A8A"/>
    <w:rsid w:val="00906C65"/>
    <w:rsid w:val="009073C9"/>
    <w:rsid w:val="009135F1"/>
    <w:rsid w:val="009146B9"/>
    <w:rsid w:val="00915AB1"/>
    <w:rsid w:val="00916AA8"/>
    <w:rsid w:val="009170A4"/>
    <w:rsid w:val="00917946"/>
    <w:rsid w:val="009206A0"/>
    <w:rsid w:val="009217DB"/>
    <w:rsid w:val="009220AC"/>
    <w:rsid w:val="00922232"/>
    <w:rsid w:val="0092321A"/>
    <w:rsid w:val="00923673"/>
    <w:rsid w:val="00923C8F"/>
    <w:rsid w:val="00925480"/>
    <w:rsid w:val="009255D5"/>
    <w:rsid w:val="00925842"/>
    <w:rsid w:val="00925D22"/>
    <w:rsid w:val="00927CD4"/>
    <w:rsid w:val="00930B72"/>
    <w:rsid w:val="009328D9"/>
    <w:rsid w:val="00933A99"/>
    <w:rsid w:val="00933BFC"/>
    <w:rsid w:val="0093431D"/>
    <w:rsid w:val="009348FC"/>
    <w:rsid w:val="009357DC"/>
    <w:rsid w:val="00937A02"/>
    <w:rsid w:val="009423F1"/>
    <w:rsid w:val="00942E06"/>
    <w:rsid w:val="0094586D"/>
    <w:rsid w:val="009469AB"/>
    <w:rsid w:val="00947023"/>
    <w:rsid w:val="0094793C"/>
    <w:rsid w:val="00951E51"/>
    <w:rsid w:val="00952623"/>
    <w:rsid w:val="00952C47"/>
    <w:rsid w:val="009540AE"/>
    <w:rsid w:val="00954147"/>
    <w:rsid w:val="00954D8F"/>
    <w:rsid w:val="00955C33"/>
    <w:rsid w:val="00955E9B"/>
    <w:rsid w:val="0095616F"/>
    <w:rsid w:val="0095639B"/>
    <w:rsid w:val="009563D0"/>
    <w:rsid w:val="00956CDA"/>
    <w:rsid w:val="00957B88"/>
    <w:rsid w:val="00960710"/>
    <w:rsid w:val="00961AB9"/>
    <w:rsid w:val="00962747"/>
    <w:rsid w:val="00963242"/>
    <w:rsid w:val="009647E9"/>
    <w:rsid w:val="0096494E"/>
    <w:rsid w:val="009658A0"/>
    <w:rsid w:val="00966CF8"/>
    <w:rsid w:val="00967349"/>
    <w:rsid w:val="00967F38"/>
    <w:rsid w:val="0097058F"/>
    <w:rsid w:val="0097064A"/>
    <w:rsid w:val="00971D77"/>
    <w:rsid w:val="00973033"/>
    <w:rsid w:val="0097337C"/>
    <w:rsid w:val="009740C5"/>
    <w:rsid w:val="00974E21"/>
    <w:rsid w:val="00974F2F"/>
    <w:rsid w:val="0097594B"/>
    <w:rsid w:val="009759EE"/>
    <w:rsid w:val="00977BB1"/>
    <w:rsid w:val="00977D77"/>
    <w:rsid w:val="00980481"/>
    <w:rsid w:val="0098241D"/>
    <w:rsid w:val="0098277B"/>
    <w:rsid w:val="00982B09"/>
    <w:rsid w:val="009842DF"/>
    <w:rsid w:val="0098659A"/>
    <w:rsid w:val="00987B72"/>
    <w:rsid w:val="009912CA"/>
    <w:rsid w:val="00992E6F"/>
    <w:rsid w:val="00993F57"/>
    <w:rsid w:val="00994897"/>
    <w:rsid w:val="00995D2A"/>
    <w:rsid w:val="00996183"/>
    <w:rsid w:val="009966BA"/>
    <w:rsid w:val="00996BC5"/>
    <w:rsid w:val="00997E58"/>
    <w:rsid w:val="009A0292"/>
    <w:rsid w:val="009A03C0"/>
    <w:rsid w:val="009A0A08"/>
    <w:rsid w:val="009A0B2C"/>
    <w:rsid w:val="009A1F1D"/>
    <w:rsid w:val="009A2988"/>
    <w:rsid w:val="009A2C53"/>
    <w:rsid w:val="009A3DE6"/>
    <w:rsid w:val="009A3E45"/>
    <w:rsid w:val="009A3ED7"/>
    <w:rsid w:val="009A511E"/>
    <w:rsid w:val="009B12FC"/>
    <w:rsid w:val="009B1DB3"/>
    <w:rsid w:val="009B24E7"/>
    <w:rsid w:val="009B2CA9"/>
    <w:rsid w:val="009B364F"/>
    <w:rsid w:val="009B36A0"/>
    <w:rsid w:val="009B4FF3"/>
    <w:rsid w:val="009B65EC"/>
    <w:rsid w:val="009C06EC"/>
    <w:rsid w:val="009C0BF4"/>
    <w:rsid w:val="009C13E7"/>
    <w:rsid w:val="009C14D0"/>
    <w:rsid w:val="009C16C4"/>
    <w:rsid w:val="009C30D9"/>
    <w:rsid w:val="009C3622"/>
    <w:rsid w:val="009C3871"/>
    <w:rsid w:val="009C5CE9"/>
    <w:rsid w:val="009C6120"/>
    <w:rsid w:val="009C631C"/>
    <w:rsid w:val="009D052F"/>
    <w:rsid w:val="009D0A36"/>
    <w:rsid w:val="009D1548"/>
    <w:rsid w:val="009D1A35"/>
    <w:rsid w:val="009D215C"/>
    <w:rsid w:val="009D2628"/>
    <w:rsid w:val="009D5252"/>
    <w:rsid w:val="009D6A89"/>
    <w:rsid w:val="009D6B20"/>
    <w:rsid w:val="009E0287"/>
    <w:rsid w:val="009E195C"/>
    <w:rsid w:val="009E2357"/>
    <w:rsid w:val="009E2E21"/>
    <w:rsid w:val="009E30F2"/>
    <w:rsid w:val="009E37E6"/>
    <w:rsid w:val="009E4F8E"/>
    <w:rsid w:val="009E4FDD"/>
    <w:rsid w:val="009E51EA"/>
    <w:rsid w:val="009E70BA"/>
    <w:rsid w:val="009E7274"/>
    <w:rsid w:val="009E7305"/>
    <w:rsid w:val="009F0256"/>
    <w:rsid w:val="009F0E01"/>
    <w:rsid w:val="009F17D9"/>
    <w:rsid w:val="009F1EDD"/>
    <w:rsid w:val="009F3F72"/>
    <w:rsid w:val="009F5C07"/>
    <w:rsid w:val="009F6685"/>
    <w:rsid w:val="009F7575"/>
    <w:rsid w:val="00A00A76"/>
    <w:rsid w:val="00A010F7"/>
    <w:rsid w:val="00A01985"/>
    <w:rsid w:val="00A029AA"/>
    <w:rsid w:val="00A03359"/>
    <w:rsid w:val="00A033CC"/>
    <w:rsid w:val="00A037B9"/>
    <w:rsid w:val="00A03FF8"/>
    <w:rsid w:val="00A06A2B"/>
    <w:rsid w:val="00A0717A"/>
    <w:rsid w:val="00A07700"/>
    <w:rsid w:val="00A07A25"/>
    <w:rsid w:val="00A07C69"/>
    <w:rsid w:val="00A07CE9"/>
    <w:rsid w:val="00A10B67"/>
    <w:rsid w:val="00A11302"/>
    <w:rsid w:val="00A11519"/>
    <w:rsid w:val="00A12148"/>
    <w:rsid w:val="00A13A24"/>
    <w:rsid w:val="00A14591"/>
    <w:rsid w:val="00A14F53"/>
    <w:rsid w:val="00A15C68"/>
    <w:rsid w:val="00A15D85"/>
    <w:rsid w:val="00A164BB"/>
    <w:rsid w:val="00A175E4"/>
    <w:rsid w:val="00A1791B"/>
    <w:rsid w:val="00A21379"/>
    <w:rsid w:val="00A2276D"/>
    <w:rsid w:val="00A23258"/>
    <w:rsid w:val="00A26467"/>
    <w:rsid w:val="00A265B9"/>
    <w:rsid w:val="00A2754B"/>
    <w:rsid w:val="00A27691"/>
    <w:rsid w:val="00A306BB"/>
    <w:rsid w:val="00A30A8F"/>
    <w:rsid w:val="00A3127B"/>
    <w:rsid w:val="00A31458"/>
    <w:rsid w:val="00A31E31"/>
    <w:rsid w:val="00A3226C"/>
    <w:rsid w:val="00A3248F"/>
    <w:rsid w:val="00A33BE8"/>
    <w:rsid w:val="00A33E20"/>
    <w:rsid w:val="00A34E6C"/>
    <w:rsid w:val="00A355CA"/>
    <w:rsid w:val="00A36086"/>
    <w:rsid w:val="00A3657B"/>
    <w:rsid w:val="00A370C9"/>
    <w:rsid w:val="00A37109"/>
    <w:rsid w:val="00A379DE"/>
    <w:rsid w:val="00A40BB3"/>
    <w:rsid w:val="00A40D12"/>
    <w:rsid w:val="00A41065"/>
    <w:rsid w:val="00A41217"/>
    <w:rsid w:val="00A41594"/>
    <w:rsid w:val="00A4170A"/>
    <w:rsid w:val="00A4224E"/>
    <w:rsid w:val="00A424BD"/>
    <w:rsid w:val="00A4255D"/>
    <w:rsid w:val="00A4454B"/>
    <w:rsid w:val="00A45053"/>
    <w:rsid w:val="00A45D35"/>
    <w:rsid w:val="00A46527"/>
    <w:rsid w:val="00A46BFA"/>
    <w:rsid w:val="00A46D86"/>
    <w:rsid w:val="00A476E7"/>
    <w:rsid w:val="00A502E2"/>
    <w:rsid w:val="00A503D1"/>
    <w:rsid w:val="00A51AF8"/>
    <w:rsid w:val="00A52B21"/>
    <w:rsid w:val="00A52B8C"/>
    <w:rsid w:val="00A52ED6"/>
    <w:rsid w:val="00A53390"/>
    <w:rsid w:val="00A54D75"/>
    <w:rsid w:val="00A551C0"/>
    <w:rsid w:val="00A5766A"/>
    <w:rsid w:val="00A57FF5"/>
    <w:rsid w:val="00A60453"/>
    <w:rsid w:val="00A60B86"/>
    <w:rsid w:val="00A612AE"/>
    <w:rsid w:val="00A61C84"/>
    <w:rsid w:val="00A61FF2"/>
    <w:rsid w:val="00A62036"/>
    <w:rsid w:val="00A627B1"/>
    <w:rsid w:val="00A62E00"/>
    <w:rsid w:val="00A6437B"/>
    <w:rsid w:val="00A6591E"/>
    <w:rsid w:val="00A65A74"/>
    <w:rsid w:val="00A65D6F"/>
    <w:rsid w:val="00A663D1"/>
    <w:rsid w:val="00A66410"/>
    <w:rsid w:val="00A67CCC"/>
    <w:rsid w:val="00A70027"/>
    <w:rsid w:val="00A704FE"/>
    <w:rsid w:val="00A7071C"/>
    <w:rsid w:val="00A708C5"/>
    <w:rsid w:val="00A71523"/>
    <w:rsid w:val="00A7305A"/>
    <w:rsid w:val="00A73950"/>
    <w:rsid w:val="00A7509A"/>
    <w:rsid w:val="00A756B8"/>
    <w:rsid w:val="00A7681D"/>
    <w:rsid w:val="00A76AFE"/>
    <w:rsid w:val="00A76F6E"/>
    <w:rsid w:val="00A77813"/>
    <w:rsid w:val="00A81EB5"/>
    <w:rsid w:val="00A81F72"/>
    <w:rsid w:val="00A825E9"/>
    <w:rsid w:val="00A83BB9"/>
    <w:rsid w:val="00A855A9"/>
    <w:rsid w:val="00A85F98"/>
    <w:rsid w:val="00A8697A"/>
    <w:rsid w:val="00A91317"/>
    <w:rsid w:val="00A91C6B"/>
    <w:rsid w:val="00A925F1"/>
    <w:rsid w:val="00A93053"/>
    <w:rsid w:val="00A941C5"/>
    <w:rsid w:val="00A942A1"/>
    <w:rsid w:val="00A952C2"/>
    <w:rsid w:val="00A963A4"/>
    <w:rsid w:val="00A96752"/>
    <w:rsid w:val="00A976BA"/>
    <w:rsid w:val="00A97B93"/>
    <w:rsid w:val="00AA0948"/>
    <w:rsid w:val="00AA10A8"/>
    <w:rsid w:val="00AA2522"/>
    <w:rsid w:val="00AA3686"/>
    <w:rsid w:val="00AA601A"/>
    <w:rsid w:val="00AA62DB"/>
    <w:rsid w:val="00AA7025"/>
    <w:rsid w:val="00AA707B"/>
    <w:rsid w:val="00AA7183"/>
    <w:rsid w:val="00AA7348"/>
    <w:rsid w:val="00AA77D3"/>
    <w:rsid w:val="00AB151C"/>
    <w:rsid w:val="00AB2B64"/>
    <w:rsid w:val="00AB2D50"/>
    <w:rsid w:val="00AB30A0"/>
    <w:rsid w:val="00AB4344"/>
    <w:rsid w:val="00AB64C0"/>
    <w:rsid w:val="00AB651C"/>
    <w:rsid w:val="00AB70A7"/>
    <w:rsid w:val="00AB712F"/>
    <w:rsid w:val="00AB7817"/>
    <w:rsid w:val="00AB7B1D"/>
    <w:rsid w:val="00AB7BCE"/>
    <w:rsid w:val="00AC02A3"/>
    <w:rsid w:val="00AC1BB6"/>
    <w:rsid w:val="00AC1E30"/>
    <w:rsid w:val="00AC4064"/>
    <w:rsid w:val="00AC446C"/>
    <w:rsid w:val="00AC567F"/>
    <w:rsid w:val="00AC587E"/>
    <w:rsid w:val="00AC5BE0"/>
    <w:rsid w:val="00AC65CB"/>
    <w:rsid w:val="00AD07D1"/>
    <w:rsid w:val="00AD07E5"/>
    <w:rsid w:val="00AD0B03"/>
    <w:rsid w:val="00AD143D"/>
    <w:rsid w:val="00AD1566"/>
    <w:rsid w:val="00AD316B"/>
    <w:rsid w:val="00AD504A"/>
    <w:rsid w:val="00AD5CF1"/>
    <w:rsid w:val="00AD664D"/>
    <w:rsid w:val="00AD7296"/>
    <w:rsid w:val="00AD731F"/>
    <w:rsid w:val="00AE1D85"/>
    <w:rsid w:val="00AE235B"/>
    <w:rsid w:val="00AE2E2E"/>
    <w:rsid w:val="00AE39B7"/>
    <w:rsid w:val="00AE3F9C"/>
    <w:rsid w:val="00AE4B32"/>
    <w:rsid w:val="00AE50F0"/>
    <w:rsid w:val="00AE5772"/>
    <w:rsid w:val="00AE5EE6"/>
    <w:rsid w:val="00AE6EE9"/>
    <w:rsid w:val="00AE79CE"/>
    <w:rsid w:val="00AE7D96"/>
    <w:rsid w:val="00AF008C"/>
    <w:rsid w:val="00AF0BD3"/>
    <w:rsid w:val="00AF15FF"/>
    <w:rsid w:val="00AF38B9"/>
    <w:rsid w:val="00AF41E0"/>
    <w:rsid w:val="00AF544E"/>
    <w:rsid w:val="00AF5C2A"/>
    <w:rsid w:val="00AF70AA"/>
    <w:rsid w:val="00B0020B"/>
    <w:rsid w:val="00B02693"/>
    <w:rsid w:val="00B04036"/>
    <w:rsid w:val="00B04715"/>
    <w:rsid w:val="00B04EAA"/>
    <w:rsid w:val="00B05B15"/>
    <w:rsid w:val="00B05DCE"/>
    <w:rsid w:val="00B068DC"/>
    <w:rsid w:val="00B0781D"/>
    <w:rsid w:val="00B07E8B"/>
    <w:rsid w:val="00B100EE"/>
    <w:rsid w:val="00B104E4"/>
    <w:rsid w:val="00B11F88"/>
    <w:rsid w:val="00B12EAF"/>
    <w:rsid w:val="00B15277"/>
    <w:rsid w:val="00B15C85"/>
    <w:rsid w:val="00B1706C"/>
    <w:rsid w:val="00B2059C"/>
    <w:rsid w:val="00B210F7"/>
    <w:rsid w:val="00B211A7"/>
    <w:rsid w:val="00B214AD"/>
    <w:rsid w:val="00B21608"/>
    <w:rsid w:val="00B22BC8"/>
    <w:rsid w:val="00B233E1"/>
    <w:rsid w:val="00B236ED"/>
    <w:rsid w:val="00B2398D"/>
    <w:rsid w:val="00B24EDE"/>
    <w:rsid w:val="00B26252"/>
    <w:rsid w:val="00B273EE"/>
    <w:rsid w:val="00B278BE"/>
    <w:rsid w:val="00B30DA6"/>
    <w:rsid w:val="00B3222A"/>
    <w:rsid w:val="00B32698"/>
    <w:rsid w:val="00B32897"/>
    <w:rsid w:val="00B32C86"/>
    <w:rsid w:val="00B32ED5"/>
    <w:rsid w:val="00B33CD9"/>
    <w:rsid w:val="00B36A22"/>
    <w:rsid w:val="00B37E54"/>
    <w:rsid w:val="00B409B1"/>
    <w:rsid w:val="00B41E6E"/>
    <w:rsid w:val="00B43669"/>
    <w:rsid w:val="00B43AB8"/>
    <w:rsid w:val="00B446C8"/>
    <w:rsid w:val="00B449AF"/>
    <w:rsid w:val="00B45376"/>
    <w:rsid w:val="00B45452"/>
    <w:rsid w:val="00B470B0"/>
    <w:rsid w:val="00B47496"/>
    <w:rsid w:val="00B5045C"/>
    <w:rsid w:val="00B50A79"/>
    <w:rsid w:val="00B513D2"/>
    <w:rsid w:val="00B5169B"/>
    <w:rsid w:val="00B5328E"/>
    <w:rsid w:val="00B5371C"/>
    <w:rsid w:val="00B54019"/>
    <w:rsid w:val="00B54FE8"/>
    <w:rsid w:val="00B5510B"/>
    <w:rsid w:val="00B553B7"/>
    <w:rsid w:val="00B5563B"/>
    <w:rsid w:val="00B5607C"/>
    <w:rsid w:val="00B564C4"/>
    <w:rsid w:val="00B56FF3"/>
    <w:rsid w:val="00B56FF9"/>
    <w:rsid w:val="00B57B65"/>
    <w:rsid w:val="00B60601"/>
    <w:rsid w:val="00B60B24"/>
    <w:rsid w:val="00B60D16"/>
    <w:rsid w:val="00B61AA2"/>
    <w:rsid w:val="00B61DC9"/>
    <w:rsid w:val="00B62336"/>
    <w:rsid w:val="00B641C4"/>
    <w:rsid w:val="00B658AE"/>
    <w:rsid w:val="00B65922"/>
    <w:rsid w:val="00B678A0"/>
    <w:rsid w:val="00B6796F"/>
    <w:rsid w:val="00B67F9B"/>
    <w:rsid w:val="00B709F9"/>
    <w:rsid w:val="00B71221"/>
    <w:rsid w:val="00B736D2"/>
    <w:rsid w:val="00B74D4C"/>
    <w:rsid w:val="00B75101"/>
    <w:rsid w:val="00B75F3D"/>
    <w:rsid w:val="00B761A6"/>
    <w:rsid w:val="00B80059"/>
    <w:rsid w:val="00B80CF2"/>
    <w:rsid w:val="00B83C1F"/>
    <w:rsid w:val="00B84490"/>
    <w:rsid w:val="00B86113"/>
    <w:rsid w:val="00B86A5C"/>
    <w:rsid w:val="00B86E9C"/>
    <w:rsid w:val="00B874F9"/>
    <w:rsid w:val="00B90538"/>
    <w:rsid w:val="00B90761"/>
    <w:rsid w:val="00B918CC"/>
    <w:rsid w:val="00B92047"/>
    <w:rsid w:val="00B929C0"/>
    <w:rsid w:val="00B932EE"/>
    <w:rsid w:val="00B93542"/>
    <w:rsid w:val="00B93DA5"/>
    <w:rsid w:val="00B93E04"/>
    <w:rsid w:val="00B95645"/>
    <w:rsid w:val="00BA0051"/>
    <w:rsid w:val="00BA0A4B"/>
    <w:rsid w:val="00BA0CAA"/>
    <w:rsid w:val="00BA0D19"/>
    <w:rsid w:val="00BA0D3C"/>
    <w:rsid w:val="00BA0F1D"/>
    <w:rsid w:val="00BA1AFA"/>
    <w:rsid w:val="00BA3146"/>
    <w:rsid w:val="00BA48D7"/>
    <w:rsid w:val="00BA4DFA"/>
    <w:rsid w:val="00BA529C"/>
    <w:rsid w:val="00BA52E9"/>
    <w:rsid w:val="00BA572B"/>
    <w:rsid w:val="00BA58D9"/>
    <w:rsid w:val="00BA5B92"/>
    <w:rsid w:val="00BA5C0B"/>
    <w:rsid w:val="00BA61BE"/>
    <w:rsid w:val="00BB087C"/>
    <w:rsid w:val="00BB0A1C"/>
    <w:rsid w:val="00BB0C48"/>
    <w:rsid w:val="00BB12CE"/>
    <w:rsid w:val="00BB176B"/>
    <w:rsid w:val="00BB2409"/>
    <w:rsid w:val="00BB2E70"/>
    <w:rsid w:val="00BB4FD4"/>
    <w:rsid w:val="00BB509B"/>
    <w:rsid w:val="00BB523A"/>
    <w:rsid w:val="00BB5ADD"/>
    <w:rsid w:val="00BB5CA0"/>
    <w:rsid w:val="00BB7699"/>
    <w:rsid w:val="00BB7E7F"/>
    <w:rsid w:val="00BC068A"/>
    <w:rsid w:val="00BC146D"/>
    <w:rsid w:val="00BC1EBB"/>
    <w:rsid w:val="00BC3E27"/>
    <w:rsid w:val="00BC6219"/>
    <w:rsid w:val="00BC7880"/>
    <w:rsid w:val="00BD2C45"/>
    <w:rsid w:val="00BD2E64"/>
    <w:rsid w:val="00BD3008"/>
    <w:rsid w:val="00BD44C8"/>
    <w:rsid w:val="00BD4564"/>
    <w:rsid w:val="00BD593A"/>
    <w:rsid w:val="00BD5FDD"/>
    <w:rsid w:val="00BD6403"/>
    <w:rsid w:val="00BD6ABB"/>
    <w:rsid w:val="00BD7558"/>
    <w:rsid w:val="00BE1AE9"/>
    <w:rsid w:val="00BE2B2F"/>
    <w:rsid w:val="00BE2B74"/>
    <w:rsid w:val="00BE3ECF"/>
    <w:rsid w:val="00BE44B2"/>
    <w:rsid w:val="00BE48EA"/>
    <w:rsid w:val="00BE4F05"/>
    <w:rsid w:val="00BE6CE8"/>
    <w:rsid w:val="00BE7708"/>
    <w:rsid w:val="00BE7EB0"/>
    <w:rsid w:val="00BF0A03"/>
    <w:rsid w:val="00BF1E81"/>
    <w:rsid w:val="00BF2035"/>
    <w:rsid w:val="00BF323E"/>
    <w:rsid w:val="00BF35F3"/>
    <w:rsid w:val="00BF3F39"/>
    <w:rsid w:val="00BF5206"/>
    <w:rsid w:val="00BF6009"/>
    <w:rsid w:val="00BF66B6"/>
    <w:rsid w:val="00BF770A"/>
    <w:rsid w:val="00BF7AC6"/>
    <w:rsid w:val="00BF7EC3"/>
    <w:rsid w:val="00C00527"/>
    <w:rsid w:val="00C01894"/>
    <w:rsid w:val="00C01DE3"/>
    <w:rsid w:val="00C02425"/>
    <w:rsid w:val="00C0377D"/>
    <w:rsid w:val="00C05F91"/>
    <w:rsid w:val="00C06319"/>
    <w:rsid w:val="00C06691"/>
    <w:rsid w:val="00C067DE"/>
    <w:rsid w:val="00C06D5C"/>
    <w:rsid w:val="00C076AC"/>
    <w:rsid w:val="00C079D8"/>
    <w:rsid w:val="00C10B18"/>
    <w:rsid w:val="00C10C09"/>
    <w:rsid w:val="00C126C7"/>
    <w:rsid w:val="00C137C5"/>
    <w:rsid w:val="00C15BF8"/>
    <w:rsid w:val="00C1735B"/>
    <w:rsid w:val="00C17856"/>
    <w:rsid w:val="00C17895"/>
    <w:rsid w:val="00C209DC"/>
    <w:rsid w:val="00C20CDD"/>
    <w:rsid w:val="00C224C0"/>
    <w:rsid w:val="00C2332A"/>
    <w:rsid w:val="00C233F9"/>
    <w:rsid w:val="00C23962"/>
    <w:rsid w:val="00C23C2F"/>
    <w:rsid w:val="00C24C01"/>
    <w:rsid w:val="00C24D2C"/>
    <w:rsid w:val="00C25932"/>
    <w:rsid w:val="00C25BD7"/>
    <w:rsid w:val="00C25CC8"/>
    <w:rsid w:val="00C262E7"/>
    <w:rsid w:val="00C2768C"/>
    <w:rsid w:val="00C27DBD"/>
    <w:rsid w:val="00C309F4"/>
    <w:rsid w:val="00C33602"/>
    <w:rsid w:val="00C3366B"/>
    <w:rsid w:val="00C34D75"/>
    <w:rsid w:val="00C352FC"/>
    <w:rsid w:val="00C35D45"/>
    <w:rsid w:val="00C362BF"/>
    <w:rsid w:val="00C36970"/>
    <w:rsid w:val="00C36F24"/>
    <w:rsid w:val="00C37777"/>
    <w:rsid w:val="00C40C2C"/>
    <w:rsid w:val="00C41A5E"/>
    <w:rsid w:val="00C43E54"/>
    <w:rsid w:val="00C4429B"/>
    <w:rsid w:val="00C4455F"/>
    <w:rsid w:val="00C469B0"/>
    <w:rsid w:val="00C46AFE"/>
    <w:rsid w:val="00C51B92"/>
    <w:rsid w:val="00C52008"/>
    <w:rsid w:val="00C55866"/>
    <w:rsid w:val="00C6022F"/>
    <w:rsid w:val="00C60DE0"/>
    <w:rsid w:val="00C6269F"/>
    <w:rsid w:val="00C6299B"/>
    <w:rsid w:val="00C63310"/>
    <w:rsid w:val="00C6371F"/>
    <w:rsid w:val="00C642EF"/>
    <w:rsid w:val="00C64655"/>
    <w:rsid w:val="00C64867"/>
    <w:rsid w:val="00C64ED8"/>
    <w:rsid w:val="00C66624"/>
    <w:rsid w:val="00C67A69"/>
    <w:rsid w:val="00C70D7A"/>
    <w:rsid w:val="00C70DD8"/>
    <w:rsid w:val="00C7255C"/>
    <w:rsid w:val="00C73A34"/>
    <w:rsid w:val="00C74000"/>
    <w:rsid w:val="00C74E1A"/>
    <w:rsid w:val="00C74F09"/>
    <w:rsid w:val="00C750C4"/>
    <w:rsid w:val="00C75570"/>
    <w:rsid w:val="00C761C8"/>
    <w:rsid w:val="00C76D9B"/>
    <w:rsid w:val="00C76E37"/>
    <w:rsid w:val="00C7719E"/>
    <w:rsid w:val="00C7733C"/>
    <w:rsid w:val="00C77B3A"/>
    <w:rsid w:val="00C80B9C"/>
    <w:rsid w:val="00C829ED"/>
    <w:rsid w:val="00C832E3"/>
    <w:rsid w:val="00C84132"/>
    <w:rsid w:val="00C84858"/>
    <w:rsid w:val="00C84FBC"/>
    <w:rsid w:val="00C856C7"/>
    <w:rsid w:val="00C86820"/>
    <w:rsid w:val="00C869A7"/>
    <w:rsid w:val="00C86B76"/>
    <w:rsid w:val="00C87091"/>
    <w:rsid w:val="00C877E7"/>
    <w:rsid w:val="00C906F4"/>
    <w:rsid w:val="00C90F8F"/>
    <w:rsid w:val="00C9192F"/>
    <w:rsid w:val="00C940C9"/>
    <w:rsid w:val="00C947E8"/>
    <w:rsid w:val="00C95FFF"/>
    <w:rsid w:val="00C976B0"/>
    <w:rsid w:val="00C9778C"/>
    <w:rsid w:val="00CA06FF"/>
    <w:rsid w:val="00CA1569"/>
    <w:rsid w:val="00CA1D83"/>
    <w:rsid w:val="00CA20FD"/>
    <w:rsid w:val="00CA217A"/>
    <w:rsid w:val="00CA2614"/>
    <w:rsid w:val="00CA6077"/>
    <w:rsid w:val="00CA63A9"/>
    <w:rsid w:val="00CA6B85"/>
    <w:rsid w:val="00CA6D36"/>
    <w:rsid w:val="00CA6FDF"/>
    <w:rsid w:val="00CA794A"/>
    <w:rsid w:val="00CA7A06"/>
    <w:rsid w:val="00CA7B8A"/>
    <w:rsid w:val="00CB0095"/>
    <w:rsid w:val="00CB222D"/>
    <w:rsid w:val="00CB473C"/>
    <w:rsid w:val="00CB6547"/>
    <w:rsid w:val="00CB672C"/>
    <w:rsid w:val="00CC14CA"/>
    <w:rsid w:val="00CC1F19"/>
    <w:rsid w:val="00CC2063"/>
    <w:rsid w:val="00CC20D3"/>
    <w:rsid w:val="00CC3071"/>
    <w:rsid w:val="00CC3DEE"/>
    <w:rsid w:val="00CC420C"/>
    <w:rsid w:val="00CC45FB"/>
    <w:rsid w:val="00CC4E99"/>
    <w:rsid w:val="00CC6893"/>
    <w:rsid w:val="00CC7B54"/>
    <w:rsid w:val="00CC7D2D"/>
    <w:rsid w:val="00CD169A"/>
    <w:rsid w:val="00CD2372"/>
    <w:rsid w:val="00CD24F6"/>
    <w:rsid w:val="00CD2C55"/>
    <w:rsid w:val="00CD33F8"/>
    <w:rsid w:val="00CD3BE0"/>
    <w:rsid w:val="00CD3E0F"/>
    <w:rsid w:val="00CD44D1"/>
    <w:rsid w:val="00CD46A4"/>
    <w:rsid w:val="00CD5FDC"/>
    <w:rsid w:val="00CE133B"/>
    <w:rsid w:val="00CE2BC7"/>
    <w:rsid w:val="00CE3A33"/>
    <w:rsid w:val="00CE40E8"/>
    <w:rsid w:val="00CE58B0"/>
    <w:rsid w:val="00CE5DF0"/>
    <w:rsid w:val="00CE6277"/>
    <w:rsid w:val="00CE6E17"/>
    <w:rsid w:val="00CE7DB8"/>
    <w:rsid w:val="00CF01E0"/>
    <w:rsid w:val="00CF0757"/>
    <w:rsid w:val="00CF0FF5"/>
    <w:rsid w:val="00CF1364"/>
    <w:rsid w:val="00CF1B04"/>
    <w:rsid w:val="00CF1C1E"/>
    <w:rsid w:val="00CF2BBB"/>
    <w:rsid w:val="00CF3A62"/>
    <w:rsid w:val="00CF4558"/>
    <w:rsid w:val="00CF54E6"/>
    <w:rsid w:val="00CF57AC"/>
    <w:rsid w:val="00CF5C31"/>
    <w:rsid w:val="00CF5F8B"/>
    <w:rsid w:val="00CF6A75"/>
    <w:rsid w:val="00CF70CD"/>
    <w:rsid w:val="00D0046E"/>
    <w:rsid w:val="00D02651"/>
    <w:rsid w:val="00D03D5D"/>
    <w:rsid w:val="00D04166"/>
    <w:rsid w:val="00D047BC"/>
    <w:rsid w:val="00D06738"/>
    <w:rsid w:val="00D06B96"/>
    <w:rsid w:val="00D06C7A"/>
    <w:rsid w:val="00D06D6F"/>
    <w:rsid w:val="00D070CE"/>
    <w:rsid w:val="00D10077"/>
    <w:rsid w:val="00D10918"/>
    <w:rsid w:val="00D110C0"/>
    <w:rsid w:val="00D1167A"/>
    <w:rsid w:val="00D11CDC"/>
    <w:rsid w:val="00D128CA"/>
    <w:rsid w:val="00D12B69"/>
    <w:rsid w:val="00D1320A"/>
    <w:rsid w:val="00D14121"/>
    <w:rsid w:val="00D14CBC"/>
    <w:rsid w:val="00D14EF2"/>
    <w:rsid w:val="00D16B50"/>
    <w:rsid w:val="00D16DCC"/>
    <w:rsid w:val="00D2166F"/>
    <w:rsid w:val="00D2231D"/>
    <w:rsid w:val="00D23FC6"/>
    <w:rsid w:val="00D24C07"/>
    <w:rsid w:val="00D24E7F"/>
    <w:rsid w:val="00D2678F"/>
    <w:rsid w:val="00D2688B"/>
    <w:rsid w:val="00D27801"/>
    <w:rsid w:val="00D27B1E"/>
    <w:rsid w:val="00D305E6"/>
    <w:rsid w:val="00D31A29"/>
    <w:rsid w:val="00D3391F"/>
    <w:rsid w:val="00D34B4D"/>
    <w:rsid w:val="00D35140"/>
    <w:rsid w:val="00D352B9"/>
    <w:rsid w:val="00D3550D"/>
    <w:rsid w:val="00D3689F"/>
    <w:rsid w:val="00D36EBA"/>
    <w:rsid w:val="00D373D7"/>
    <w:rsid w:val="00D37AB6"/>
    <w:rsid w:val="00D37F2E"/>
    <w:rsid w:val="00D40E5F"/>
    <w:rsid w:val="00D4168C"/>
    <w:rsid w:val="00D4283D"/>
    <w:rsid w:val="00D43882"/>
    <w:rsid w:val="00D45DE0"/>
    <w:rsid w:val="00D46FA5"/>
    <w:rsid w:val="00D47828"/>
    <w:rsid w:val="00D504A8"/>
    <w:rsid w:val="00D50BBA"/>
    <w:rsid w:val="00D5143A"/>
    <w:rsid w:val="00D515DE"/>
    <w:rsid w:val="00D530C7"/>
    <w:rsid w:val="00D53A7A"/>
    <w:rsid w:val="00D5450F"/>
    <w:rsid w:val="00D549B6"/>
    <w:rsid w:val="00D54D70"/>
    <w:rsid w:val="00D5667C"/>
    <w:rsid w:val="00D573AB"/>
    <w:rsid w:val="00D60489"/>
    <w:rsid w:val="00D606AC"/>
    <w:rsid w:val="00D6200C"/>
    <w:rsid w:val="00D64137"/>
    <w:rsid w:val="00D6422A"/>
    <w:rsid w:val="00D6497E"/>
    <w:rsid w:val="00D64F49"/>
    <w:rsid w:val="00D66267"/>
    <w:rsid w:val="00D667B4"/>
    <w:rsid w:val="00D66C4B"/>
    <w:rsid w:val="00D66DE9"/>
    <w:rsid w:val="00D6714E"/>
    <w:rsid w:val="00D67EE3"/>
    <w:rsid w:val="00D71101"/>
    <w:rsid w:val="00D715E7"/>
    <w:rsid w:val="00D72796"/>
    <w:rsid w:val="00D74765"/>
    <w:rsid w:val="00D74B31"/>
    <w:rsid w:val="00D752F0"/>
    <w:rsid w:val="00D75C09"/>
    <w:rsid w:val="00D75E53"/>
    <w:rsid w:val="00D76DB6"/>
    <w:rsid w:val="00D77381"/>
    <w:rsid w:val="00D80362"/>
    <w:rsid w:val="00D81929"/>
    <w:rsid w:val="00D82180"/>
    <w:rsid w:val="00D82978"/>
    <w:rsid w:val="00D8399E"/>
    <w:rsid w:val="00D83DFB"/>
    <w:rsid w:val="00D83F97"/>
    <w:rsid w:val="00D858E7"/>
    <w:rsid w:val="00D85BB1"/>
    <w:rsid w:val="00D86AF4"/>
    <w:rsid w:val="00D87116"/>
    <w:rsid w:val="00D873B7"/>
    <w:rsid w:val="00D873E2"/>
    <w:rsid w:val="00D90B53"/>
    <w:rsid w:val="00D91DA4"/>
    <w:rsid w:val="00D92812"/>
    <w:rsid w:val="00D93D39"/>
    <w:rsid w:val="00D95FE6"/>
    <w:rsid w:val="00D969EE"/>
    <w:rsid w:val="00D97773"/>
    <w:rsid w:val="00D97FBF"/>
    <w:rsid w:val="00DA3D63"/>
    <w:rsid w:val="00DA465A"/>
    <w:rsid w:val="00DA6B56"/>
    <w:rsid w:val="00DA79E3"/>
    <w:rsid w:val="00DA7B2C"/>
    <w:rsid w:val="00DB0948"/>
    <w:rsid w:val="00DB26B2"/>
    <w:rsid w:val="00DB2ABE"/>
    <w:rsid w:val="00DB40F9"/>
    <w:rsid w:val="00DB6429"/>
    <w:rsid w:val="00DB7304"/>
    <w:rsid w:val="00DB7C09"/>
    <w:rsid w:val="00DC0B2E"/>
    <w:rsid w:val="00DC0ED4"/>
    <w:rsid w:val="00DC1371"/>
    <w:rsid w:val="00DC1D2C"/>
    <w:rsid w:val="00DC2460"/>
    <w:rsid w:val="00DC2FED"/>
    <w:rsid w:val="00DC33E6"/>
    <w:rsid w:val="00DC42A8"/>
    <w:rsid w:val="00DC5115"/>
    <w:rsid w:val="00DC5CCC"/>
    <w:rsid w:val="00DC6955"/>
    <w:rsid w:val="00DC71DE"/>
    <w:rsid w:val="00DC79C9"/>
    <w:rsid w:val="00DC7D3C"/>
    <w:rsid w:val="00DD23A6"/>
    <w:rsid w:val="00DD3173"/>
    <w:rsid w:val="00DD3907"/>
    <w:rsid w:val="00DD3B7A"/>
    <w:rsid w:val="00DD44AC"/>
    <w:rsid w:val="00DD5F0F"/>
    <w:rsid w:val="00DD6478"/>
    <w:rsid w:val="00DD6814"/>
    <w:rsid w:val="00DE02E4"/>
    <w:rsid w:val="00DE139E"/>
    <w:rsid w:val="00DE2472"/>
    <w:rsid w:val="00DE252D"/>
    <w:rsid w:val="00DE310C"/>
    <w:rsid w:val="00DE3271"/>
    <w:rsid w:val="00DE3E86"/>
    <w:rsid w:val="00DE441D"/>
    <w:rsid w:val="00DE5441"/>
    <w:rsid w:val="00DE651D"/>
    <w:rsid w:val="00DE660F"/>
    <w:rsid w:val="00DE6789"/>
    <w:rsid w:val="00DE67D2"/>
    <w:rsid w:val="00DE68DC"/>
    <w:rsid w:val="00DE7140"/>
    <w:rsid w:val="00DE7569"/>
    <w:rsid w:val="00DF0378"/>
    <w:rsid w:val="00DF1A7E"/>
    <w:rsid w:val="00DF292A"/>
    <w:rsid w:val="00DF2FCF"/>
    <w:rsid w:val="00DF3564"/>
    <w:rsid w:val="00DF3595"/>
    <w:rsid w:val="00DF3819"/>
    <w:rsid w:val="00DF41AE"/>
    <w:rsid w:val="00DF441C"/>
    <w:rsid w:val="00DF507D"/>
    <w:rsid w:val="00DF6188"/>
    <w:rsid w:val="00DF6A64"/>
    <w:rsid w:val="00DF795E"/>
    <w:rsid w:val="00E00DA8"/>
    <w:rsid w:val="00E00F12"/>
    <w:rsid w:val="00E01FB5"/>
    <w:rsid w:val="00E02DDE"/>
    <w:rsid w:val="00E02F0A"/>
    <w:rsid w:val="00E030D1"/>
    <w:rsid w:val="00E0430F"/>
    <w:rsid w:val="00E058F2"/>
    <w:rsid w:val="00E0717E"/>
    <w:rsid w:val="00E074D9"/>
    <w:rsid w:val="00E07511"/>
    <w:rsid w:val="00E07BCF"/>
    <w:rsid w:val="00E1024E"/>
    <w:rsid w:val="00E102CD"/>
    <w:rsid w:val="00E10629"/>
    <w:rsid w:val="00E10811"/>
    <w:rsid w:val="00E12481"/>
    <w:rsid w:val="00E13851"/>
    <w:rsid w:val="00E138E9"/>
    <w:rsid w:val="00E140DC"/>
    <w:rsid w:val="00E16E0B"/>
    <w:rsid w:val="00E2000A"/>
    <w:rsid w:val="00E209F8"/>
    <w:rsid w:val="00E210F6"/>
    <w:rsid w:val="00E211B2"/>
    <w:rsid w:val="00E21A2B"/>
    <w:rsid w:val="00E21B9E"/>
    <w:rsid w:val="00E234F0"/>
    <w:rsid w:val="00E24216"/>
    <w:rsid w:val="00E243CC"/>
    <w:rsid w:val="00E25B66"/>
    <w:rsid w:val="00E260DC"/>
    <w:rsid w:val="00E26D97"/>
    <w:rsid w:val="00E30D1F"/>
    <w:rsid w:val="00E31E66"/>
    <w:rsid w:val="00E332F7"/>
    <w:rsid w:val="00E338E1"/>
    <w:rsid w:val="00E35B63"/>
    <w:rsid w:val="00E3728C"/>
    <w:rsid w:val="00E4025D"/>
    <w:rsid w:val="00E4041C"/>
    <w:rsid w:val="00E40EFC"/>
    <w:rsid w:val="00E415FE"/>
    <w:rsid w:val="00E4189D"/>
    <w:rsid w:val="00E42C4F"/>
    <w:rsid w:val="00E42E52"/>
    <w:rsid w:val="00E43AA4"/>
    <w:rsid w:val="00E4554D"/>
    <w:rsid w:val="00E4570D"/>
    <w:rsid w:val="00E4572D"/>
    <w:rsid w:val="00E45CAD"/>
    <w:rsid w:val="00E46128"/>
    <w:rsid w:val="00E465E9"/>
    <w:rsid w:val="00E4668F"/>
    <w:rsid w:val="00E51606"/>
    <w:rsid w:val="00E5198E"/>
    <w:rsid w:val="00E52CEC"/>
    <w:rsid w:val="00E533BD"/>
    <w:rsid w:val="00E53D14"/>
    <w:rsid w:val="00E53F2C"/>
    <w:rsid w:val="00E55464"/>
    <w:rsid w:val="00E566C7"/>
    <w:rsid w:val="00E6011E"/>
    <w:rsid w:val="00E615AF"/>
    <w:rsid w:val="00E6226E"/>
    <w:rsid w:val="00E6230F"/>
    <w:rsid w:val="00E63036"/>
    <w:rsid w:val="00E63357"/>
    <w:rsid w:val="00E6360F"/>
    <w:rsid w:val="00E63809"/>
    <w:rsid w:val="00E64882"/>
    <w:rsid w:val="00E657A4"/>
    <w:rsid w:val="00E663B8"/>
    <w:rsid w:val="00E66411"/>
    <w:rsid w:val="00E66547"/>
    <w:rsid w:val="00E677A5"/>
    <w:rsid w:val="00E70FEF"/>
    <w:rsid w:val="00E72966"/>
    <w:rsid w:val="00E7347F"/>
    <w:rsid w:val="00E73A9E"/>
    <w:rsid w:val="00E74DA4"/>
    <w:rsid w:val="00E7557C"/>
    <w:rsid w:val="00E755BD"/>
    <w:rsid w:val="00E756C3"/>
    <w:rsid w:val="00E75F95"/>
    <w:rsid w:val="00E7676E"/>
    <w:rsid w:val="00E76821"/>
    <w:rsid w:val="00E76BF3"/>
    <w:rsid w:val="00E76C5D"/>
    <w:rsid w:val="00E77751"/>
    <w:rsid w:val="00E80562"/>
    <w:rsid w:val="00E81430"/>
    <w:rsid w:val="00E817FF"/>
    <w:rsid w:val="00E826A9"/>
    <w:rsid w:val="00E831CF"/>
    <w:rsid w:val="00E83251"/>
    <w:rsid w:val="00E83F77"/>
    <w:rsid w:val="00E857CC"/>
    <w:rsid w:val="00E85A02"/>
    <w:rsid w:val="00E868B6"/>
    <w:rsid w:val="00E86AC7"/>
    <w:rsid w:val="00E86F26"/>
    <w:rsid w:val="00E90081"/>
    <w:rsid w:val="00E92C00"/>
    <w:rsid w:val="00E9328D"/>
    <w:rsid w:val="00E948BA"/>
    <w:rsid w:val="00E96347"/>
    <w:rsid w:val="00E97230"/>
    <w:rsid w:val="00EA1806"/>
    <w:rsid w:val="00EA244F"/>
    <w:rsid w:val="00EA27FB"/>
    <w:rsid w:val="00EA3715"/>
    <w:rsid w:val="00EA3771"/>
    <w:rsid w:val="00EA3793"/>
    <w:rsid w:val="00EA3DBC"/>
    <w:rsid w:val="00EA3ED5"/>
    <w:rsid w:val="00EA54E9"/>
    <w:rsid w:val="00EA60CC"/>
    <w:rsid w:val="00EA6142"/>
    <w:rsid w:val="00EA6445"/>
    <w:rsid w:val="00EA6FFE"/>
    <w:rsid w:val="00EA7ABE"/>
    <w:rsid w:val="00EB0FB9"/>
    <w:rsid w:val="00EB21BA"/>
    <w:rsid w:val="00EB2F2E"/>
    <w:rsid w:val="00EB4C3B"/>
    <w:rsid w:val="00EB4F8A"/>
    <w:rsid w:val="00EB5933"/>
    <w:rsid w:val="00EB5BDC"/>
    <w:rsid w:val="00EB612A"/>
    <w:rsid w:val="00EB6378"/>
    <w:rsid w:val="00EB6426"/>
    <w:rsid w:val="00EB7E0C"/>
    <w:rsid w:val="00EC022E"/>
    <w:rsid w:val="00EC026F"/>
    <w:rsid w:val="00EC122F"/>
    <w:rsid w:val="00EC1490"/>
    <w:rsid w:val="00EC17D2"/>
    <w:rsid w:val="00EC20D3"/>
    <w:rsid w:val="00EC322E"/>
    <w:rsid w:val="00EC71B5"/>
    <w:rsid w:val="00ED034B"/>
    <w:rsid w:val="00ED0B14"/>
    <w:rsid w:val="00ED13CB"/>
    <w:rsid w:val="00ED14D9"/>
    <w:rsid w:val="00ED1724"/>
    <w:rsid w:val="00ED1EDA"/>
    <w:rsid w:val="00ED1EE4"/>
    <w:rsid w:val="00ED2486"/>
    <w:rsid w:val="00ED31EA"/>
    <w:rsid w:val="00ED37B2"/>
    <w:rsid w:val="00ED381E"/>
    <w:rsid w:val="00ED4064"/>
    <w:rsid w:val="00ED41E7"/>
    <w:rsid w:val="00ED4210"/>
    <w:rsid w:val="00ED5F9B"/>
    <w:rsid w:val="00ED7199"/>
    <w:rsid w:val="00ED789F"/>
    <w:rsid w:val="00EE06BD"/>
    <w:rsid w:val="00EE26A2"/>
    <w:rsid w:val="00EE2C77"/>
    <w:rsid w:val="00EE3D35"/>
    <w:rsid w:val="00EE5534"/>
    <w:rsid w:val="00EE6646"/>
    <w:rsid w:val="00EE66D9"/>
    <w:rsid w:val="00EE7420"/>
    <w:rsid w:val="00EE7AA1"/>
    <w:rsid w:val="00EF2061"/>
    <w:rsid w:val="00EF24B8"/>
    <w:rsid w:val="00EF27A2"/>
    <w:rsid w:val="00EF350F"/>
    <w:rsid w:val="00EF4B4C"/>
    <w:rsid w:val="00EF5D1D"/>
    <w:rsid w:val="00EF5D24"/>
    <w:rsid w:val="00EF77B3"/>
    <w:rsid w:val="00F00FE2"/>
    <w:rsid w:val="00F01272"/>
    <w:rsid w:val="00F0290A"/>
    <w:rsid w:val="00F03FDF"/>
    <w:rsid w:val="00F0455A"/>
    <w:rsid w:val="00F04BDC"/>
    <w:rsid w:val="00F05F18"/>
    <w:rsid w:val="00F06518"/>
    <w:rsid w:val="00F06703"/>
    <w:rsid w:val="00F067D8"/>
    <w:rsid w:val="00F10332"/>
    <w:rsid w:val="00F10E34"/>
    <w:rsid w:val="00F10E6F"/>
    <w:rsid w:val="00F110AB"/>
    <w:rsid w:val="00F124DE"/>
    <w:rsid w:val="00F13D98"/>
    <w:rsid w:val="00F13E9C"/>
    <w:rsid w:val="00F13F94"/>
    <w:rsid w:val="00F1417D"/>
    <w:rsid w:val="00F147EF"/>
    <w:rsid w:val="00F14B81"/>
    <w:rsid w:val="00F15C29"/>
    <w:rsid w:val="00F15F42"/>
    <w:rsid w:val="00F1742B"/>
    <w:rsid w:val="00F179E2"/>
    <w:rsid w:val="00F17DEC"/>
    <w:rsid w:val="00F20506"/>
    <w:rsid w:val="00F2116D"/>
    <w:rsid w:val="00F2224B"/>
    <w:rsid w:val="00F2243D"/>
    <w:rsid w:val="00F22A44"/>
    <w:rsid w:val="00F22CF6"/>
    <w:rsid w:val="00F25127"/>
    <w:rsid w:val="00F251D4"/>
    <w:rsid w:val="00F25C88"/>
    <w:rsid w:val="00F26199"/>
    <w:rsid w:val="00F26964"/>
    <w:rsid w:val="00F27554"/>
    <w:rsid w:val="00F27603"/>
    <w:rsid w:val="00F30804"/>
    <w:rsid w:val="00F30F7D"/>
    <w:rsid w:val="00F31EB2"/>
    <w:rsid w:val="00F33506"/>
    <w:rsid w:val="00F33CE5"/>
    <w:rsid w:val="00F34AF7"/>
    <w:rsid w:val="00F35BD7"/>
    <w:rsid w:val="00F37736"/>
    <w:rsid w:val="00F413BA"/>
    <w:rsid w:val="00F41976"/>
    <w:rsid w:val="00F42125"/>
    <w:rsid w:val="00F4217F"/>
    <w:rsid w:val="00F42398"/>
    <w:rsid w:val="00F44A5D"/>
    <w:rsid w:val="00F44F8A"/>
    <w:rsid w:val="00F46B1B"/>
    <w:rsid w:val="00F46E8B"/>
    <w:rsid w:val="00F4785E"/>
    <w:rsid w:val="00F5018C"/>
    <w:rsid w:val="00F5065C"/>
    <w:rsid w:val="00F50F7D"/>
    <w:rsid w:val="00F51129"/>
    <w:rsid w:val="00F5152C"/>
    <w:rsid w:val="00F520D4"/>
    <w:rsid w:val="00F53242"/>
    <w:rsid w:val="00F536D3"/>
    <w:rsid w:val="00F54B98"/>
    <w:rsid w:val="00F54FA8"/>
    <w:rsid w:val="00F5506E"/>
    <w:rsid w:val="00F558D5"/>
    <w:rsid w:val="00F56508"/>
    <w:rsid w:val="00F57064"/>
    <w:rsid w:val="00F57DB9"/>
    <w:rsid w:val="00F60936"/>
    <w:rsid w:val="00F60E06"/>
    <w:rsid w:val="00F616CD"/>
    <w:rsid w:val="00F61FF6"/>
    <w:rsid w:val="00F6493A"/>
    <w:rsid w:val="00F672D2"/>
    <w:rsid w:val="00F7018C"/>
    <w:rsid w:val="00F70203"/>
    <w:rsid w:val="00F70FF8"/>
    <w:rsid w:val="00F710DC"/>
    <w:rsid w:val="00F71534"/>
    <w:rsid w:val="00F71688"/>
    <w:rsid w:val="00F7417E"/>
    <w:rsid w:val="00F82617"/>
    <w:rsid w:val="00F837A9"/>
    <w:rsid w:val="00F83BF0"/>
    <w:rsid w:val="00F8684A"/>
    <w:rsid w:val="00F86EDB"/>
    <w:rsid w:val="00F87FA2"/>
    <w:rsid w:val="00F9058B"/>
    <w:rsid w:val="00F92960"/>
    <w:rsid w:val="00F92B97"/>
    <w:rsid w:val="00F937DF"/>
    <w:rsid w:val="00F94415"/>
    <w:rsid w:val="00F94944"/>
    <w:rsid w:val="00F9542F"/>
    <w:rsid w:val="00F955E4"/>
    <w:rsid w:val="00F95FB0"/>
    <w:rsid w:val="00F96B6D"/>
    <w:rsid w:val="00F97127"/>
    <w:rsid w:val="00FA09C7"/>
    <w:rsid w:val="00FA12A2"/>
    <w:rsid w:val="00FA1E7E"/>
    <w:rsid w:val="00FA2574"/>
    <w:rsid w:val="00FA38DB"/>
    <w:rsid w:val="00FA3E01"/>
    <w:rsid w:val="00FA4EAB"/>
    <w:rsid w:val="00FA58FC"/>
    <w:rsid w:val="00FA5B38"/>
    <w:rsid w:val="00FA6294"/>
    <w:rsid w:val="00FA7DD8"/>
    <w:rsid w:val="00FB0D1B"/>
    <w:rsid w:val="00FB1B3F"/>
    <w:rsid w:val="00FB2646"/>
    <w:rsid w:val="00FB520A"/>
    <w:rsid w:val="00FB525A"/>
    <w:rsid w:val="00FB57C2"/>
    <w:rsid w:val="00FB6017"/>
    <w:rsid w:val="00FB615D"/>
    <w:rsid w:val="00FB6243"/>
    <w:rsid w:val="00FB6E41"/>
    <w:rsid w:val="00FB70CB"/>
    <w:rsid w:val="00FB7198"/>
    <w:rsid w:val="00FC0BF1"/>
    <w:rsid w:val="00FC136D"/>
    <w:rsid w:val="00FC2EB4"/>
    <w:rsid w:val="00FC343F"/>
    <w:rsid w:val="00FC37FA"/>
    <w:rsid w:val="00FC3D06"/>
    <w:rsid w:val="00FC48E9"/>
    <w:rsid w:val="00FC49F4"/>
    <w:rsid w:val="00FC65E3"/>
    <w:rsid w:val="00FC68CC"/>
    <w:rsid w:val="00FC6DC4"/>
    <w:rsid w:val="00FC7018"/>
    <w:rsid w:val="00FD001F"/>
    <w:rsid w:val="00FD16BE"/>
    <w:rsid w:val="00FD17C2"/>
    <w:rsid w:val="00FD3EB3"/>
    <w:rsid w:val="00FD4AB7"/>
    <w:rsid w:val="00FD5766"/>
    <w:rsid w:val="00FE210C"/>
    <w:rsid w:val="00FE225E"/>
    <w:rsid w:val="00FE2925"/>
    <w:rsid w:val="00FE3173"/>
    <w:rsid w:val="00FE3C18"/>
    <w:rsid w:val="00FE41D8"/>
    <w:rsid w:val="00FE446D"/>
    <w:rsid w:val="00FE5A52"/>
    <w:rsid w:val="00FE7124"/>
    <w:rsid w:val="00FF06B9"/>
    <w:rsid w:val="00FF0A81"/>
    <w:rsid w:val="00FF11D0"/>
    <w:rsid w:val="00FF1940"/>
    <w:rsid w:val="00FF1AEA"/>
    <w:rsid w:val="00FF327F"/>
    <w:rsid w:val="00FF34EC"/>
    <w:rsid w:val="00FF39DB"/>
    <w:rsid w:val="00FF3AAB"/>
    <w:rsid w:val="00FF4232"/>
    <w:rsid w:val="00FF4A68"/>
    <w:rsid w:val="00FF5A4F"/>
    <w:rsid w:val="00FF5D37"/>
    <w:rsid w:val="00FF5DFA"/>
    <w:rsid w:val="00FF5F96"/>
    <w:rsid w:val="00FF7696"/>
    <w:rsid w:val="00FF794A"/>
    <w:rsid w:val="00FF7F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0A02F670"/>
  <w15:docId w15:val="{4216D9CA-0E7B-4426-9156-BE845452B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023357"/>
    <w:pPr>
      <w:spacing w:after="0" w:line="360" w:lineRule="auto"/>
      <w:ind w:firstLine="709"/>
      <w:jc w:val="both"/>
    </w:pPr>
    <w:rPr>
      <w:rFonts w:ascii="Times New Roman" w:hAnsi="Times New Roman"/>
      <w:sz w:val="24"/>
    </w:rPr>
  </w:style>
  <w:style w:type="paragraph" w:styleId="1">
    <w:name w:val="heading 1"/>
    <w:basedOn w:val="a2"/>
    <w:next w:val="a1"/>
    <w:link w:val="10"/>
    <w:uiPriority w:val="9"/>
    <w:qFormat/>
    <w:rsid w:val="0070534F"/>
    <w:pPr>
      <w:keepNext/>
      <w:keepLines/>
      <w:pageBreakBefore/>
      <w:jc w:val="left"/>
      <w:outlineLvl w:val="0"/>
    </w:pPr>
    <w:rPr>
      <w:b/>
      <w:caps/>
      <w:sz w:val="28"/>
    </w:rPr>
  </w:style>
  <w:style w:type="paragraph" w:styleId="2">
    <w:name w:val="heading 2"/>
    <w:basedOn w:val="a1"/>
    <w:next w:val="a1"/>
    <w:link w:val="20"/>
    <w:uiPriority w:val="9"/>
    <w:unhideWhenUsed/>
    <w:qFormat/>
    <w:rsid w:val="0070534F"/>
    <w:pPr>
      <w:keepNext/>
      <w:keepLines/>
      <w:spacing w:before="200" w:after="120"/>
      <w:ind w:firstLine="0"/>
      <w:jc w:val="left"/>
      <w:outlineLvl w:val="1"/>
    </w:pPr>
    <w:rPr>
      <w:rFonts w:eastAsiaTheme="majorEastAsia" w:cstheme="majorBidi"/>
      <w:b/>
      <w:bCs/>
      <w:color w:val="000000" w:themeColor="text1"/>
      <w:sz w:val="26"/>
      <w:szCs w:val="26"/>
    </w:rPr>
  </w:style>
  <w:style w:type="paragraph" w:styleId="3">
    <w:name w:val="heading 3"/>
    <w:basedOn w:val="30"/>
    <w:next w:val="a1"/>
    <w:link w:val="31"/>
    <w:uiPriority w:val="9"/>
    <w:unhideWhenUsed/>
    <w:qFormat/>
    <w:rsid w:val="008334CC"/>
    <w:pPr>
      <w:outlineLvl w:val="2"/>
    </w:pPr>
  </w:style>
  <w:style w:type="paragraph" w:styleId="4">
    <w:name w:val="heading 4"/>
    <w:basedOn w:val="a1"/>
    <w:next w:val="a1"/>
    <w:link w:val="40"/>
    <w:uiPriority w:val="9"/>
    <w:unhideWhenUsed/>
    <w:qFormat/>
    <w:rsid w:val="000045F5"/>
    <w:pPr>
      <w:keepNext/>
      <w:keepLines/>
      <w:spacing w:before="40"/>
      <w:outlineLvl w:val="3"/>
    </w:pPr>
    <w:rPr>
      <w:rFonts w:eastAsiaTheme="majorEastAsia" w:cs="Times New Roman"/>
      <w:b/>
      <w:bCs/>
      <w:i/>
      <w:iC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6">
    <w:name w:val="ПМО без отступа"/>
    <w:basedOn w:val="a1"/>
    <w:next w:val="a1"/>
    <w:qFormat/>
    <w:rsid w:val="00B761A6"/>
    <w:rPr>
      <w:rFonts w:cs="Times New Roman"/>
      <w:szCs w:val="24"/>
    </w:rPr>
  </w:style>
  <w:style w:type="paragraph" w:customStyle="1" w:styleId="a2">
    <w:name w:val="ПМО по центру"/>
    <w:basedOn w:val="a1"/>
    <w:qFormat/>
    <w:rsid w:val="00D5450F"/>
    <w:pPr>
      <w:ind w:firstLine="0"/>
      <w:jc w:val="center"/>
    </w:pPr>
  </w:style>
  <w:style w:type="character" w:customStyle="1" w:styleId="10">
    <w:name w:val="Заголовок 1 Знак"/>
    <w:basedOn w:val="a3"/>
    <w:link w:val="1"/>
    <w:uiPriority w:val="9"/>
    <w:rsid w:val="0070534F"/>
    <w:rPr>
      <w:rFonts w:ascii="Times New Roman" w:hAnsi="Times New Roman"/>
      <w:b/>
      <w:caps/>
      <w:sz w:val="28"/>
    </w:rPr>
  </w:style>
  <w:style w:type="character" w:customStyle="1" w:styleId="20">
    <w:name w:val="Заголовок 2 Знак"/>
    <w:basedOn w:val="a3"/>
    <w:link w:val="2"/>
    <w:uiPriority w:val="9"/>
    <w:rsid w:val="0070534F"/>
    <w:rPr>
      <w:rFonts w:ascii="Times New Roman" w:eastAsiaTheme="majorEastAsia" w:hAnsi="Times New Roman" w:cstheme="majorBidi"/>
      <w:b/>
      <w:bCs/>
      <w:color w:val="000000" w:themeColor="text1"/>
      <w:sz w:val="26"/>
      <w:szCs w:val="26"/>
    </w:rPr>
  </w:style>
  <w:style w:type="paragraph" w:styleId="a7">
    <w:name w:val="Title"/>
    <w:basedOn w:val="a1"/>
    <w:next w:val="a1"/>
    <w:link w:val="a8"/>
    <w:uiPriority w:val="10"/>
    <w:qFormat/>
    <w:rsid w:val="00B761A6"/>
    <w:pPr>
      <w:keepNext/>
      <w:keepLines/>
      <w:pBdr>
        <w:bottom w:val="single" w:sz="8" w:space="4" w:color="4F81BD" w:themeColor="accent1"/>
      </w:pBdr>
      <w:spacing w:after="300" w:line="240" w:lineRule="auto"/>
      <w:contextualSpacing/>
      <w:jc w:val="left"/>
    </w:pPr>
    <w:rPr>
      <w:rFonts w:eastAsiaTheme="majorEastAsia" w:cstheme="majorBidi"/>
      <w:b/>
      <w:spacing w:val="5"/>
      <w:kern w:val="28"/>
      <w:szCs w:val="52"/>
    </w:rPr>
  </w:style>
  <w:style w:type="character" w:customStyle="1" w:styleId="a8">
    <w:name w:val="Заголовок Знак"/>
    <w:basedOn w:val="a3"/>
    <w:link w:val="a7"/>
    <w:uiPriority w:val="10"/>
    <w:rsid w:val="00B761A6"/>
    <w:rPr>
      <w:rFonts w:ascii="Times New Roman" w:eastAsiaTheme="majorEastAsia" w:hAnsi="Times New Roman" w:cstheme="majorBidi"/>
      <w:b/>
      <w:spacing w:val="5"/>
      <w:kern w:val="28"/>
      <w:sz w:val="24"/>
      <w:szCs w:val="52"/>
    </w:rPr>
  </w:style>
  <w:style w:type="paragraph" w:customStyle="1" w:styleId="a0">
    <w:name w:val="ПМО Подпись к рисунку"/>
    <w:basedOn w:val="a1"/>
    <w:qFormat/>
    <w:rsid w:val="00820DDA"/>
    <w:pPr>
      <w:numPr>
        <w:numId w:val="1"/>
      </w:numPr>
      <w:spacing w:before="120" w:after="240"/>
      <w:ind w:left="0" w:firstLine="0"/>
      <w:jc w:val="center"/>
    </w:pPr>
    <w:rPr>
      <w:i/>
    </w:rPr>
  </w:style>
  <w:style w:type="paragraph" w:customStyle="1" w:styleId="a9">
    <w:name w:val="ПМО Рисунок"/>
    <w:basedOn w:val="a1"/>
    <w:qFormat/>
    <w:rsid w:val="00820DDA"/>
    <w:pPr>
      <w:keepNext/>
      <w:keepLines/>
      <w:spacing w:before="240"/>
      <w:ind w:firstLine="0"/>
      <w:jc w:val="center"/>
    </w:pPr>
  </w:style>
  <w:style w:type="paragraph" w:styleId="aa">
    <w:name w:val="Balloon Text"/>
    <w:basedOn w:val="a1"/>
    <w:link w:val="ab"/>
    <w:uiPriority w:val="99"/>
    <w:semiHidden/>
    <w:unhideWhenUsed/>
    <w:rsid w:val="00C24D2C"/>
    <w:pPr>
      <w:spacing w:line="240" w:lineRule="auto"/>
    </w:pPr>
    <w:rPr>
      <w:rFonts w:ascii="Tahoma" w:hAnsi="Tahoma" w:cs="Tahoma"/>
      <w:sz w:val="16"/>
      <w:szCs w:val="16"/>
    </w:rPr>
  </w:style>
  <w:style w:type="character" w:customStyle="1" w:styleId="ab">
    <w:name w:val="Текст выноски Знак"/>
    <w:basedOn w:val="a3"/>
    <w:link w:val="aa"/>
    <w:uiPriority w:val="99"/>
    <w:semiHidden/>
    <w:rsid w:val="00C24D2C"/>
    <w:rPr>
      <w:rFonts w:ascii="Tahoma" w:hAnsi="Tahoma" w:cs="Tahoma"/>
      <w:sz w:val="16"/>
      <w:szCs w:val="16"/>
    </w:rPr>
  </w:style>
  <w:style w:type="paragraph" w:customStyle="1" w:styleId="ac">
    <w:name w:val="ПМО Заголовок таблицы"/>
    <w:basedOn w:val="a1"/>
    <w:qFormat/>
    <w:rsid w:val="00820DDA"/>
    <w:pPr>
      <w:ind w:firstLine="0"/>
      <w:jc w:val="left"/>
    </w:pPr>
    <w:rPr>
      <w:b/>
    </w:rPr>
  </w:style>
  <w:style w:type="table" w:styleId="ad">
    <w:name w:val="Table Grid"/>
    <w:basedOn w:val="a4"/>
    <w:uiPriority w:val="39"/>
    <w:rsid w:val="001763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ПМО Содержимое таблицы"/>
    <w:basedOn w:val="ac"/>
    <w:qFormat/>
    <w:rsid w:val="00820DDA"/>
    <w:pPr>
      <w:widowControl w:val="0"/>
    </w:pPr>
    <w:rPr>
      <w:b w:val="0"/>
      <w:sz w:val="20"/>
    </w:rPr>
  </w:style>
  <w:style w:type="paragraph" w:customStyle="1" w:styleId="a">
    <w:name w:val="ПМО Подпись к таблице"/>
    <w:basedOn w:val="a1"/>
    <w:next w:val="a1"/>
    <w:qFormat/>
    <w:rsid w:val="00820DDA"/>
    <w:pPr>
      <w:keepNext/>
      <w:keepLines/>
      <w:numPr>
        <w:numId w:val="2"/>
      </w:numPr>
      <w:spacing w:before="240" w:line="240" w:lineRule="auto"/>
      <w:ind w:left="0" w:firstLine="0"/>
      <w:jc w:val="right"/>
    </w:pPr>
  </w:style>
  <w:style w:type="table" w:customStyle="1" w:styleId="11">
    <w:name w:val="Сетка таблицы1"/>
    <w:basedOn w:val="a4"/>
    <w:next w:val="ad"/>
    <w:uiPriority w:val="59"/>
    <w:rsid w:val="00434F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 Spacing"/>
    <w:aliases w:val="ПМО Без интервала"/>
    <w:basedOn w:val="a1"/>
    <w:next w:val="a1"/>
    <w:link w:val="af0"/>
    <w:uiPriority w:val="1"/>
    <w:qFormat/>
    <w:rsid w:val="006B155C"/>
    <w:pPr>
      <w:spacing w:line="240" w:lineRule="auto"/>
    </w:pPr>
  </w:style>
  <w:style w:type="paragraph" w:customStyle="1" w:styleId="30">
    <w:name w:val="Заголовок 3 ПМО"/>
    <w:basedOn w:val="a6"/>
    <w:qFormat/>
    <w:rsid w:val="0070534F"/>
    <w:pPr>
      <w:keepNext/>
      <w:keepLines/>
      <w:ind w:firstLine="0"/>
      <w:jc w:val="left"/>
    </w:pPr>
    <w:rPr>
      <w:b/>
    </w:rPr>
  </w:style>
  <w:style w:type="paragraph" w:customStyle="1" w:styleId="c">
    <w:name w:val="ПМО Стиль c отступом"/>
    <w:basedOn w:val="a6"/>
    <w:qFormat/>
    <w:rsid w:val="004D354E"/>
    <w:pPr>
      <w:ind w:firstLine="4536"/>
      <w:jc w:val="left"/>
    </w:pPr>
  </w:style>
  <w:style w:type="character" w:customStyle="1" w:styleId="af1">
    <w:name w:val="ПМО полужирный"/>
    <w:basedOn w:val="a3"/>
    <w:uiPriority w:val="1"/>
    <w:qFormat/>
    <w:rsid w:val="004D354E"/>
    <w:rPr>
      <w:rFonts w:ascii="Times New Roman" w:hAnsi="Times New Roman"/>
      <w:b/>
      <w:sz w:val="24"/>
    </w:rPr>
  </w:style>
  <w:style w:type="character" w:customStyle="1" w:styleId="af2">
    <w:name w:val="ПМО Подчеркнутый"/>
    <w:basedOn w:val="a3"/>
    <w:uiPriority w:val="1"/>
    <w:qFormat/>
    <w:rsid w:val="004D354E"/>
    <w:rPr>
      <w:u w:val="single"/>
      <w:lang w:val="en-US"/>
    </w:rPr>
  </w:style>
  <w:style w:type="paragraph" w:styleId="af3">
    <w:name w:val="header"/>
    <w:basedOn w:val="a1"/>
    <w:link w:val="af4"/>
    <w:uiPriority w:val="99"/>
    <w:unhideWhenUsed/>
    <w:rsid w:val="00D305E6"/>
    <w:pPr>
      <w:tabs>
        <w:tab w:val="center" w:pos="4677"/>
        <w:tab w:val="right" w:pos="9355"/>
      </w:tabs>
      <w:spacing w:line="240" w:lineRule="auto"/>
    </w:pPr>
  </w:style>
  <w:style w:type="table" w:customStyle="1" w:styleId="TableNormal1">
    <w:name w:val="Table Normal1"/>
    <w:uiPriority w:val="2"/>
    <w:semiHidden/>
    <w:qFormat/>
    <w:rsid w:val="001F3566"/>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31">
    <w:name w:val="Заголовок 3 Знак"/>
    <w:basedOn w:val="a3"/>
    <w:link w:val="3"/>
    <w:uiPriority w:val="9"/>
    <w:rsid w:val="008334CC"/>
    <w:rPr>
      <w:rFonts w:ascii="Times New Roman" w:hAnsi="Times New Roman" w:cs="Times New Roman"/>
      <w:b/>
      <w:sz w:val="24"/>
      <w:szCs w:val="24"/>
    </w:rPr>
  </w:style>
  <w:style w:type="character" w:customStyle="1" w:styleId="af4">
    <w:name w:val="Верхний колонтитул Знак"/>
    <w:basedOn w:val="a3"/>
    <w:link w:val="af3"/>
    <w:uiPriority w:val="99"/>
    <w:rsid w:val="00D305E6"/>
    <w:rPr>
      <w:rFonts w:ascii="Times New Roman" w:hAnsi="Times New Roman"/>
      <w:sz w:val="24"/>
    </w:rPr>
  </w:style>
  <w:style w:type="paragraph" w:styleId="af5">
    <w:name w:val="footer"/>
    <w:basedOn w:val="a1"/>
    <w:link w:val="af6"/>
    <w:uiPriority w:val="99"/>
    <w:unhideWhenUsed/>
    <w:rsid w:val="00D305E6"/>
    <w:pPr>
      <w:tabs>
        <w:tab w:val="center" w:pos="4677"/>
        <w:tab w:val="right" w:pos="9355"/>
      </w:tabs>
      <w:spacing w:line="240" w:lineRule="auto"/>
    </w:pPr>
  </w:style>
  <w:style w:type="character" w:customStyle="1" w:styleId="af6">
    <w:name w:val="Нижний колонтитул Знак"/>
    <w:basedOn w:val="a3"/>
    <w:link w:val="af5"/>
    <w:uiPriority w:val="99"/>
    <w:rsid w:val="00D305E6"/>
    <w:rPr>
      <w:rFonts w:ascii="Times New Roman" w:hAnsi="Times New Roman"/>
      <w:sz w:val="24"/>
    </w:rPr>
  </w:style>
  <w:style w:type="paragraph" w:styleId="af7">
    <w:name w:val="List Paragraph"/>
    <w:basedOn w:val="a1"/>
    <w:link w:val="af8"/>
    <w:uiPriority w:val="34"/>
    <w:qFormat/>
    <w:rsid w:val="00896640"/>
    <w:pPr>
      <w:spacing w:after="200" w:line="276" w:lineRule="auto"/>
      <w:ind w:left="720" w:firstLine="0"/>
      <w:contextualSpacing/>
      <w:jc w:val="left"/>
    </w:pPr>
    <w:rPr>
      <w:rFonts w:asciiTheme="minorHAnsi" w:hAnsiTheme="minorHAnsi"/>
      <w:sz w:val="22"/>
    </w:rPr>
  </w:style>
  <w:style w:type="character" w:styleId="af9">
    <w:name w:val="Hyperlink"/>
    <w:basedOn w:val="a3"/>
    <w:uiPriority w:val="99"/>
    <w:unhideWhenUsed/>
    <w:rsid w:val="00BA61BE"/>
    <w:rPr>
      <w:color w:val="0000FF"/>
      <w:u w:val="single"/>
    </w:rPr>
  </w:style>
  <w:style w:type="paragraph" w:styleId="afa">
    <w:name w:val="endnote text"/>
    <w:basedOn w:val="a1"/>
    <w:link w:val="afb"/>
    <w:uiPriority w:val="99"/>
    <w:semiHidden/>
    <w:unhideWhenUsed/>
    <w:rsid w:val="00154343"/>
    <w:pPr>
      <w:spacing w:line="240" w:lineRule="auto"/>
    </w:pPr>
    <w:rPr>
      <w:sz w:val="20"/>
      <w:szCs w:val="20"/>
    </w:rPr>
  </w:style>
  <w:style w:type="character" w:customStyle="1" w:styleId="afb">
    <w:name w:val="Текст концевой сноски Знак"/>
    <w:basedOn w:val="a3"/>
    <w:link w:val="afa"/>
    <w:uiPriority w:val="99"/>
    <w:semiHidden/>
    <w:rsid w:val="00154343"/>
    <w:rPr>
      <w:rFonts w:ascii="Times New Roman" w:hAnsi="Times New Roman"/>
      <w:sz w:val="20"/>
      <w:szCs w:val="20"/>
    </w:rPr>
  </w:style>
  <w:style w:type="character" w:styleId="afc">
    <w:name w:val="endnote reference"/>
    <w:basedOn w:val="a3"/>
    <w:uiPriority w:val="99"/>
    <w:semiHidden/>
    <w:unhideWhenUsed/>
    <w:rsid w:val="00154343"/>
    <w:rPr>
      <w:vertAlign w:val="superscript"/>
    </w:rPr>
  </w:style>
  <w:style w:type="paragraph" w:styleId="afd">
    <w:name w:val="footnote text"/>
    <w:basedOn w:val="a1"/>
    <w:link w:val="afe"/>
    <w:autoRedefine/>
    <w:uiPriority w:val="99"/>
    <w:qFormat/>
    <w:rsid w:val="00CF70CD"/>
    <w:pPr>
      <w:spacing w:line="240" w:lineRule="auto"/>
    </w:pPr>
    <w:rPr>
      <w:rFonts w:cs="Times New Roman"/>
      <w:color w:val="222222"/>
      <w:sz w:val="20"/>
      <w:szCs w:val="24"/>
      <w:shd w:val="clear" w:color="auto" w:fill="FFFFFF"/>
      <w:lang w:val="en-US"/>
    </w:rPr>
  </w:style>
  <w:style w:type="character" w:customStyle="1" w:styleId="afe">
    <w:name w:val="Текст сноски Знак"/>
    <w:basedOn w:val="a3"/>
    <w:link w:val="afd"/>
    <w:uiPriority w:val="99"/>
    <w:rsid w:val="00CF70CD"/>
    <w:rPr>
      <w:rFonts w:ascii="Times New Roman" w:hAnsi="Times New Roman" w:cs="Times New Roman"/>
      <w:color w:val="222222"/>
      <w:sz w:val="20"/>
      <w:szCs w:val="24"/>
      <w:lang w:val="en-US"/>
    </w:rPr>
  </w:style>
  <w:style w:type="character" w:styleId="aff">
    <w:name w:val="footnote reference"/>
    <w:basedOn w:val="a3"/>
    <w:uiPriority w:val="99"/>
    <w:semiHidden/>
    <w:unhideWhenUsed/>
    <w:rsid w:val="00D82180"/>
    <w:rPr>
      <w:vertAlign w:val="superscript"/>
    </w:rPr>
  </w:style>
  <w:style w:type="character" w:customStyle="1" w:styleId="tblres">
    <w:name w:val="tblres"/>
    <w:basedOn w:val="a3"/>
    <w:rsid w:val="00112886"/>
  </w:style>
  <w:style w:type="character" w:customStyle="1" w:styleId="nosel">
    <w:name w:val="nosel"/>
    <w:basedOn w:val="a3"/>
    <w:rsid w:val="00112886"/>
  </w:style>
  <w:style w:type="character" w:styleId="aff0">
    <w:name w:val="Unresolved Mention"/>
    <w:basedOn w:val="a3"/>
    <w:uiPriority w:val="99"/>
    <w:semiHidden/>
    <w:unhideWhenUsed/>
    <w:rsid w:val="00E868B6"/>
    <w:rPr>
      <w:color w:val="605E5C"/>
      <w:shd w:val="clear" w:color="auto" w:fill="E1DFDD"/>
    </w:rPr>
  </w:style>
  <w:style w:type="character" w:styleId="aff1">
    <w:name w:val="Strong"/>
    <w:basedOn w:val="a3"/>
    <w:uiPriority w:val="22"/>
    <w:qFormat/>
    <w:rsid w:val="00FF5A4F"/>
    <w:rPr>
      <w:b/>
      <w:bCs/>
    </w:rPr>
  </w:style>
  <w:style w:type="character" w:customStyle="1" w:styleId="aqpopupwrapper">
    <w:name w:val="aqpopupwrapper"/>
    <w:basedOn w:val="a3"/>
    <w:rsid w:val="00761EB3"/>
  </w:style>
  <w:style w:type="paragraph" w:customStyle="1" w:styleId="aff2">
    <w:name w:val="основной абзац"/>
    <w:basedOn w:val="a1"/>
    <w:rsid w:val="005C647F"/>
    <w:pPr>
      <w:spacing w:line="240" w:lineRule="auto"/>
      <w:ind w:firstLine="0"/>
    </w:pPr>
    <w:rPr>
      <w:rFonts w:eastAsia="Times New Roman" w:cs="Times New Roman"/>
      <w:szCs w:val="24"/>
      <w:lang w:eastAsia="ru-RU"/>
    </w:rPr>
  </w:style>
  <w:style w:type="paragraph" w:styleId="aff3">
    <w:name w:val="Normal (Web)"/>
    <w:basedOn w:val="a1"/>
    <w:uiPriority w:val="99"/>
    <w:unhideWhenUsed/>
    <w:rsid w:val="00132C73"/>
    <w:pPr>
      <w:spacing w:before="100" w:beforeAutospacing="1" w:after="100" w:afterAutospacing="1" w:line="240" w:lineRule="auto"/>
      <w:ind w:firstLine="0"/>
      <w:jc w:val="left"/>
    </w:pPr>
    <w:rPr>
      <w:rFonts w:eastAsia="Times New Roman" w:cs="Times New Roman"/>
      <w:szCs w:val="24"/>
      <w:lang w:val="en-US"/>
    </w:rPr>
  </w:style>
  <w:style w:type="character" w:customStyle="1" w:styleId="tlid-translation">
    <w:name w:val="tlid-translation"/>
    <w:basedOn w:val="a3"/>
    <w:rsid w:val="00675EB1"/>
  </w:style>
  <w:style w:type="character" w:styleId="aff4">
    <w:name w:val="FollowedHyperlink"/>
    <w:basedOn w:val="a3"/>
    <w:uiPriority w:val="99"/>
    <w:semiHidden/>
    <w:unhideWhenUsed/>
    <w:rsid w:val="009C3622"/>
    <w:rPr>
      <w:color w:val="800080" w:themeColor="followedHyperlink"/>
      <w:u w:val="single"/>
    </w:rPr>
  </w:style>
  <w:style w:type="character" w:customStyle="1" w:styleId="af8">
    <w:name w:val="Абзац списка Знак"/>
    <w:basedOn w:val="a3"/>
    <w:link w:val="af7"/>
    <w:uiPriority w:val="34"/>
    <w:rsid w:val="005C6E01"/>
  </w:style>
  <w:style w:type="character" w:customStyle="1" w:styleId="apple-converted-space">
    <w:name w:val="apple-converted-space"/>
    <w:basedOn w:val="a3"/>
    <w:rsid w:val="00F60936"/>
  </w:style>
  <w:style w:type="table" w:customStyle="1" w:styleId="21">
    <w:name w:val="Стиль2"/>
    <w:basedOn w:val="a4"/>
    <w:uiPriority w:val="99"/>
    <w:rsid w:val="00F60936"/>
    <w:pPr>
      <w:spacing w:after="0" w:line="240" w:lineRule="auto"/>
      <w:jc w:val="center"/>
    </w:pPr>
    <w:rPr>
      <w:rFonts w:ascii="Times New Roman" w:hAnsi="Times New Roman"/>
      <w:sz w:val="24"/>
      <w:lang w:eastAsia="ru-RU"/>
    </w:rPr>
    <w:tblPr>
      <w:tblInd w:w="0" w:type="nil"/>
      <w:tblBorders>
        <w:top w:val="single" w:sz="6" w:space="0" w:color="948A54" w:themeColor="background2" w:themeShade="80"/>
        <w:left w:val="single" w:sz="6" w:space="0" w:color="948A54" w:themeColor="background2" w:themeShade="80"/>
        <w:bottom w:val="single" w:sz="6" w:space="0" w:color="948A54" w:themeColor="background2" w:themeShade="80"/>
        <w:right w:val="single" w:sz="6" w:space="0" w:color="948A54" w:themeColor="background2" w:themeShade="80"/>
        <w:insideH w:val="single" w:sz="6" w:space="0" w:color="948A54" w:themeColor="background2" w:themeShade="80"/>
        <w:insideV w:val="single" w:sz="6" w:space="0" w:color="948A54" w:themeColor="background2" w:themeShade="80"/>
      </w:tblBorders>
    </w:tblPr>
    <w:tcPr>
      <w:shd w:val="clear" w:color="auto" w:fill="D6E3BC" w:themeFill="accent3" w:themeFillTint="66"/>
      <w:vAlign w:val="center"/>
    </w:tcPr>
  </w:style>
  <w:style w:type="paragraph" w:styleId="aff5">
    <w:name w:val="TOC Heading"/>
    <w:basedOn w:val="1"/>
    <w:next w:val="a1"/>
    <w:uiPriority w:val="39"/>
    <w:unhideWhenUsed/>
    <w:qFormat/>
    <w:rsid w:val="006C3FDC"/>
    <w:pPr>
      <w:pageBreakBefore w:val="0"/>
      <w:spacing w:before="240" w:line="259" w:lineRule="auto"/>
      <w:outlineLvl w:val="9"/>
    </w:pPr>
    <w:rPr>
      <w:rFonts w:asciiTheme="majorHAnsi" w:eastAsiaTheme="majorEastAsia" w:hAnsiTheme="majorHAnsi" w:cstheme="majorBidi"/>
      <w:b w:val="0"/>
      <w:caps w:val="0"/>
      <w:color w:val="365F91" w:themeColor="accent1" w:themeShade="BF"/>
      <w:sz w:val="32"/>
      <w:szCs w:val="32"/>
      <w:lang w:val="en-US"/>
    </w:rPr>
  </w:style>
  <w:style w:type="paragraph" w:styleId="12">
    <w:name w:val="toc 1"/>
    <w:basedOn w:val="a1"/>
    <w:next w:val="a1"/>
    <w:autoRedefine/>
    <w:uiPriority w:val="39"/>
    <w:unhideWhenUsed/>
    <w:rsid w:val="000643F9"/>
    <w:pPr>
      <w:tabs>
        <w:tab w:val="right" w:leader="dot" w:pos="9345"/>
      </w:tabs>
      <w:spacing w:before="240" w:line="240" w:lineRule="auto"/>
    </w:pPr>
    <w:rPr>
      <w:b/>
      <w:bCs/>
      <w:noProof/>
    </w:rPr>
  </w:style>
  <w:style w:type="paragraph" w:styleId="22">
    <w:name w:val="toc 2"/>
    <w:basedOn w:val="a1"/>
    <w:next w:val="a1"/>
    <w:autoRedefine/>
    <w:uiPriority w:val="39"/>
    <w:unhideWhenUsed/>
    <w:rsid w:val="00B04EAA"/>
    <w:pPr>
      <w:tabs>
        <w:tab w:val="left" w:pos="1540"/>
        <w:tab w:val="right" w:leader="dot" w:pos="9345"/>
      </w:tabs>
      <w:spacing w:after="100" w:line="240" w:lineRule="auto"/>
      <w:ind w:left="240"/>
    </w:pPr>
    <w:rPr>
      <w:bCs/>
      <w:noProof/>
    </w:rPr>
  </w:style>
  <w:style w:type="character" w:styleId="aff6">
    <w:name w:val="annotation reference"/>
    <w:basedOn w:val="a3"/>
    <w:uiPriority w:val="99"/>
    <w:semiHidden/>
    <w:unhideWhenUsed/>
    <w:rsid w:val="00933BFC"/>
    <w:rPr>
      <w:sz w:val="16"/>
      <w:szCs w:val="16"/>
    </w:rPr>
  </w:style>
  <w:style w:type="paragraph" w:styleId="aff7">
    <w:name w:val="annotation text"/>
    <w:basedOn w:val="a1"/>
    <w:link w:val="aff8"/>
    <w:uiPriority w:val="99"/>
    <w:semiHidden/>
    <w:unhideWhenUsed/>
    <w:rsid w:val="00933BFC"/>
    <w:pPr>
      <w:spacing w:line="240" w:lineRule="auto"/>
    </w:pPr>
    <w:rPr>
      <w:sz w:val="20"/>
      <w:szCs w:val="20"/>
    </w:rPr>
  </w:style>
  <w:style w:type="character" w:customStyle="1" w:styleId="aff8">
    <w:name w:val="Текст примечания Знак"/>
    <w:basedOn w:val="a3"/>
    <w:link w:val="aff7"/>
    <w:uiPriority w:val="99"/>
    <w:semiHidden/>
    <w:rsid w:val="00933BFC"/>
    <w:rPr>
      <w:rFonts w:ascii="Times New Roman" w:hAnsi="Times New Roman"/>
      <w:sz w:val="20"/>
      <w:szCs w:val="20"/>
    </w:rPr>
  </w:style>
  <w:style w:type="paragraph" w:styleId="aff9">
    <w:name w:val="annotation subject"/>
    <w:basedOn w:val="aff7"/>
    <w:next w:val="aff7"/>
    <w:link w:val="affa"/>
    <w:uiPriority w:val="99"/>
    <w:semiHidden/>
    <w:unhideWhenUsed/>
    <w:rsid w:val="00933BFC"/>
    <w:rPr>
      <w:b/>
      <w:bCs/>
    </w:rPr>
  </w:style>
  <w:style w:type="character" w:customStyle="1" w:styleId="affa">
    <w:name w:val="Тема примечания Знак"/>
    <w:basedOn w:val="aff8"/>
    <w:link w:val="aff9"/>
    <w:uiPriority w:val="99"/>
    <w:semiHidden/>
    <w:rsid w:val="00933BFC"/>
    <w:rPr>
      <w:rFonts w:ascii="Times New Roman" w:hAnsi="Times New Roman"/>
      <w:b/>
      <w:bCs/>
      <w:sz w:val="20"/>
      <w:szCs w:val="20"/>
    </w:rPr>
  </w:style>
  <w:style w:type="character" w:styleId="affb">
    <w:name w:val="Placeholder Text"/>
    <w:basedOn w:val="a3"/>
    <w:uiPriority w:val="99"/>
    <w:semiHidden/>
    <w:rsid w:val="008C1828"/>
    <w:rPr>
      <w:color w:val="808080"/>
    </w:rPr>
  </w:style>
  <w:style w:type="character" w:customStyle="1" w:styleId="40">
    <w:name w:val="Заголовок 4 Знак"/>
    <w:basedOn w:val="a3"/>
    <w:link w:val="4"/>
    <w:uiPriority w:val="9"/>
    <w:rsid w:val="000045F5"/>
    <w:rPr>
      <w:rFonts w:ascii="Times New Roman" w:eastAsiaTheme="majorEastAsia" w:hAnsi="Times New Roman" w:cs="Times New Roman"/>
      <w:b/>
      <w:bCs/>
      <w:i/>
      <w:iCs/>
      <w:sz w:val="24"/>
    </w:rPr>
  </w:style>
  <w:style w:type="paragraph" w:styleId="affc">
    <w:name w:val="Body Text"/>
    <w:basedOn w:val="a1"/>
    <w:link w:val="affd"/>
    <w:uiPriority w:val="1"/>
    <w:qFormat/>
    <w:rsid w:val="004676AD"/>
    <w:pPr>
      <w:widowControl w:val="0"/>
      <w:autoSpaceDE w:val="0"/>
      <w:autoSpaceDN w:val="0"/>
      <w:spacing w:line="240" w:lineRule="auto"/>
      <w:ind w:firstLine="0"/>
      <w:jc w:val="left"/>
    </w:pPr>
    <w:rPr>
      <w:rFonts w:eastAsia="Times New Roman" w:cs="Times New Roman"/>
      <w:i/>
      <w:iCs/>
      <w:szCs w:val="24"/>
    </w:rPr>
  </w:style>
  <w:style w:type="character" w:customStyle="1" w:styleId="affd">
    <w:name w:val="Основной текст Знак"/>
    <w:basedOn w:val="a3"/>
    <w:link w:val="affc"/>
    <w:uiPriority w:val="1"/>
    <w:rsid w:val="004676AD"/>
    <w:rPr>
      <w:rFonts w:ascii="Times New Roman" w:eastAsia="Times New Roman" w:hAnsi="Times New Roman" w:cs="Times New Roman"/>
      <w:i/>
      <w:iCs/>
      <w:sz w:val="24"/>
      <w:szCs w:val="24"/>
    </w:rPr>
  </w:style>
  <w:style w:type="character" w:customStyle="1" w:styleId="mntl-inline-citation">
    <w:name w:val="mntl-inline-citation"/>
    <w:basedOn w:val="a3"/>
    <w:rsid w:val="00B2059C"/>
  </w:style>
  <w:style w:type="paragraph" w:customStyle="1" w:styleId="comp">
    <w:name w:val="comp"/>
    <w:basedOn w:val="a1"/>
    <w:rsid w:val="004F321F"/>
    <w:pPr>
      <w:spacing w:before="100" w:beforeAutospacing="1" w:after="100" w:afterAutospacing="1" w:line="240" w:lineRule="auto"/>
      <w:ind w:firstLine="0"/>
      <w:jc w:val="left"/>
    </w:pPr>
    <w:rPr>
      <w:rFonts w:eastAsia="Times New Roman" w:cs="Times New Roman"/>
      <w:szCs w:val="24"/>
      <w:lang w:val="en-US"/>
    </w:rPr>
  </w:style>
  <w:style w:type="character" w:customStyle="1" w:styleId="eop">
    <w:name w:val="eop"/>
    <w:basedOn w:val="a3"/>
    <w:rsid w:val="007E2A74"/>
  </w:style>
  <w:style w:type="character" w:customStyle="1" w:styleId="q4iawc">
    <w:name w:val="q4iawc"/>
    <w:basedOn w:val="a3"/>
    <w:rsid w:val="000B0A71"/>
  </w:style>
  <w:style w:type="character" w:customStyle="1" w:styleId="accordion-tabbedtab-mobile">
    <w:name w:val="accordion-tabbed__tab-mobile"/>
    <w:basedOn w:val="a3"/>
    <w:rsid w:val="00961AB9"/>
  </w:style>
  <w:style w:type="character" w:customStyle="1" w:styleId="comma-separator">
    <w:name w:val="comma-separator"/>
    <w:basedOn w:val="a3"/>
    <w:rsid w:val="00961AB9"/>
  </w:style>
  <w:style w:type="paragraph" w:styleId="32">
    <w:name w:val="toc 3"/>
    <w:basedOn w:val="a1"/>
    <w:next w:val="a1"/>
    <w:autoRedefine/>
    <w:uiPriority w:val="39"/>
    <w:unhideWhenUsed/>
    <w:rsid w:val="00B04EAA"/>
    <w:pPr>
      <w:spacing w:after="100" w:line="192" w:lineRule="auto"/>
      <w:ind w:left="482"/>
    </w:pPr>
    <w:rPr>
      <w:i/>
    </w:rPr>
  </w:style>
  <w:style w:type="character" w:customStyle="1" w:styleId="citation">
    <w:name w:val="citation"/>
    <w:basedOn w:val="a3"/>
    <w:rsid w:val="00BF35F3"/>
  </w:style>
  <w:style w:type="character" w:styleId="affe">
    <w:name w:val="Emphasis"/>
    <w:basedOn w:val="a3"/>
    <w:uiPriority w:val="20"/>
    <w:qFormat/>
    <w:rsid w:val="002054B0"/>
    <w:rPr>
      <w:i/>
      <w:iCs/>
    </w:rPr>
  </w:style>
  <w:style w:type="character" w:customStyle="1" w:styleId="af0">
    <w:name w:val="Без интервала Знак"/>
    <w:aliases w:val="ПМО Без интервала Знак"/>
    <w:basedOn w:val="a3"/>
    <w:link w:val="af"/>
    <w:uiPriority w:val="1"/>
    <w:rsid w:val="004F72D4"/>
    <w:rPr>
      <w:rFonts w:ascii="Times New Roman" w:hAnsi="Times New Roman"/>
      <w:sz w:val="24"/>
    </w:rPr>
  </w:style>
  <w:style w:type="paragraph" w:styleId="41">
    <w:name w:val="toc 4"/>
    <w:basedOn w:val="a1"/>
    <w:next w:val="a1"/>
    <w:autoRedefine/>
    <w:uiPriority w:val="39"/>
    <w:unhideWhenUsed/>
    <w:rsid w:val="00694504"/>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43543">
      <w:bodyDiv w:val="1"/>
      <w:marLeft w:val="0"/>
      <w:marRight w:val="0"/>
      <w:marTop w:val="0"/>
      <w:marBottom w:val="0"/>
      <w:divBdr>
        <w:top w:val="none" w:sz="0" w:space="0" w:color="auto"/>
        <w:left w:val="none" w:sz="0" w:space="0" w:color="auto"/>
        <w:bottom w:val="none" w:sz="0" w:space="0" w:color="auto"/>
        <w:right w:val="none" w:sz="0" w:space="0" w:color="auto"/>
      </w:divBdr>
    </w:div>
    <w:div w:id="27026287">
      <w:bodyDiv w:val="1"/>
      <w:marLeft w:val="0"/>
      <w:marRight w:val="0"/>
      <w:marTop w:val="0"/>
      <w:marBottom w:val="0"/>
      <w:divBdr>
        <w:top w:val="none" w:sz="0" w:space="0" w:color="auto"/>
        <w:left w:val="none" w:sz="0" w:space="0" w:color="auto"/>
        <w:bottom w:val="none" w:sz="0" w:space="0" w:color="auto"/>
        <w:right w:val="none" w:sz="0" w:space="0" w:color="auto"/>
      </w:divBdr>
    </w:div>
    <w:div w:id="239600778">
      <w:bodyDiv w:val="1"/>
      <w:marLeft w:val="0"/>
      <w:marRight w:val="0"/>
      <w:marTop w:val="0"/>
      <w:marBottom w:val="0"/>
      <w:divBdr>
        <w:top w:val="none" w:sz="0" w:space="0" w:color="auto"/>
        <w:left w:val="none" w:sz="0" w:space="0" w:color="auto"/>
        <w:bottom w:val="none" w:sz="0" w:space="0" w:color="auto"/>
        <w:right w:val="none" w:sz="0" w:space="0" w:color="auto"/>
      </w:divBdr>
    </w:div>
    <w:div w:id="280843949">
      <w:bodyDiv w:val="1"/>
      <w:marLeft w:val="0"/>
      <w:marRight w:val="0"/>
      <w:marTop w:val="0"/>
      <w:marBottom w:val="0"/>
      <w:divBdr>
        <w:top w:val="none" w:sz="0" w:space="0" w:color="auto"/>
        <w:left w:val="none" w:sz="0" w:space="0" w:color="auto"/>
        <w:bottom w:val="none" w:sz="0" w:space="0" w:color="auto"/>
        <w:right w:val="none" w:sz="0" w:space="0" w:color="auto"/>
      </w:divBdr>
    </w:div>
    <w:div w:id="294917800">
      <w:bodyDiv w:val="1"/>
      <w:marLeft w:val="0"/>
      <w:marRight w:val="0"/>
      <w:marTop w:val="0"/>
      <w:marBottom w:val="0"/>
      <w:divBdr>
        <w:top w:val="none" w:sz="0" w:space="0" w:color="auto"/>
        <w:left w:val="none" w:sz="0" w:space="0" w:color="auto"/>
        <w:bottom w:val="none" w:sz="0" w:space="0" w:color="auto"/>
        <w:right w:val="none" w:sz="0" w:space="0" w:color="auto"/>
      </w:divBdr>
    </w:div>
    <w:div w:id="295453378">
      <w:bodyDiv w:val="1"/>
      <w:marLeft w:val="0"/>
      <w:marRight w:val="0"/>
      <w:marTop w:val="0"/>
      <w:marBottom w:val="0"/>
      <w:divBdr>
        <w:top w:val="none" w:sz="0" w:space="0" w:color="auto"/>
        <w:left w:val="none" w:sz="0" w:space="0" w:color="auto"/>
        <w:bottom w:val="none" w:sz="0" w:space="0" w:color="auto"/>
        <w:right w:val="none" w:sz="0" w:space="0" w:color="auto"/>
      </w:divBdr>
    </w:div>
    <w:div w:id="299193783">
      <w:bodyDiv w:val="1"/>
      <w:marLeft w:val="0"/>
      <w:marRight w:val="0"/>
      <w:marTop w:val="0"/>
      <w:marBottom w:val="0"/>
      <w:divBdr>
        <w:top w:val="none" w:sz="0" w:space="0" w:color="auto"/>
        <w:left w:val="none" w:sz="0" w:space="0" w:color="auto"/>
        <w:bottom w:val="none" w:sz="0" w:space="0" w:color="auto"/>
        <w:right w:val="none" w:sz="0" w:space="0" w:color="auto"/>
      </w:divBdr>
    </w:div>
    <w:div w:id="326833271">
      <w:bodyDiv w:val="1"/>
      <w:marLeft w:val="0"/>
      <w:marRight w:val="0"/>
      <w:marTop w:val="0"/>
      <w:marBottom w:val="0"/>
      <w:divBdr>
        <w:top w:val="none" w:sz="0" w:space="0" w:color="auto"/>
        <w:left w:val="none" w:sz="0" w:space="0" w:color="auto"/>
        <w:bottom w:val="none" w:sz="0" w:space="0" w:color="auto"/>
        <w:right w:val="none" w:sz="0" w:space="0" w:color="auto"/>
      </w:divBdr>
    </w:div>
    <w:div w:id="369039028">
      <w:bodyDiv w:val="1"/>
      <w:marLeft w:val="0"/>
      <w:marRight w:val="0"/>
      <w:marTop w:val="0"/>
      <w:marBottom w:val="0"/>
      <w:divBdr>
        <w:top w:val="none" w:sz="0" w:space="0" w:color="auto"/>
        <w:left w:val="none" w:sz="0" w:space="0" w:color="auto"/>
        <w:bottom w:val="none" w:sz="0" w:space="0" w:color="auto"/>
        <w:right w:val="none" w:sz="0" w:space="0" w:color="auto"/>
      </w:divBdr>
    </w:div>
    <w:div w:id="373315759">
      <w:bodyDiv w:val="1"/>
      <w:marLeft w:val="0"/>
      <w:marRight w:val="0"/>
      <w:marTop w:val="0"/>
      <w:marBottom w:val="0"/>
      <w:divBdr>
        <w:top w:val="none" w:sz="0" w:space="0" w:color="auto"/>
        <w:left w:val="none" w:sz="0" w:space="0" w:color="auto"/>
        <w:bottom w:val="none" w:sz="0" w:space="0" w:color="auto"/>
        <w:right w:val="none" w:sz="0" w:space="0" w:color="auto"/>
      </w:divBdr>
    </w:div>
    <w:div w:id="383261026">
      <w:bodyDiv w:val="1"/>
      <w:marLeft w:val="0"/>
      <w:marRight w:val="0"/>
      <w:marTop w:val="0"/>
      <w:marBottom w:val="0"/>
      <w:divBdr>
        <w:top w:val="none" w:sz="0" w:space="0" w:color="auto"/>
        <w:left w:val="none" w:sz="0" w:space="0" w:color="auto"/>
        <w:bottom w:val="none" w:sz="0" w:space="0" w:color="auto"/>
        <w:right w:val="none" w:sz="0" w:space="0" w:color="auto"/>
      </w:divBdr>
      <w:divsChild>
        <w:div w:id="1214198605">
          <w:marLeft w:val="0"/>
          <w:marRight w:val="0"/>
          <w:marTop w:val="375"/>
          <w:marBottom w:val="0"/>
          <w:divBdr>
            <w:top w:val="none" w:sz="0" w:space="0" w:color="auto"/>
            <w:left w:val="none" w:sz="0" w:space="0" w:color="auto"/>
            <w:bottom w:val="none" w:sz="0" w:space="0" w:color="auto"/>
            <w:right w:val="none" w:sz="0" w:space="0" w:color="auto"/>
          </w:divBdr>
        </w:div>
      </w:divsChild>
    </w:div>
    <w:div w:id="415982727">
      <w:bodyDiv w:val="1"/>
      <w:marLeft w:val="0"/>
      <w:marRight w:val="0"/>
      <w:marTop w:val="0"/>
      <w:marBottom w:val="0"/>
      <w:divBdr>
        <w:top w:val="none" w:sz="0" w:space="0" w:color="auto"/>
        <w:left w:val="none" w:sz="0" w:space="0" w:color="auto"/>
        <w:bottom w:val="none" w:sz="0" w:space="0" w:color="auto"/>
        <w:right w:val="none" w:sz="0" w:space="0" w:color="auto"/>
      </w:divBdr>
    </w:div>
    <w:div w:id="472406456">
      <w:bodyDiv w:val="1"/>
      <w:marLeft w:val="0"/>
      <w:marRight w:val="0"/>
      <w:marTop w:val="0"/>
      <w:marBottom w:val="0"/>
      <w:divBdr>
        <w:top w:val="none" w:sz="0" w:space="0" w:color="auto"/>
        <w:left w:val="none" w:sz="0" w:space="0" w:color="auto"/>
        <w:bottom w:val="none" w:sz="0" w:space="0" w:color="auto"/>
        <w:right w:val="none" w:sz="0" w:space="0" w:color="auto"/>
      </w:divBdr>
    </w:div>
    <w:div w:id="478621474">
      <w:bodyDiv w:val="1"/>
      <w:marLeft w:val="0"/>
      <w:marRight w:val="0"/>
      <w:marTop w:val="0"/>
      <w:marBottom w:val="0"/>
      <w:divBdr>
        <w:top w:val="none" w:sz="0" w:space="0" w:color="auto"/>
        <w:left w:val="none" w:sz="0" w:space="0" w:color="auto"/>
        <w:bottom w:val="none" w:sz="0" w:space="0" w:color="auto"/>
        <w:right w:val="none" w:sz="0" w:space="0" w:color="auto"/>
      </w:divBdr>
    </w:div>
    <w:div w:id="490684133">
      <w:bodyDiv w:val="1"/>
      <w:marLeft w:val="0"/>
      <w:marRight w:val="0"/>
      <w:marTop w:val="0"/>
      <w:marBottom w:val="0"/>
      <w:divBdr>
        <w:top w:val="none" w:sz="0" w:space="0" w:color="auto"/>
        <w:left w:val="none" w:sz="0" w:space="0" w:color="auto"/>
        <w:bottom w:val="none" w:sz="0" w:space="0" w:color="auto"/>
        <w:right w:val="none" w:sz="0" w:space="0" w:color="auto"/>
      </w:divBdr>
    </w:div>
    <w:div w:id="497615359">
      <w:bodyDiv w:val="1"/>
      <w:marLeft w:val="0"/>
      <w:marRight w:val="0"/>
      <w:marTop w:val="0"/>
      <w:marBottom w:val="0"/>
      <w:divBdr>
        <w:top w:val="none" w:sz="0" w:space="0" w:color="auto"/>
        <w:left w:val="none" w:sz="0" w:space="0" w:color="auto"/>
        <w:bottom w:val="none" w:sz="0" w:space="0" w:color="auto"/>
        <w:right w:val="none" w:sz="0" w:space="0" w:color="auto"/>
      </w:divBdr>
    </w:div>
    <w:div w:id="566262075">
      <w:bodyDiv w:val="1"/>
      <w:marLeft w:val="0"/>
      <w:marRight w:val="0"/>
      <w:marTop w:val="0"/>
      <w:marBottom w:val="0"/>
      <w:divBdr>
        <w:top w:val="none" w:sz="0" w:space="0" w:color="auto"/>
        <w:left w:val="none" w:sz="0" w:space="0" w:color="auto"/>
        <w:bottom w:val="none" w:sz="0" w:space="0" w:color="auto"/>
        <w:right w:val="none" w:sz="0" w:space="0" w:color="auto"/>
      </w:divBdr>
    </w:div>
    <w:div w:id="588393195">
      <w:bodyDiv w:val="1"/>
      <w:marLeft w:val="0"/>
      <w:marRight w:val="0"/>
      <w:marTop w:val="0"/>
      <w:marBottom w:val="0"/>
      <w:divBdr>
        <w:top w:val="none" w:sz="0" w:space="0" w:color="auto"/>
        <w:left w:val="none" w:sz="0" w:space="0" w:color="auto"/>
        <w:bottom w:val="none" w:sz="0" w:space="0" w:color="auto"/>
        <w:right w:val="none" w:sz="0" w:space="0" w:color="auto"/>
      </w:divBdr>
    </w:div>
    <w:div w:id="596058678">
      <w:bodyDiv w:val="1"/>
      <w:marLeft w:val="0"/>
      <w:marRight w:val="0"/>
      <w:marTop w:val="0"/>
      <w:marBottom w:val="0"/>
      <w:divBdr>
        <w:top w:val="none" w:sz="0" w:space="0" w:color="auto"/>
        <w:left w:val="none" w:sz="0" w:space="0" w:color="auto"/>
        <w:bottom w:val="none" w:sz="0" w:space="0" w:color="auto"/>
        <w:right w:val="none" w:sz="0" w:space="0" w:color="auto"/>
      </w:divBdr>
    </w:div>
    <w:div w:id="608007101">
      <w:bodyDiv w:val="1"/>
      <w:marLeft w:val="0"/>
      <w:marRight w:val="0"/>
      <w:marTop w:val="0"/>
      <w:marBottom w:val="0"/>
      <w:divBdr>
        <w:top w:val="none" w:sz="0" w:space="0" w:color="auto"/>
        <w:left w:val="none" w:sz="0" w:space="0" w:color="auto"/>
        <w:bottom w:val="none" w:sz="0" w:space="0" w:color="auto"/>
        <w:right w:val="none" w:sz="0" w:space="0" w:color="auto"/>
      </w:divBdr>
    </w:div>
    <w:div w:id="635531053">
      <w:bodyDiv w:val="1"/>
      <w:marLeft w:val="0"/>
      <w:marRight w:val="0"/>
      <w:marTop w:val="0"/>
      <w:marBottom w:val="0"/>
      <w:divBdr>
        <w:top w:val="none" w:sz="0" w:space="0" w:color="auto"/>
        <w:left w:val="none" w:sz="0" w:space="0" w:color="auto"/>
        <w:bottom w:val="none" w:sz="0" w:space="0" w:color="auto"/>
        <w:right w:val="none" w:sz="0" w:space="0" w:color="auto"/>
      </w:divBdr>
    </w:div>
    <w:div w:id="645204661">
      <w:bodyDiv w:val="1"/>
      <w:marLeft w:val="0"/>
      <w:marRight w:val="0"/>
      <w:marTop w:val="0"/>
      <w:marBottom w:val="0"/>
      <w:divBdr>
        <w:top w:val="none" w:sz="0" w:space="0" w:color="auto"/>
        <w:left w:val="none" w:sz="0" w:space="0" w:color="auto"/>
        <w:bottom w:val="none" w:sz="0" w:space="0" w:color="auto"/>
        <w:right w:val="none" w:sz="0" w:space="0" w:color="auto"/>
      </w:divBdr>
      <w:divsChild>
        <w:div w:id="1816410350">
          <w:marLeft w:val="0"/>
          <w:marRight w:val="0"/>
          <w:marTop w:val="0"/>
          <w:marBottom w:val="0"/>
          <w:divBdr>
            <w:top w:val="none" w:sz="0" w:space="0" w:color="auto"/>
            <w:left w:val="none" w:sz="0" w:space="0" w:color="auto"/>
            <w:bottom w:val="none" w:sz="0" w:space="0" w:color="auto"/>
            <w:right w:val="none" w:sz="0" w:space="0" w:color="auto"/>
          </w:divBdr>
          <w:divsChild>
            <w:div w:id="1031957771">
              <w:marLeft w:val="0"/>
              <w:marRight w:val="0"/>
              <w:marTop w:val="0"/>
              <w:marBottom w:val="0"/>
              <w:divBdr>
                <w:top w:val="none" w:sz="0" w:space="0" w:color="auto"/>
                <w:left w:val="none" w:sz="0" w:space="0" w:color="auto"/>
                <w:bottom w:val="none" w:sz="0" w:space="0" w:color="auto"/>
                <w:right w:val="none" w:sz="0" w:space="0" w:color="auto"/>
              </w:divBdr>
              <w:divsChild>
                <w:div w:id="1071343234">
                  <w:marLeft w:val="0"/>
                  <w:marRight w:val="0"/>
                  <w:marTop w:val="0"/>
                  <w:marBottom w:val="0"/>
                  <w:divBdr>
                    <w:top w:val="none" w:sz="0" w:space="0" w:color="auto"/>
                    <w:left w:val="none" w:sz="0" w:space="0" w:color="auto"/>
                    <w:bottom w:val="none" w:sz="0" w:space="0" w:color="auto"/>
                    <w:right w:val="none" w:sz="0" w:space="0" w:color="auto"/>
                  </w:divBdr>
                  <w:divsChild>
                    <w:div w:id="843933538">
                      <w:marLeft w:val="0"/>
                      <w:marRight w:val="0"/>
                      <w:marTop w:val="0"/>
                      <w:marBottom w:val="0"/>
                      <w:divBdr>
                        <w:top w:val="none" w:sz="0" w:space="0" w:color="auto"/>
                        <w:left w:val="none" w:sz="0" w:space="0" w:color="auto"/>
                        <w:bottom w:val="none" w:sz="0" w:space="0" w:color="auto"/>
                        <w:right w:val="none" w:sz="0" w:space="0" w:color="auto"/>
                      </w:divBdr>
                      <w:divsChild>
                        <w:div w:id="161038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620596">
          <w:marLeft w:val="0"/>
          <w:marRight w:val="0"/>
          <w:marTop w:val="0"/>
          <w:marBottom w:val="0"/>
          <w:divBdr>
            <w:top w:val="none" w:sz="0" w:space="0" w:color="auto"/>
            <w:left w:val="none" w:sz="0" w:space="0" w:color="auto"/>
            <w:bottom w:val="none" w:sz="0" w:space="0" w:color="auto"/>
            <w:right w:val="none" w:sz="0" w:space="0" w:color="auto"/>
          </w:divBdr>
          <w:divsChild>
            <w:div w:id="1822379897">
              <w:marLeft w:val="0"/>
              <w:marRight w:val="0"/>
              <w:marTop w:val="0"/>
              <w:marBottom w:val="0"/>
              <w:divBdr>
                <w:top w:val="none" w:sz="0" w:space="0" w:color="auto"/>
                <w:left w:val="none" w:sz="0" w:space="0" w:color="auto"/>
                <w:bottom w:val="none" w:sz="0" w:space="0" w:color="auto"/>
                <w:right w:val="none" w:sz="0" w:space="0" w:color="auto"/>
              </w:divBdr>
              <w:divsChild>
                <w:div w:id="465439224">
                  <w:marLeft w:val="0"/>
                  <w:marRight w:val="0"/>
                  <w:marTop w:val="0"/>
                  <w:marBottom w:val="0"/>
                  <w:divBdr>
                    <w:top w:val="none" w:sz="0" w:space="0" w:color="auto"/>
                    <w:left w:val="none" w:sz="0" w:space="0" w:color="auto"/>
                    <w:bottom w:val="none" w:sz="0" w:space="0" w:color="auto"/>
                    <w:right w:val="none" w:sz="0" w:space="0" w:color="auto"/>
                  </w:divBdr>
                  <w:divsChild>
                    <w:div w:id="301884450">
                      <w:marLeft w:val="0"/>
                      <w:marRight w:val="0"/>
                      <w:marTop w:val="0"/>
                      <w:marBottom w:val="0"/>
                      <w:divBdr>
                        <w:top w:val="none" w:sz="0" w:space="0" w:color="auto"/>
                        <w:left w:val="none" w:sz="0" w:space="0" w:color="auto"/>
                        <w:bottom w:val="none" w:sz="0" w:space="0" w:color="auto"/>
                        <w:right w:val="none" w:sz="0" w:space="0" w:color="auto"/>
                      </w:divBdr>
                      <w:divsChild>
                        <w:div w:id="133984563">
                          <w:marLeft w:val="0"/>
                          <w:marRight w:val="0"/>
                          <w:marTop w:val="0"/>
                          <w:marBottom w:val="120"/>
                          <w:divBdr>
                            <w:top w:val="none" w:sz="0" w:space="0" w:color="auto"/>
                            <w:left w:val="none" w:sz="0" w:space="0" w:color="auto"/>
                            <w:bottom w:val="none" w:sz="0" w:space="0" w:color="auto"/>
                            <w:right w:val="none" w:sz="0" w:space="0" w:color="auto"/>
                          </w:divBdr>
                          <w:divsChild>
                            <w:div w:id="675040902">
                              <w:marLeft w:val="0"/>
                              <w:marRight w:val="0"/>
                              <w:marTop w:val="0"/>
                              <w:marBottom w:val="0"/>
                              <w:divBdr>
                                <w:top w:val="none" w:sz="0" w:space="0" w:color="auto"/>
                                <w:left w:val="none" w:sz="0" w:space="0" w:color="auto"/>
                                <w:bottom w:val="none" w:sz="0" w:space="0" w:color="auto"/>
                                <w:right w:val="none" w:sz="0" w:space="0" w:color="auto"/>
                              </w:divBdr>
                            </w:div>
                          </w:divsChild>
                        </w:div>
                        <w:div w:id="1107844417">
                          <w:marLeft w:val="0"/>
                          <w:marRight w:val="0"/>
                          <w:marTop w:val="0"/>
                          <w:marBottom w:val="0"/>
                          <w:divBdr>
                            <w:top w:val="none" w:sz="0" w:space="0" w:color="auto"/>
                            <w:left w:val="none" w:sz="0" w:space="0" w:color="auto"/>
                            <w:bottom w:val="none" w:sz="0" w:space="0" w:color="auto"/>
                            <w:right w:val="none" w:sz="0" w:space="0" w:color="auto"/>
                          </w:divBdr>
                          <w:divsChild>
                            <w:div w:id="1771970424">
                              <w:marLeft w:val="0"/>
                              <w:marRight w:val="0"/>
                              <w:marTop w:val="0"/>
                              <w:marBottom w:val="0"/>
                              <w:divBdr>
                                <w:top w:val="none" w:sz="0" w:space="0" w:color="auto"/>
                                <w:left w:val="none" w:sz="0" w:space="0" w:color="auto"/>
                                <w:bottom w:val="none" w:sz="0" w:space="0" w:color="auto"/>
                                <w:right w:val="none" w:sz="0" w:space="0" w:color="auto"/>
                              </w:divBdr>
                            </w:div>
                          </w:divsChild>
                        </w:div>
                        <w:div w:id="2091612055">
                          <w:marLeft w:val="0"/>
                          <w:marRight w:val="0"/>
                          <w:marTop w:val="0"/>
                          <w:marBottom w:val="0"/>
                          <w:divBdr>
                            <w:top w:val="none" w:sz="0" w:space="0" w:color="auto"/>
                            <w:left w:val="none" w:sz="0" w:space="0" w:color="auto"/>
                            <w:bottom w:val="none" w:sz="0" w:space="0" w:color="auto"/>
                            <w:right w:val="none" w:sz="0" w:space="0" w:color="auto"/>
                          </w:divBdr>
                          <w:divsChild>
                            <w:div w:id="1869366447">
                              <w:marLeft w:val="0"/>
                              <w:marRight w:val="300"/>
                              <w:marTop w:val="180"/>
                              <w:marBottom w:val="0"/>
                              <w:divBdr>
                                <w:top w:val="none" w:sz="0" w:space="0" w:color="auto"/>
                                <w:left w:val="none" w:sz="0" w:space="0" w:color="auto"/>
                                <w:bottom w:val="none" w:sz="0" w:space="0" w:color="auto"/>
                                <w:right w:val="none" w:sz="0" w:space="0" w:color="auto"/>
                              </w:divBdr>
                              <w:divsChild>
                                <w:div w:id="176517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1128570">
      <w:bodyDiv w:val="1"/>
      <w:marLeft w:val="0"/>
      <w:marRight w:val="0"/>
      <w:marTop w:val="0"/>
      <w:marBottom w:val="0"/>
      <w:divBdr>
        <w:top w:val="none" w:sz="0" w:space="0" w:color="auto"/>
        <w:left w:val="none" w:sz="0" w:space="0" w:color="auto"/>
        <w:bottom w:val="none" w:sz="0" w:space="0" w:color="auto"/>
        <w:right w:val="none" w:sz="0" w:space="0" w:color="auto"/>
      </w:divBdr>
    </w:div>
    <w:div w:id="681200472">
      <w:bodyDiv w:val="1"/>
      <w:marLeft w:val="0"/>
      <w:marRight w:val="0"/>
      <w:marTop w:val="0"/>
      <w:marBottom w:val="0"/>
      <w:divBdr>
        <w:top w:val="none" w:sz="0" w:space="0" w:color="auto"/>
        <w:left w:val="none" w:sz="0" w:space="0" w:color="auto"/>
        <w:bottom w:val="none" w:sz="0" w:space="0" w:color="auto"/>
        <w:right w:val="none" w:sz="0" w:space="0" w:color="auto"/>
      </w:divBdr>
    </w:div>
    <w:div w:id="706301392">
      <w:bodyDiv w:val="1"/>
      <w:marLeft w:val="0"/>
      <w:marRight w:val="0"/>
      <w:marTop w:val="0"/>
      <w:marBottom w:val="0"/>
      <w:divBdr>
        <w:top w:val="none" w:sz="0" w:space="0" w:color="auto"/>
        <w:left w:val="none" w:sz="0" w:space="0" w:color="auto"/>
        <w:bottom w:val="none" w:sz="0" w:space="0" w:color="auto"/>
        <w:right w:val="none" w:sz="0" w:space="0" w:color="auto"/>
      </w:divBdr>
    </w:div>
    <w:div w:id="711081897">
      <w:bodyDiv w:val="1"/>
      <w:marLeft w:val="0"/>
      <w:marRight w:val="0"/>
      <w:marTop w:val="0"/>
      <w:marBottom w:val="0"/>
      <w:divBdr>
        <w:top w:val="none" w:sz="0" w:space="0" w:color="auto"/>
        <w:left w:val="none" w:sz="0" w:space="0" w:color="auto"/>
        <w:bottom w:val="none" w:sz="0" w:space="0" w:color="auto"/>
        <w:right w:val="none" w:sz="0" w:space="0" w:color="auto"/>
      </w:divBdr>
    </w:div>
    <w:div w:id="760024495">
      <w:bodyDiv w:val="1"/>
      <w:marLeft w:val="0"/>
      <w:marRight w:val="0"/>
      <w:marTop w:val="0"/>
      <w:marBottom w:val="0"/>
      <w:divBdr>
        <w:top w:val="none" w:sz="0" w:space="0" w:color="auto"/>
        <w:left w:val="none" w:sz="0" w:space="0" w:color="auto"/>
        <w:bottom w:val="none" w:sz="0" w:space="0" w:color="auto"/>
        <w:right w:val="none" w:sz="0" w:space="0" w:color="auto"/>
      </w:divBdr>
      <w:divsChild>
        <w:div w:id="1931159753">
          <w:marLeft w:val="0"/>
          <w:marRight w:val="0"/>
          <w:marTop w:val="0"/>
          <w:marBottom w:val="0"/>
          <w:divBdr>
            <w:top w:val="none" w:sz="0" w:space="0" w:color="auto"/>
            <w:left w:val="none" w:sz="0" w:space="0" w:color="auto"/>
            <w:bottom w:val="none" w:sz="0" w:space="0" w:color="auto"/>
            <w:right w:val="none" w:sz="0" w:space="0" w:color="auto"/>
          </w:divBdr>
          <w:divsChild>
            <w:div w:id="109238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23442">
      <w:bodyDiv w:val="1"/>
      <w:marLeft w:val="0"/>
      <w:marRight w:val="0"/>
      <w:marTop w:val="0"/>
      <w:marBottom w:val="0"/>
      <w:divBdr>
        <w:top w:val="none" w:sz="0" w:space="0" w:color="auto"/>
        <w:left w:val="none" w:sz="0" w:space="0" w:color="auto"/>
        <w:bottom w:val="none" w:sz="0" w:space="0" w:color="auto"/>
        <w:right w:val="none" w:sz="0" w:space="0" w:color="auto"/>
      </w:divBdr>
    </w:div>
    <w:div w:id="802387882">
      <w:bodyDiv w:val="1"/>
      <w:marLeft w:val="0"/>
      <w:marRight w:val="0"/>
      <w:marTop w:val="0"/>
      <w:marBottom w:val="0"/>
      <w:divBdr>
        <w:top w:val="none" w:sz="0" w:space="0" w:color="auto"/>
        <w:left w:val="none" w:sz="0" w:space="0" w:color="auto"/>
        <w:bottom w:val="none" w:sz="0" w:space="0" w:color="auto"/>
        <w:right w:val="none" w:sz="0" w:space="0" w:color="auto"/>
      </w:divBdr>
    </w:div>
    <w:div w:id="819271510">
      <w:bodyDiv w:val="1"/>
      <w:marLeft w:val="0"/>
      <w:marRight w:val="0"/>
      <w:marTop w:val="0"/>
      <w:marBottom w:val="0"/>
      <w:divBdr>
        <w:top w:val="none" w:sz="0" w:space="0" w:color="auto"/>
        <w:left w:val="none" w:sz="0" w:space="0" w:color="auto"/>
        <w:bottom w:val="none" w:sz="0" w:space="0" w:color="auto"/>
        <w:right w:val="none" w:sz="0" w:space="0" w:color="auto"/>
      </w:divBdr>
    </w:div>
    <w:div w:id="958877254">
      <w:bodyDiv w:val="1"/>
      <w:marLeft w:val="0"/>
      <w:marRight w:val="0"/>
      <w:marTop w:val="0"/>
      <w:marBottom w:val="0"/>
      <w:divBdr>
        <w:top w:val="none" w:sz="0" w:space="0" w:color="auto"/>
        <w:left w:val="none" w:sz="0" w:space="0" w:color="auto"/>
        <w:bottom w:val="none" w:sz="0" w:space="0" w:color="auto"/>
        <w:right w:val="none" w:sz="0" w:space="0" w:color="auto"/>
      </w:divBdr>
    </w:div>
    <w:div w:id="998312206">
      <w:bodyDiv w:val="1"/>
      <w:marLeft w:val="0"/>
      <w:marRight w:val="0"/>
      <w:marTop w:val="0"/>
      <w:marBottom w:val="0"/>
      <w:divBdr>
        <w:top w:val="none" w:sz="0" w:space="0" w:color="auto"/>
        <w:left w:val="none" w:sz="0" w:space="0" w:color="auto"/>
        <w:bottom w:val="none" w:sz="0" w:space="0" w:color="auto"/>
        <w:right w:val="none" w:sz="0" w:space="0" w:color="auto"/>
      </w:divBdr>
    </w:div>
    <w:div w:id="1011101117">
      <w:bodyDiv w:val="1"/>
      <w:marLeft w:val="0"/>
      <w:marRight w:val="0"/>
      <w:marTop w:val="0"/>
      <w:marBottom w:val="0"/>
      <w:divBdr>
        <w:top w:val="none" w:sz="0" w:space="0" w:color="auto"/>
        <w:left w:val="none" w:sz="0" w:space="0" w:color="auto"/>
        <w:bottom w:val="none" w:sz="0" w:space="0" w:color="auto"/>
        <w:right w:val="none" w:sz="0" w:space="0" w:color="auto"/>
      </w:divBdr>
    </w:div>
    <w:div w:id="1012798579">
      <w:bodyDiv w:val="1"/>
      <w:marLeft w:val="0"/>
      <w:marRight w:val="0"/>
      <w:marTop w:val="0"/>
      <w:marBottom w:val="0"/>
      <w:divBdr>
        <w:top w:val="none" w:sz="0" w:space="0" w:color="auto"/>
        <w:left w:val="none" w:sz="0" w:space="0" w:color="auto"/>
        <w:bottom w:val="none" w:sz="0" w:space="0" w:color="auto"/>
        <w:right w:val="none" w:sz="0" w:space="0" w:color="auto"/>
      </w:divBdr>
    </w:div>
    <w:div w:id="1023554562">
      <w:bodyDiv w:val="1"/>
      <w:marLeft w:val="0"/>
      <w:marRight w:val="0"/>
      <w:marTop w:val="0"/>
      <w:marBottom w:val="0"/>
      <w:divBdr>
        <w:top w:val="none" w:sz="0" w:space="0" w:color="auto"/>
        <w:left w:val="none" w:sz="0" w:space="0" w:color="auto"/>
        <w:bottom w:val="none" w:sz="0" w:space="0" w:color="auto"/>
        <w:right w:val="none" w:sz="0" w:space="0" w:color="auto"/>
      </w:divBdr>
    </w:div>
    <w:div w:id="1032072756">
      <w:bodyDiv w:val="1"/>
      <w:marLeft w:val="0"/>
      <w:marRight w:val="0"/>
      <w:marTop w:val="0"/>
      <w:marBottom w:val="0"/>
      <w:divBdr>
        <w:top w:val="none" w:sz="0" w:space="0" w:color="auto"/>
        <w:left w:val="none" w:sz="0" w:space="0" w:color="auto"/>
        <w:bottom w:val="none" w:sz="0" w:space="0" w:color="auto"/>
        <w:right w:val="none" w:sz="0" w:space="0" w:color="auto"/>
      </w:divBdr>
    </w:div>
    <w:div w:id="1072970543">
      <w:bodyDiv w:val="1"/>
      <w:marLeft w:val="0"/>
      <w:marRight w:val="0"/>
      <w:marTop w:val="0"/>
      <w:marBottom w:val="0"/>
      <w:divBdr>
        <w:top w:val="none" w:sz="0" w:space="0" w:color="auto"/>
        <w:left w:val="none" w:sz="0" w:space="0" w:color="auto"/>
        <w:bottom w:val="none" w:sz="0" w:space="0" w:color="auto"/>
        <w:right w:val="none" w:sz="0" w:space="0" w:color="auto"/>
      </w:divBdr>
    </w:div>
    <w:div w:id="1107121874">
      <w:bodyDiv w:val="1"/>
      <w:marLeft w:val="0"/>
      <w:marRight w:val="0"/>
      <w:marTop w:val="0"/>
      <w:marBottom w:val="0"/>
      <w:divBdr>
        <w:top w:val="none" w:sz="0" w:space="0" w:color="auto"/>
        <w:left w:val="none" w:sz="0" w:space="0" w:color="auto"/>
        <w:bottom w:val="none" w:sz="0" w:space="0" w:color="auto"/>
        <w:right w:val="none" w:sz="0" w:space="0" w:color="auto"/>
      </w:divBdr>
    </w:div>
    <w:div w:id="1118136534">
      <w:bodyDiv w:val="1"/>
      <w:marLeft w:val="0"/>
      <w:marRight w:val="0"/>
      <w:marTop w:val="0"/>
      <w:marBottom w:val="0"/>
      <w:divBdr>
        <w:top w:val="none" w:sz="0" w:space="0" w:color="auto"/>
        <w:left w:val="none" w:sz="0" w:space="0" w:color="auto"/>
        <w:bottom w:val="none" w:sz="0" w:space="0" w:color="auto"/>
        <w:right w:val="none" w:sz="0" w:space="0" w:color="auto"/>
      </w:divBdr>
    </w:div>
    <w:div w:id="1152023086">
      <w:bodyDiv w:val="1"/>
      <w:marLeft w:val="0"/>
      <w:marRight w:val="0"/>
      <w:marTop w:val="0"/>
      <w:marBottom w:val="0"/>
      <w:divBdr>
        <w:top w:val="none" w:sz="0" w:space="0" w:color="auto"/>
        <w:left w:val="none" w:sz="0" w:space="0" w:color="auto"/>
        <w:bottom w:val="none" w:sz="0" w:space="0" w:color="auto"/>
        <w:right w:val="none" w:sz="0" w:space="0" w:color="auto"/>
      </w:divBdr>
    </w:div>
    <w:div w:id="1178694850">
      <w:bodyDiv w:val="1"/>
      <w:marLeft w:val="0"/>
      <w:marRight w:val="0"/>
      <w:marTop w:val="0"/>
      <w:marBottom w:val="0"/>
      <w:divBdr>
        <w:top w:val="none" w:sz="0" w:space="0" w:color="auto"/>
        <w:left w:val="none" w:sz="0" w:space="0" w:color="auto"/>
        <w:bottom w:val="none" w:sz="0" w:space="0" w:color="auto"/>
        <w:right w:val="none" w:sz="0" w:space="0" w:color="auto"/>
      </w:divBdr>
    </w:div>
    <w:div w:id="1195001253">
      <w:bodyDiv w:val="1"/>
      <w:marLeft w:val="0"/>
      <w:marRight w:val="0"/>
      <w:marTop w:val="0"/>
      <w:marBottom w:val="0"/>
      <w:divBdr>
        <w:top w:val="none" w:sz="0" w:space="0" w:color="auto"/>
        <w:left w:val="none" w:sz="0" w:space="0" w:color="auto"/>
        <w:bottom w:val="none" w:sz="0" w:space="0" w:color="auto"/>
        <w:right w:val="none" w:sz="0" w:space="0" w:color="auto"/>
      </w:divBdr>
    </w:div>
    <w:div w:id="1225071578">
      <w:bodyDiv w:val="1"/>
      <w:marLeft w:val="0"/>
      <w:marRight w:val="0"/>
      <w:marTop w:val="0"/>
      <w:marBottom w:val="0"/>
      <w:divBdr>
        <w:top w:val="none" w:sz="0" w:space="0" w:color="auto"/>
        <w:left w:val="none" w:sz="0" w:space="0" w:color="auto"/>
        <w:bottom w:val="none" w:sz="0" w:space="0" w:color="auto"/>
        <w:right w:val="none" w:sz="0" w:space="0" w:color="auto"/>
      </w:divBdr>
    </w:div>
    <w:div w:id="1266645563">
      <w:bodyDiv w:val="1"/>
      <w:marLeft w:val="0"/>
      <w:marRight w:val="0"/>
      <w:marTop w:val="0"/>
      <w:marBottom w:val="0"/>
      <w:divBdr>
        <w:top w:val="none" w:sz="0" w:space="0" w:color="auto"/>
        <w:left w:val="none" w:sz="0" w:space="0" w:color="auto"/>
        <w:bottom w:val="none" w:sz="0" w:space="0" w:color="auto"/>
        <w:right w:val="none" w:sz="0" w:space="0" w:color="auto"/>
      </w:divBdr>
      <w:divsChild>
        <w:div w:id="1608848100">
          <w:marLeft w:val="0"/>
          <w:marRight w:val="0"/>
          <w:marTop w:val="0"/>
          <w:marBottom w:val="0"/>
          <w:divBdr>
            <w:top w:val="none" w:sz="0" w:space="0" w:color="auto"/>
            <w:left w:val="none" w:sz="0" w:space="0" w:color="auto"/>
            <w:bottom w:val="none" w:sz="0" w:space="0" w:color="auto"/>
            <w:right w:val="none" w:sz="0" w:space="0" w:color="auto"/>
          </w:divBdr>
          <w:divsChild>
            <w:div w:id="548151954">
              <w:marLeft w:val="0"/>
              <w:marRight w:val="0"/>
              <w:marTop w:val="0"/>
              <w:marBottom w:val="0"/>
              <w:divBdr>
                <w:top w:val="none" w:sz="0" w:space="0" w:color="auto"/>
                <w:left w:val="none" w:sz="0" w:space="0" w:color="auto"/>
                <w:bottom w:val="none" w:sz="0" w:space="0" w:color="auto"/>
                <w:right w:val="none" w:sz="0" w:space="0" w:color="auto"/>
              </w:divBdr>
              <w:divsChild>
                <w:div w:id="320889840">
                  <w:marLeft w:val="0"/>
                  <w:marRight w:val="0"/>
                  <w:marTop w:val="0"/>
                  <w:marBottom w:val="0"/>
                  <w:divBdr>
                    <w:top w:val="none" w:sz="0" w:space="0" w:color="auto"/>
                    <w:left w:val="none" w:sz="0" w:space="0" w:color="auto"/>
                    <w:bottom w:val="none" w:sz="0" w:space="0" w:color="auto"/>
                    <w:right w:val="none" w:sz="0" w:space="0" w:color="auto"/>
                  </w:divBdr>
                  <w:divsChild>
                    <w:div w:id="60443096">
                      <w:marLeft w:val="0"/>
                      <w:marRight w:val="0"/>
                      <w:marTop w:val="0"/>
                      <w:marBottom w:val="0"/>
                      <w:divBdr>
                        <w:top w:val="none" w:sz="0" w:space="0" w:color="auto"/>
                        <w:left w:val="none" w:sz="0" w:space="0" w:color="auto"/>
                        <w:bottom w:val="none" w:sz="0" w:space="0" w:color="auto"/>
                        <w:right w:val="none" w:sz="0" w:space="0" w:color="auto"/>
                      </w:divBdr>
                      <w:divsChild>
                        <w:div w:id="199494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7119222">
          <w:marLeft w:val="0"/>
          <w:marRight w:val="0"/>
          <w:marTop w:val="0"/>
          <w:marBottom w:val="0"/>
          <w:divBdr>
            <w:top w:val="none" w:sz="0" w:space="0" w:color="auto"/>
            <w:left w:val="none" w:sz="0" w:space="0" w:color="auto"/>
            <w:bottom w:val="none" w:sz="0" w:space="0" w:color="auto"/>
            <w:right w:val="none" w:sz="0" w:space="0" w:color="auto"/>
          </w:divBdr>
          <w:divsChild>
            <w:div w:id="1708094866">
              <w:marLeft w:val="0"/>
              <w:marRight w:val="0"/>
              <w:marTop w:val="0"/>
              <w:marBottom w:val="0"/>
              <w:divBdr>
                <w:top w:val="none" w:sz="0" w:space="0" w:color="auto"/>
                <w:left w:val="none" w:sz="0" w:space="0" w:color="auto"/>
                <w:bottom w:val="none" w:sz="0" w:space="0" w:color="auto"/>
                <w:right w:val="none" w:sz="0" w:space="0" w:color="auto"/>
              </w:divBdr>
              <w:divsChild>
                <w:div w:id="905140666">
                  <w:marLeft w:val="0"/>
                  <w:marRight w:val="0"/>
                  <w:marTop w:val="0"/>
                  <w:marBottom w:val="0"/>
                  <w:divBdr>
                    <w:top w:val="none" w:sz="0" w:space="0" w:color="auto"/>
                    <w:left w:val="none" w:sz="0" w:space="0" w:color="auto"/>
                    <w:bottom w:val="none" w:sz="0" w:space="0" w:color="auto"/>
                    <w:right w:val="none" w:sz="0" w:space="0" w:color="auto"/>
                  </w:divBdr>
                  <w:divsChild>
                    <w:div w:id="643120247">
                      <w:marLeft w:val="0"/>
                      <w:marRight w:val="0"/>
                      <w:marTop w:val="0"/>
                      <w:marBottom w:val="0"/>
                      <w:divBdr>
                        <w:top w:val="none" w:sz="0" w:space="0" w:color="auto"/>
                        <w:left w:val="none" w:sz="0" w:space="0" w:color="auto"/>
                        <w:bottom w:val="none" w:sz="0" w:space="0" w:color="auto"/>
                        <w:right w:val="none" w:sz="0" w:space="0" w:color="auto"/>
                      </w:divBdr>
                      <w:divsChild>
                        <w:div w:id="560481736">
                          <w:marLeft w:val="0"/>
                          <w:marRight w:val="0"/>
                          <w:marTop w:val="0"/>
                          <w:marBottom w:val="0"/>
                          <w:divBdr>
                            <w:top w:val="none" w:sz="0" w:space="0" w:color="auto"/>
                            <w:left w:val="none" w:sz="0" w:space="0" w:color="auto"/>
                            <w:bottom w:val="none" w:sz="0" w:space="0" w:color="auto"/>
                            <w:right w:val="none" w:sz="0" w:space="0" w:color="auto"/>
                          </w:divBdr>
                          <w:divsChild>
                            <w:div w:id="439371822">
                              <w:marLeft w:val="0"/>
                              <w:marRight w:val="300"/>
                              <w:marTop w:val="180"/>
                              <w:marBottom w:val="0"/>
                              <w:divBdr>
                                <w:top w:val="none" w:sz="0" w:space="0" w:color="auto"/>
                                <w:left w:val="none" w:sz="0" w:space="0" w:color="auto"/>
                                <w:bottom w:val="none" w:sz="0" w:space="0" w:color="auto"/>
                                <w:right w:val="none" w:sz="0" w:space="0" w:color="auto"/>
                              </w:divBdr>
                              <w:divsChild>
                                <w:div w:id="141728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2468335">
      <w:bodyDiv w:val="1"/>
      <w:marLeft w:val="0"/>
      <w:marRight w:val="0"/>
      <w:marTop w:val="0"/>
      <w:marBottom w:val="0"/>
      <w:divBdr>
        <w:top w:val="none" w:sz="0" w:space="0" w:color="auto"/>
        <w:left w:val="none" w:sz="0" w:space="0" w:color="auto"/>
        <w:bottom w:val="none" w:sz="0" w:space="0" w:color="auto"/>
        <w:right w:val="none" w:sz="0" w:space="0" w:color="auto"/>
      </w:divBdr>
    </w:div>
    <w:div w:id="1281182990">
      <w:bodyDiv w:val="1"/>
      <w:marLeft w:val="0"/>
      <w:marRight w:val="0"/>
      <w:marTop w:val="0"/>
      <w:marBottom w:val="0"/>
      <w:divBdr>
        <w:top w:val="none" w:sz="0" w:space="0" w:color="auto"/>
        <w:left w:val="none" w:sz="0" w:space="0" w:color="auto"/>
        <w:bottom w:val="none" w:sz="0" w:space="0" w:color="auto"/>
        <w:right w:val="none" w:sz="0" w:space="0" w:color="auto"/>
      </w:divBdr>
    </w:div>
    <w:div w:id="1296368278">
      <w:bodyDiv w:val="1"/>
      <w:marLeft w:val="0"/>
      <w:marRight w:val="0"/>
      <w:marTop w:val="0"/>
      <w:marBottom w:val="0"/>
      <w:divBdr>
        <w:top w:val="none" w:sz="0" w:space="0" w:color="auto"/>
        <w:left w:val="none" w:sz="0" w:space="0" w:color="auto"/>
        <w:bottom w:val="none" w:sz="0" w:space="0" w:color="auto"/>
        <w:right w:val="none" w:sz="0" w:space="0" w:color="auto"/>
      </w:divBdr>
    </w:div>
    <w:div w:id="1322854811">
      <w:bodyDiv w:val="1"/>
      <w:marLeft w:val="0"/>
      <w:marRight w:val="0"/>
      <w:marTop w:val="0"/>
      <w:marBottom w:val="0"/>
      <w:divBdr>
        <w:top w:val="none" w:sz="0" w:space="0" w:color="auto"/>
        <w:left w:val="none" w:sz="0" w:space="0" w:color="auto"/>
        <w:bottom w:val="none" w:sz="0" w:space="0" w:color="auto"/>
        <w:right w:val="none" w:sz="0" w:space="0" w:color="auto"/>
      </w:divBdr>
    </w:div>
    <w:div w:id="1398624452">
      <w:bodyDiv w:val="1"/>
      <w:marLeft w:val="0"/>
      <w:marRight w:val="0"/>
      <w:marTop w:val="0"/>
      <w:marBottom w:val="0"/>
      <w:divBdr>
        <w:top w:val="none" w:sz="0" w:space="0" w:color="auto"/>
        <w:left w:val="none" w:sz="0" w:space="0" w:color="auto"/>
        <w:bottom w:val="none" w:sz="0" w:space="0" w:color="auto"/>
        <w:right w:val="none" w:sz="0" w:space="0" w:color="auto"/>
      </w:divBdr>
    </w:div>
    <w:div w:id="1499534539">
      <w:bodyDiv w:val="1"/>
      <w:marLeft w:val="0"/>
      <w:marRight w:val="0"/>
      <w:marTop w:val="0"/>
      <w:marBottom w:val="0"/>
      <w:divBdr>
        <w:top w:val="none" w:sz="0" w:space="0" w:color="auto"/>
        <w:left w:val="none" w:sz="0" w:space="0" w:color="auto"/>
        <w:bottom w:val="none" w:sz="0" w:space="0" w:color="auto"/>
        <w:right w:val="none" w:sz="0" w:space="0" w:color="auto"/>
      </w:divBdr>
    </w:div>
    <w:div w:id="1509104405">
      <w:bodyDiv w:val="1"/>
      <w:marLeft w:val="0"/>
      <w:marRight w:val="0"/>
      <w:marTop w:val="0"/>
      <w:marBottom w:val="0"/>
      <w:divBdr>
        <w:top w:val="none" w:sz="0" w:space="0" w:color="auto"/>
        <w:left w:val="none" w:sz="0" w:space="0" w:color="auto"/>
        <w:bottom w:val="none" w:sz="0" w:space="0" w:color="auto"/>
        <w:right w:val="none" w:sz="0" w:space="0" w:color="auto"/>
      </w:divBdr>
    </w:div>
    <w:div w:id="1523936200">
      <w:bodyDiv w:val="1"/>
      <w:marLeft w:val="0"/>
      <w:marRight w:val="0"/>
      <w:marTop w:val="0"/>
      <w:marBottom w:val="0"/>
      <w:divBdr>
        <w:top w:val="none" w:sz="0" w:space="0" w:color="auto"/>
        <w:left w:val="none" w:sz="0" w:space="0" w:color="auto"/>
        <w:bottom w:val="none" w:sz="0" w:space="0" w:color="auto"/>
        <w:right w:val="none" w:sz="0" w:space="0" w:color="auto"/>
      </w:divBdr>
    </w:div>
    <w:div w:id="1583566912">
      <w:bodyDiv w:val="1"/>
      <w:marLeft w:val="0"/>
      <w:marRight w:val="0"/>
      <w:marTop w:val="0"/>
      <w:marBottom w:val="0"/>
      <w:divBdr>
        <w:top w:val="none" w:sz="0" w:space="0" w:color="auto"/>
        <w:left w:val="none" w:sz="0" w:space="0" w:color="auto"/>
        <w:bottom w:val="none" w:sz="0" w:space="0" w:color="auto"/>
        <w:right w:val="none" w:sz="0" w:space="0" w:color="auto"/>
      </w:divBdr>
    </w:div>
    <w:div w:id="1612516839">
      <w:bodyDiv w:val="1"/>
      <w:marLeft w:val="0"/>
      <w:marRight w:val="0"/>
      <w:marTop w:val="0"/>
      <w:marBottom w:val="0"/>
      <w:divBdr>
        <w:top w:val="none" w:sz="0" w:space="0" w:color="auto"/>
        <w:left w:val="none" w:sz="0" w:space="0" w:color="auto"/>
        <w:bottom w:val="none" w:sz="0" w:space="0" w:color="auto"/>
        <w:right w:val="none" w:sz="0" w:space="0" w:color="auto"/>
      </w:divBdr>
    </w:div>
    <w:div w:id="1637249761">
      <w:bodyDiv w:val="1"/>
      <w:marLeft w:val="0"/>
      <w:marRight w:val="0"/>
      <w:marTop w:val="0"/>
      <w:marBottom w:val="0"/>
      <w:divBdr>
        <w:top w:val="none" w:sz="0" w:space="0" w:color="auto"/>
        <w:left w:val="none" w:sz="0" w:space="0" w:color="auto"/>
        <w:bottom w:val="none" w:sz="0" w:space="0" w:color="auto"/>
        <w:right w:val="none" w:sz="0" w:space="0" w:color="auto"/>
      </w:divBdr>
    </w:div>
    <w:div w:id="1681079267">
      <w:bodyDiv w:val="1"/>
      <w:marLeft w:val="0"/>
      <w:marRight w:val="0"/>
      <w:marTop w:val="0"/>
      <w:marBottom w:val="0"/>
      <w:divBdr>
        <w:top w:val="none" w:sz="0" w:space="0" w:color="auto"/>
        <w:left w:val="none" w:sz="0" w:space="0" w:color="auto"/>
        <w:bottom w:val="none" w:sz="0" w:space="0" w:color="auto"/>
        <w:right w:val="none" w:sz="0" w:space="0" w:color="auto"/>
      </w:divBdr>
    </w:div>
    <w:div w:id="1693140751">
      <w:bodyDiv w:val="1"/>
      <w:marLeft w:val="0"/>
      <w:marRight w:val="0"/>
      <w:marTop w:val="0"/>
      <w:marBottom w:val="0"/>
      <w:divBdr>
        <w:top w:val="none" w:sz="0" w:space="0" w:color="auto"/>
        <w:left w:val="none" w:sz="0" w:space="0" w:color="auto"/>
        <w:bottom w:val="none" w:sz="0" w:space="0" w:color="auto"/>
        <w:right w:val="none" w:sz="0" w:space="0" w:color="auto"/>
      </w:divBdr>
    </w:div>
    <w:div w:id="1705590310">
      <w:bodyDiv w:val="1"/>
      <w:marLeft w:val="0"/>
      <w:marRight w:val="0"/>
      <w:marTop w:val="0"/>
      <w:marBottom w:val="0"/>
      <w:divBdr>
        <w:top w:val="none" w:sz="0" w:space="0" w:color="auto"/>
        <w:left w:val="none" w:sz="0" w:space="0" w:color="auto"/>
        <w:bottom w:val="none" w:sz="0" w:space="0" w:color="auto"/>
        <w:right w:val="none" w:sz="0" w:space="0" w:color="auto"/>
      </w:divBdr>
    </w:div>
    <w:div w:id="1819498313">
      <w:bodyDiv w:val="1"/>
      <w:marLeft w:val="0"/>
      <w:marRight w:val="0"/>
      <w:marTop w:val="0"/>
      <w:marBottom w:val="0"/>
      <w:divBdr>
        <w:top w:val="none" w:sz="0" w:space="0" w:color="auto"/>
        <w:left w:val="none" w:sz="0" w:space="0" w:color="auto"/>
        <w:bottom w:val="none" w:sz="0" w:space="0" w:color="auto"/>
        <w:right w:val="none" w:sz="0" w:space="0" w:color="auto"/>
      </w:divBdr>
    </w:div>
    <w:div w:id="1980182971">
      <w:bodyDiv w:val="1"/>
      <w:marLeft w:val="0"/>
      <w:marRight w:val="0"/>
      <w:marTop w:val="0"/>
      <w:marBottom w:val="0"/>
      <w:divBdr>
        <w:top w:val="none" w:sz="0" w:space="0" w:color="auto"/>
        <w:left w:val="none" w:sz="0" w:space="0" w:color="auto"/>
        <w:bottom w:val="none" w:sz="0" w:space="0" w:color="auto"/>
        <w:right w:val="none" w:sz="0" w:space="0" w:color="auto"/>
      </w:divBdr>
    </w:div>
    <w:div w:id="1994597599">
      <w:bodyDiv w:val="1"/>
      <w:marLeft w:val="0"/>
      <w:marRight w:val="0"/>
      <w:marTop w:val="0"/>
      <w:marBottom w:val="0"/>
      <w:divBdr>
        <w:top w:val="none" w:sz="0" w:space="0" w:color="auto"/>
        <w:left w:val="none" w:sz="0" w:space="0" w:color="auto"/>
        <w:bottom w:val="none" w:sz="0" w:space="0" w:color="auto"/>
        <w:right w:val="none" w:sz="0" w:space="0" w:color="auto"/>
      </w:divBdr>
    </w:div>
    <w:div w:id="2051761628">
      <w:bodyDiv w:val="1"/>
      <w:marLeft w:val="0"/>
      <w:marRight w:val="0"/>
      <w:marTop w:val="0"/>
      <w:marBottom w:val="0"/>
      <w:divBdr>
        <w:top w:val="none" w:sz="0" w:space="0" w:color="auto"/>
        <w:left w:val="none" w:sz="0" w:space="0" w:color="auto"/>
        <w:bottom w:val="none" w:sz="0" w:space="0" w:color="auto"/>
        <w:right w:val="none" w:sz="0" w:space="0" w:color="auto"/>
      </w:divBdr>
    </w:div>
    <w:div w:id="2060280217">
      <w:bodyDiv w:val="1"/>
      <w:marLeft w:val="0"/>
      <w:marRight w:val="0"/>
      <w:marTop w:val="0"/>
      <w:marBottom w:val="0"/>
      <w:divBdr>
        <w:top w:val="none" w:sz="0" w:space="0" w:color="auto"/>
        <w:left w:val="none" w:sz="0" w:space="0" w:color="auto"/>
        <w:bottom w:val="none" w:sz="0" w:space="0" w:color="auto"/>
        <w:right w:val="none" w:sz="0" w:space="0" w:color="auto"/>
      </w:divBdr>
    </w:div>
    <w:div w:id="2079131868">
      <w:bodyDiv w:val="1"/>
      <w:marLeft w:val="0"/>
      <w:marRight w:val="0"/>
      <w:marTop w:val="0"/>
      <w:marBottom w:val="0"/>
      <w:divBdr>
        <w:top w:val="none" w:sz="0" w:space="0" w:color="auto"/>
        <w:left w:val="none" w:sz="0" w:space="0" w:color="auto"/>
        <w:bottom w:val="none" w:sz="0" w:space="0" w:color="auto"/>
        <w:right w:val="none" w:sz="0" w:space="0" w:color="auto"/>
      </w:divBdr>
    </w:div>
    <w:div w:id="2094930538">
      <w:bodyDiv w:val="1"/>
      <w:marLeft w:val="0"/>
      <w:marRight w:val="0"/>
      <w:marTop w:val="0"/>
      <w:marBottom w:val="0"/>
      <w:divBdr>
        <w:top w:val="none" w:sz="0" w:space="0" w:color="auto"/>
        <w:left w:val="none" w:sz="0" w:space="0" w:color="auto"/>
        <w:bottom w:val="none" w:sz="0" w:space="0" w:color="auto"/>
        <w:right w:val="none" w:sz="0" w:space="0" w:color="auto"/>
      </w:divBdr>
    </w:div>
    <w:div w:id="2123112870">
      <w:bodyDiv w:val="1"/>
      <w:marLeft w:val="0"/>
      <w:marRight w:val="0"/>
      <w:marTop w:val="0"/>
      <w:marBottom w:val="0"/>
      <w:divBdr>
        <w:top w:val="none" w:sz="0" w:space="0" w:color="auto"/>
        <w:left w:val="none" w:sz="0" w:space="0" w:color="auto"/>
        <w:bottom w:val="none" w:sz="0" w:space="0" w:color="auto"/>
        <w:right w:val="none" w:sz="0" w:space="0" w:color="auto"/>
      </w:divBdr>
    </w:div>
    <w:div w:id="2135363112">
      <w:bodyDiv w:val="1"/>
      <w:marLeft w:val="0"/>
      <w:marRight w:val="0"/>
      <w:marTop w:val="0"/>
      <w:marBottom w:val="0"/>
      <w:divBdr>
        <w:top w:val="none" w:sz="0" w:space="0" w:color="auto"/>
        <w:left w:val="none" w:sz="0" w:space="0" w:color="auto"/>
        <w:bottom w:val="none" w:sz="0" w:space="0" w:color="auto"/>
        <w:right w:val="none" w:sz="0" w:space="0" w:color="auto"/>
      </w:divBdr>
    </w:div>
    <w:div w:id="21393714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2.xml"/><Relationship Id="rId26" Type="http://schemas.openxmlformats.org/officeDocument/2006/relationships/hyperlink" Target="https://data.worldbank.org/indicator/IC.BUS.DISC.XQ" TargetMode="External"/><Relationship Id="rId39" Type="http://schemas.openxmlformats.org/officeDocument/2006/relationships/image" Target="media/image23.png"/><Relationship Id="rId21" Type="http://schemas.openxmlformats.org/officeDocument/2006/relationships/image" Target="media/image9.jpe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hyperlink" Target="https://ru.wikipedia.org/wiki/Moody%E2%80%99s" TargetMode="Externa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4.xml"/><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6.xm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5.xm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10" Type="http://schemas.openxmlformats.org/officeDocument/2006/relationships/image" Target="media/image2.png"/><Relationship Id="rId19" Type="http://schemas.openxmlformats.org/officeDocument/2006/relationships/chart" Target="charts/chart3.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data.worldbank.org/indicator/IC.BUS.DISC.XQ" TargetMode="External"/><Relationship Id="rId2" Type="http://schemas.openxmlformats.org/officeDocument/2006/relationships/hyperlink" Target="https://minfin.gov.ru/common/upload/library/2021/03/main/Ispolnenie_2020_god.pdf" TargetMode="External"/><Relationship Id="rId1" Type="http://schemas.openxmlformats.org/officeDocument/2006/relationships/hyperlink" Target="https://data.worldbank.org/indicator/IC.BUS.DISC.XQ" TargetMode="External"/><Relationship Id="rId4" Type="http://schemas.openxmlformats.org/officeDocument/2006/relationships/hyperlink" Target="https://data.worldbank.org/indicator/IC.BUS.DISC.XQ"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file:///C:\Users\&#1055;&#1082;\Desktop\&#1042;&#1050;&#1056;\event%20study_MICEX.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1055;&#1082;\Desktop\&#1042;&#1050;&#1056;\event%20study_MICEX.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1055;&#1082;\Desktop\&#1042;&#1050;&#1056;\event%20study_SGHE.xlsm"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1055;&#1082;\Desktop\&#1042;&#1050;&#1056;\event%20study_SGHE.xlsm"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99A-4183-81C8-B0253D758E04}"/>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399A-4183-81C8-B0253D758E04}"/>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399A-4183-81C8-B0253D758E04}"/>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399A-4183-81C8-B0253D758E04}"/>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399A-4183-81C8-B0253D758E04}"/>
              </c:ext>
            </c:extLst>
          </c:dPt>
          <c:dPt>
            <c:idx val="5"/>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B-399A-4183-81C8-B0253D758E04}"/>
              </c:ext>
            </c:extLst>
          </c:dPt>
          <c:dPt>
            <c:idx val="6"/>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0D-399A-4183-81C8-B0253D758E04}"/>
              </c:ext>
            </c:extLst>
          </c:dPt>
          <c:dPt>
            <c:idx val="7"/>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0F-399A-4183-81C8-B0253D758E04}"/>
              </c:ext>
            </c:extLst>
          </c:dPt>
          <c:dLbls>
            <c:dLbl>
              <c:idx val="3"/>
              <c:layout>
                <c:manualLayout>
                  <c:x val="0.10084860245549875"/>
                  <c:y val="8.4049590993350454E-3"/>
                </c:manualLayout>
              </c:layout>
              <c:tx>
                <c:rich>
                  <a:bodyPr/>
                  <a:lstStyle/>
                  <a:p>
                    <a:fld id="{3F1ACBA6-7EBF-4BE6-BD46-8A27B51D3BBF}" type="VALUE">
                      <a:rPr lang="en-US" sz="1200">
                        <a:solidFill>
                          <a:schemeClr val="bg1"/>
                        </a:solidFill>
                      </a:rPr>
                      <a:pPr/>
                      <a:t>[ЗНАЧЕНИЕ]</a:t>
                    </a:fld>
                    <a:endParaRPr lang="en-US"/>
                  </a:p>
                </c:rich>
              </c:tx>
              <c:dLblPos val="bestFit"/>
              <c:showLegendKey val="0"/>
              <c:showVal val="1"/>
              <c:showCatName val="0"/>
              <c:showSerName val="0"/>
              <c:showPercent val="0"/>
              <c:showBubbleSize val="0"/>
              <c:extLst>
                <c:ext xmlns:c15="http://schemas.microsoft.com/office/drawing/2012/chart" uri="{CE6537A1-D6FC-4f65-9D91-7224C49458BB}">
                  <c15:layout>
                    <c:manualLayout>
                      <c:w val="6.0094786729857817E-2"/>
                      <c:h val="6.5680515637489154E-2"/>
                    </c:manualLayout>
                  </c15:layout>
                  <c15:dlblFieldTable/>
                  <c15:showDataLabelsRange val="0"/>
                </c:ext>
                <c:ext xmlns:c16="http://schemas.microsoft.com/office/drawing/2014/chart" uri="{C3380CC4-5D6E-409C-BE32-E72D297353CC}">
                  <c16:uniqueId val="{00000007-399A-4183-81C8-B0253D758E04}"/>
                </c:ext>
              </c:extLst>
            </c:dLbl>
            <c:dLbl>
              <c:idx val="4"/>
              <c:layout>
                <c:manualLayout>
                  <c:x val="9.0563682501772588E-2"/>
                  <c:y val="0.15065798200710873"/>
                </c:manualLayout>
              </c:layout>
              <c:tx>
                <c:rich>
                  <a:bodyPr/>
                  <a:lstStyle/>
                  <a:p>
                    <a:fld id="{C9144FEC-4C01-4EE5-B74F-A2C679A81F6C}" type="VALUE">
                      <a:rPr lang="en-US" sz="1200">
                        <a:solidFill>
                          <a:schemeClr val="bg1"/>
                        </a:solidFill>
                      </a:rPr>
                      <a:pPr/>
                      <a:t>[ЗНАЧЕНИЕ]</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399A-4183-81C8-B0253D758E04}"/>
                </c:ext>
              </c:extLst>
            </c:dLbl>
            <c:dLbl>
              <c:idx val="5"/>
              <c:layout>
                <c:manualLayout>
                  <c:x val="5.2522667595009962E-3"/>
                  <c:y val="3.116765863389975E-2"/>
                </c:manualLayout>
              </c:layout>
              <c:tx>
                <c:rich>
                  <a:bodyPr/>
                  <a:lstStyle/>
                  <a:p>
                    <a:fld id="{C2D72ECD-744A-4F58-B36B-690E9590D6A4}" type="VALUE">
                      <a:rPr lang="en-US">
                        <a:solidFill>
                          <a:schemeClr val="tx1"/>
                        </a:solidFill>
                      </a:rPr>
                      <a:pPr/>
                      <a:t>[ЗНАЧЕНИЕ]</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399A-4183-81C8-B0253D758E04}"/>
                </c:ext>
              </c:extLst>
            </c:dLbl>
            <c:dLbl>
              <c:idx val="6"/>
              <c:layout>
                <c:manualLayout>
                  <c:x val="5.834462308977835E-2"/>
                  <c:y val="2.1388185507648519E-3"/>
                </c:manualLayout>
              </c:layout>
              <c:tx>
                <c:rich>
                  <a:bodyPr/>
                  <a:lstStyle/>
                  <a:p>
                    <a:fld id="{E9E48DF6-AC72-4B61-8890-6C930E80F4BA}" type="VALUE">
                      <a:rPr lang="en-US">
                        <a:solidFill>
                          <a:schemeClr val="tx1"/>
                        </a:solidFill>
                      </a:rPr>
                      <a:pPr/>
                      <a:t>[ЗНАЧЕНИЕ]</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399A-4183-81C8-B0253D758E04}"/>
                </c:ext>
              </c:extLst>
            </c:dLbl>
            <c:dLbl>
              <c:idx val="7"/>
              <c:layout>
                <c:manualLayout>
                  <c:x val="-4.976126487183119E-2"/>
                  <c:y val="1.0399597627389082E-2"/>
                </c:manualLayout>
              </c:layout>
              <c:tx>
                <c:rich>
                  <a:bodyPr/>
                  <a:lstStyle/>
                  <a:p>
                    <a:fld id="{22E73735-80F7-4076-9C76-0AC4B59E3A31}" type="VALUE">
                      <a:rPr lang="en-US">
                        <a:solidFill>
                          <a:schemeClr val="tx1"/>
                        </a:solidFill>
                      </a:rPr>
                      <a:pPr/>
                      <a:t>[ЗНАЧЕНИЕ]</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399A-4183-81C8-B0253D758E04}"/>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'MICEX выборка'!$E$3:$E$7</c:f>
              <c:strCache>
                <c:ptCount val="5"/>
                <c:pt idx="0">
                  <c:v>Utilities Коммунальные услуги</c:v>
                </c:pt>
                <c:pt idx="1">
                  <c:v>Energy Энергетика</c:v>
                </c:pt>
                <c:pt idx="2">
                  <c:v>Materials Материалы</c:v>
                </c:pt>
                <c:pt idx="3">
                  <c:v>Industrials Промышленность</c:v>
                </c:pt>
                <c:pt idx="4">
                  <c:v>Прочие отрасли</c:v>
                </c:pt>
              </c:strCache>
            </c:strRef>
          </c:cat>
          <c:val>
            <c:numRef>
              <c:f>'MICEX выборка'!$G$3:$G$7</c:f>
              <c:numCache>
                <c:formatCode>0%</c:formatCode>
                <c:ptCount val="5"/>
                <c:pt idx="0">
                  <c:v>0.34285714285714286</c:v>
                </c:pt>
                <c:pt idx="1">
                  <c:v>0.22857142857142856</c:v>
                </c:pt>
                <c:pt idx="2">
                  <c:v>0.17142857142857143</c:v>
                </c:pt>
                <c:pt idx="3">
                  <c:v>5.7142857142857141E-2</c:v>
                </c:pt>
                <c:pt idx="4">
                  <c:v>0.2</c:v>
                </c:pt>
              </c:numCache>
            </c:numRef>
          </c:val>
          <c:extLst>
            <c:ext xmlns:c16="http://schemas.microsoft.com/office/drawing/2014/chart" uri="{C3380CC4-5D6E-409C-BE32-E72D297353CC}">
              <c16:uniqueId val="{00000010-399A-4183-81C8-B0253D758E04}"/>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041341155884925"/>
          <c:y val="0.17209673304875767"/>
          <c:w val="0.38061533974919803"/>
          <c:h val="0.66444552360470355"/>
        </c:manualLayout>
      </c:layout>
      <c:overlay val="0"/>
      <c:spPr>
        <a:noFill/>
        <a:ln>
          <a:noFill/>
        </a:ln>
        <a:effectLst/>
      </c:spPr>
      <c:txPr>
        <a:bodyPr rot="0" spcFirstLastPara="1" vertOverflow="ellipsis" vert="horz" wrap="square" anchor="ctr" anchorCtr="1"/>
        <a:lstStyle/>
        <a:p>
          <a:pPr rtl="0">
            <a:defRPr sz="12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A6E-4166-B8B9-1312E7158C72}"/>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3A6E-4166-B8B9-1312E7158C72}"/>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3A6E-4166-B8B9-1312E7158C72}"/>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3A6E-4166-B8B9-1312E7158C72}"/>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3A6E-4166-B8B9-1312E7158C72}"/>
              </c:ext>
            </c:extLst>
          </c:dPt>
          <c:dLbls>
            <c:dLbl>
              <c:idx val="0"/>
              <c:layout>
                <c:manualLayout>
                  <c:x val="-0.13799125109361335"/>
                  <c:y val="0.12328229804607757"/>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6E-4166-B8B9-1312E7158C72}"/>
                </c:ext>
              </c:extLst>
            </c:dLbl>
            <c:dLbl>
              <c:idx val="1"/>
              <c:layout>
                <c:manualLayout>
                  <c:x val="-9.8575240594925631E-2"/>
                  <c:y val="-0.15710156022163896"/>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A6E-4166-B8B9-1312E7158C72}"/>
                </c:ext>
              </c:extLst>
            </c:dLbl>
            <c:dLbl>
              <c:idx val="2"/>
              <c:layout>
                <c:manualLayout>
                  <c:x val="3.3917760279965008E-2"/>
                  <c:y val="-0.1562160979877515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A6E-4166-B8B9-1312E7158C72}"/>
                </c:ext>
              </c:extLst>
            </c:dLbl>
            <c:dLbl>
              <c:idx val="3"/>
              <c:layout>
                <c:manualLayout>
                  <c:x val="0.12039206036745406"/>
                  <c:y val="-0.11068770049577137"/>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manualLayout>
                      <c:w val="9.6499999999999989E-2"/>
                      <c:h val="0.11874999999999998"/>
                    </c:manualLayout>
                  </c15:layout>
                </c:ext>
                <c:ext xmlns:c16="http://schemas.microsoft.com/office/drawing/2014/chart" uri="{C3380CC4-5D6E-409C-BE32-E72D297353CC}">
                  <c16:uniqueId val="{00000007-3A6E-4166-B8B9-1312E7158C72}"/>
                </c:ext>
              </c:extLst>
            </c:dLbl>
            <c:dLbl>
              <c:idx val="4"/>
              <c:layout>
                <c:manualLayout>
                  <c:x val="0.11955139982502187"/>
                  <c:y val="0.1599398512685914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A6E-4166-B8B9-1312E7158C7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Лист1!$K$11:$K$15</c:f>
              <c:strCache>
                <c:ptCount val="5"/>
                <c:pt idx="0">
                  <c:v>IT Информационные технологии</c:v>
                </c:pt>
                <c:pt idx="1">
                  <c:v>Materials Материалы</c:v>
                </c:pt>
                <c:pt idx="2">
                  <c:v>Consumer Discretionary                                                                                        Потребительские товары выборочного спроса                                                                                                         </c:v>
                </c:pt>
                <c:pt idx="3">
                  <c:v>Industrials Промышленность</c:v>
                </c:pt>
                <c:pt idx="4">
                  <c:v>Прочие отрасли</c:v>
                </c:pt>
              </c:strCache>
            </c:strRef>
          </c:cat>
          <c:val>
            <c:numRef>
              <c:f>Лист1!$L$11:$L$15</c:f>
              <c:numCache>
                <c:formatCode>0%</c:formatCode>
                <c:ptCount val="5"/>
                <c:pt idx="0">
                  <c:v>0.3</c:v>
                </c:pt>
                <c:pt idx="1">
                  <c:v>0.15</c:v>
                </c:pt>
                <c:pt idx="2">
                  <c:v>0.15</c:v>
                </c:pt>
                <c:pt idx="3">
                  <c:v>0.13</c:v>
                </c:pt>
                <c:pt idx="4">
                  <c:v>0.27</c:v>
                </c:pt>
              </c:numCache>
            </c:numRef>
          </c:val>
          <c:extLst>
            <c:ext xmlns:c16="http://schemas.microsoft.com/office/drawing/2014/chart" uri="{C3380CC4-5D6E-409C-BE32-E72D297353CC}">
              <c16:uniqueId val="{0000000A-3A6E-4166-B8B9-1312E7158C72}"/>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legendEntry>
        <c:idx val="2"/>
        <c:txPr>
          <a:bodyPr rot="0" spcFirstLastPara="1" vertOverflow="ellipsis" vert="horz" wrap="square" anchor="ctr" anchorCtr="1"/>
          <a:lstStyle/>
          <a:p>
            <a:pPr>
              <a:defRPr sz="1050" b="0" i="0" u="none" strike="noStrike" kern="1200" spc="0" baseline="0">
                <a:solidFill>
                  <a:sysClr val="windowText" lastClr="000000"/>
                </a:solidFill>
                <a:latin typeface="+mn-lt"/>
                <a:ea typeface="+mn-ea"/>
                <a:cs typeface="+mn-cs"/>
              </a:defRPr>
            </a:pPr>
            <a:endParaRPr lang="en-US"/>
          </a:p>
        </c:txPr>
      </c:legendEntry>
      <c:layout>
        <c:manualLayout>
          <c:xMode val="edge"/>
          <c:yMode val="edge"/>
          <c:x val="0.54027788713910752"/>
          <c:y val="3.3474409448818895E-2"/>
          <c:w val="0.45972211286089237"/>
          <c:h val="0.96652559055118115"/>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rPr>
              <a:t>AAR, %</a:t>
            </a:r>
          </a:p>
        </c:rich>
      </c:tx>
      <c:overlay val="0"/>
      <c:spPr>
        <a:noFill/>
        <a:ln>
          <a:noFill/>
        </a:ln>
        <a:effectLst/>
      </c:spPr>
      <c:txPr>
        <a:bodyPr rot="0" spcFirstLastPara="1" vertOverflow="ellipsis" vert="horz" wrap="square" anchor="ctr" anchorCtr="1"/>
        <a:lstStyle/>
        <a:p>
          <a:pPr algn="ctr" rtl="0">
            <a:defRPr lang="en-US"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v>Негативный сюрприз</c:v>
          </c:tx>
          <c:spPr>
            <a:ln w="28575" cap="rnd">
              <a:solidFill>
                <a:schemeClr val="accent1">
                  <a:alpha val="83000"/>
                </a:schemeClr>
              </a:solidFill>
              <a:round/>
            </a:ln>
            <a:effectLst/>
          </c:spPr>
          <c:marker>
            <c:symbol val="none"/>
          </c:marker>
          <c:cat>
            <c:numRef>
              <c:f>'Summary (+) (2)'!$A$183:$A$203</c:f>
              <c:numCache>
                <c:formatCode>0</c:formatCode>
                <c:ptCount val="21"/>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numCache>
            </c:numRef>
          </c:cat>
          <c:val>
            <c:numRef>
              <c:f>'Summary (-) (2)'!$B$183:$B$203</c:f>
              <c:numCache>
                <c:formatCode>0.0%</c:formatCode>
                <c:ptCount val="21"/>
                <c:pt idx="0">
                  <c:v>1.215825612515743E-3</c:v>
                </c:pt>
                <c:pt idx="1">
                  <c:v>-2.9796251004807266E-4</c:v>
                </c:pt>
                <c:pt idx="2">
                  <c:v>1.13005264716968E-4</c:v>
                </c:pt>
                <c:pt idx="3">
                  <c:v>-4.9550706449273327E-3</c:v>
                </c:pt>
                <c:pt idx="4">
                  <c:v>3.382704460584443E-4</c:v>
                </c:pt>
                <c:pt idx="5">
                  <c:v>-5.4463420467635193E-4</c:v>
                </c:pt>
                <c:pt idx="6">
                  <c:v>7.0339787345449214E-4</c:v>
                </c:pt>
                <c:pt idx="7">
                  <c:v>-1.1991419627447404E-4</c:v>
                </c:pt>
                <c:pt idx="8">
                  <c:v>-8.745395007850197E-4</c:v>
                </c:pt>
                <c:pt idx="9">
                  <c:v>-5.929353173283981E-4</c:v>
                </c:pt>
                <c:pt idx="10" formatCode="0.00%">
                  <c:v>-7.6539707297836063E-3</c:v>
                </c:pt>
                <c:pt idx="11">
                  <c:v>-6.6605570630049954E-3</c:v>
                </c:pt>
                <c:pt idx="12">
                  <c:v>-1.0942726565313165E-4</c:v>
                </c:pt>
                <c:pt idx="13">
                  <c:v>-1.0506829656917206E-3</c:v>
                </c:pt>
                <c:pt idx="14">
                  <c:v>-2.3812770707011496E-3</c:v>
                </c:pt>
                <c:pt idx="15">
                  <c:v>-2.6544846409575886E-3</c:v>
                </c:pt>
                <c:pt idx="16">
                  <c:v>2.7785603326983075E-3</c:v>
                </c:pt>
                <c:pt idx="17">
                  <c:v>-3.2380635472621894E-3</c:v>
                </c:pt>
                <c:pt idx="18">
                  <c:v>1.8252003043483884E-3</c:v>
                </c:pt>
                <c:pt idx="19">
                  <c:v>-2.1345114900774304E-3</c:v>
                </c:pt>
                <c:pt idx="20">
                  <c:v>3.3922475111460089E-3</c:v>
                </c:pt>
              </c:numCache>
            </c:numRef>
          </c:val>
          <c:smooth val="0"/>
          <c:extLst>
            <c:ext xmlns:c16="http://schemas.microsoft.com/office/drawing/2014/chart" uri="{C3380CC4-5D6E-409C-BE32-E72D297353CC}">
              <c16:uniqueId val="{00000000-775A-4646-AC7C-E57459DE2CEA}"/>
            </c:ext>
          </c:extLst>
        </c:ser>
        <c:ser>
          <c:idx val="1"/>
          <c:order val="1"/>
          <c:tx>
            <c:v>Позитивный сюрприз</c:v>
          </c:tx>
          <c:spPr>
            <a:ln w="28575" cap="rnd">
              <a:solidFill>
                <a:schemeClr val="accent2">
                  <a:alpha val="70000"/>
                </a:schemeClr>
              </a:solidFill>
              <a:round/>
            </a:ln>
            <a:effectLst/>
          </c:spPr>
          <c:marker>
            <c:symbol val="none"/>
          </c:marker>
          <c:val>
            <c:numRef>
              <c:f>'Summary (+) (2)'!$B$183:$B$203</c:f>
              <c:numCache>
                <c:formatCode>0.0%</c:formatCode>
                <c:ptCount val="21"/>
                <c:pt idx="0">
                  <c:v>-2.7899058596189338E-4</c:v>
                </c:pt>
                <c:pt idx="1">
                  <c:v>-3.2297359907748787E-4</c:v>
                </c:pt>
                <c:pt idx="2">
                  <c:v>-1.0345789111858056E-3</c:v>
                </c:pt>
                <c:pt idx="3">
                  <c:v>-6.1889382475545428E-4</c:v>
                </c:pt>
                <c:pt idx="4">
                  <c:v>6.6147118311795042E-3</c:v>
                </c:pt>
                <c:pt idx="5">
                  <c:v>4.2504524927201691E-4</c:v>
                </c:pt>
                <c:pt idx="6">
                  <c:v>5.4345152195210374E-4</c:v>
                </c:pt>
                <c:pt idx="7">
                  <c:v>3.4721605527352612E-4</c:v>
                </c:pt>
                <c:pt idx="8">
                  <c:v>3.0214905783781838E-3</c:v>
                </c:pt>
                <c:pt idx="9">
                  <c:v>1.5232210720750761E-3</c:v>
                </c:pt>
                <c:pt idx="10" formatCode="0.00%">
                  <c:v>4.7547752077155775E-3</c:v>
                </c:pt>
                <c:pt idx="11">
                  <c:v>2.5551226652373062E-3</c:v>
                </c:pt>
                <c:pt idx="12">
                  <c:v>3.1650816882684263E-3</c:v>
                </c:pt>
                <c:pt idx="13">
                  <c:v>1.6529101560191404E-3</c:v>
                </c:pt>
                <c:pt idx="14">
                  <c:v>-8.6352430648379088E-4</c:v>
                </c:pt>
                <c:pt idx="15">
                  <c:v>-1.7473727646929635E-3</c:v>
                </c:pt>
                <c:pt idx="16">
                  <c:v>1.7523542621278481E-3</c:v>
                </c:pt>
                <c:pt idx="17">
                  <c:v>2.1404922960166701E-4</c:v>
                </c:pt>
                <c:pt idx="18">
                  <c:v>3.6213340290485196E-3</c:v>
                </c:pt>
                <c:pt idx="19">
                  <c:v>2.3976571797341968E-3</c:v>
                </c:pt>
                <c:pt idx="20">
                  <c:v>-3.0941703580646077E-3</c:v>
                </c:pt>
              </c:numCache>
            </c:numRef>
          </c:val>
          <c:smooth val="0"/>
          <c:extLst>
            <c:ext xmlns:c16="http://schemas.microsoft.com/office/drawing/2014/chart" uri="{C3380CC4-5D6E-409C-BE32-E72D297353CC}">
              <c16:uniqueId val="{00000001-775A-4646-AC7C-E57459DE2CEA}"/>
            </c:ext>
          </c:extLst>
        </c:ser>
        <c:dLbls>
          <c:showLegendKey val="0"/>
          <c:showVal val="0"/>
          <c:showCatName val="0"/>
          <c:showSerName val="0"/>
          <c:showPercent val="0"/>
          <c:showBubbleSize val="0"/>
        </c:dLbls>
        <c:smooth val="0"/>
        <c:axId val="795232232"/>
        <c:axId val="795237152"/>
      </c:lineChart>
      <c:catAx>
        <c:axId val="795232232"/>
        <c:scaling>
          <c:orientation val="minMax"/>
        </c:scaling>
        <c:delete val="0"/>
        <c:axPos val="b"/>
        <c:numFmt formatCode="0" sourceLinked="1"/>
        <c:majorTickMark val="none"/>
        <c:minorTickMark val="none"/>
        <c:tickLblPos val="nextTo"/>
        <c:spPr>
          <a:noFill/>
          <a:ln w="9525" cap="flat" cmpd="sng" algn="ctr">
            <a:solidFill>
              <a:schemeClr val="bg1">
                <a:lumMod val="50000"/>
              </a:schemeClr>
            </a:solidFill>
            <a:round/>
            <a:tailEnd type="stealth"/>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95237152"/>
        <c:crosses val="autoZero"/>
        <c:auto val="1"/>
        <c:lblAlgn val="ctr"/>
        <c:lblOffset val="100"/>
        <c:noMultiLvlLbl val="0"/>
      </c:catAx>
      <c:valAx>
        <c:axId val="795237152"/>
        <c:scaling>
          <c:orientation val="minMax"/>
          <c:max val="8.0000000000000019E-3"/>
          <c:min val="-1.2000000000000002E-2"/>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bg1">
                <a:lumMod val="50000"/>
              </a:schemeClr>
            </a:solidFill>
            <a:headEnd w="lg" len="lg"/>
            <a:tailEnd type="stealth"/>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95232232"/>
        <c:crossesAt val="11"/>
        <c:crossBetween val="between"/>
        <c:majorUnit val="4.000000000000001E-3"/>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CAAR, %</a:t>
            </a:r>
            <a:endParaRPr lang="ru-RU"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2609474537254782"/>
          <c:y val="4.14481710084576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v>Позитивный сюрприз</c:v>
          </c:tx>
          <c:spPr>
            <a:ln w="28575" cap="rnd">
              <a:solidFill>
                <a:schemeClr val="accent1"/>
              </a:solidFill>
              <a:round/>
            </a:ln>
            <a:effectLst/>
          </c:spPr>
          <c:marker>
            <c:symbol val="none"/>
          </c:marker>
          <c:cat>
            <c:numRef>
              <c:f>'Summary (+) (2)'!$A$183:$A$203</c:f>
              <c:numCache>
                <c:formatCode>0</c:formatCode>
                <c:ptCount val="21"/>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numCache>
            </c:numRef>
          </c:cat>
          <c:val>
            <c:numRef>
              <c:f>'Summary (+) (2)'!$D$183:$D$203</c:f>
              <c:numCache>
                <c:formatCode>0%</c:formatCode>
                <c:ptCount val="21"/>
                <c:pt idx="0">
                  <c:v>-2.7899058596189338E-4</c:v>
                </c:pt>
                <c:pt idx="1">
                  <c:v>-6.0196418503938125E-4</c:v>
                </c:pt>
                <c:pt idx="2">
                  <c:v>-1.636543096225187E-3</c:v>
                </c:pt>
                <c:pt idx="3">
                  <c:v>-2.2554369209806411E-3</c:v>
                </c:pt>
                <c:pt idx="4">
                  <c:v>4.3592749101988631E-3</c:v>
                </c:pt>
                <c:pt idx="5">
                  <c:v>4.78432015947088E-3</c:v>
                </c:pt>
                <c:pt idx="6">
                  <c:v>5.3277716814229834E-3</c:v>
                </c:pt>
                <c:pt idx="7">
                  <c:v>5.6749877366965096E-3</c:v>
                </c:pt>
                <c:pt idx="8">
                  <c:v>8.6964783150746926E-3</c:v>
                </c:pt>
                <c:pt idx="9">
                  <c:v>1.0219699387149769E-2</c:v>
                </c:pt>
                <c:pt idx="10">
                  <c:v>1.4974474594865346E-2</c:v>
                </c:pt>
                <c:pt idx="11">
                  <c:v>1.7529597260102652E-2</c:v>
                </c:pt>
                <c:pt idx="12">
                  <c:v>2.0694678948371077E-2</c:v>
                </c:pt>
                <c:pt idx="13">
                  <c:v>2.2347589104390216E-2</c:v>
                </c:pt>
                <c:pt idx="14">
                  <c:v>2.1484064797906426E-2</c:v>
                </c:pt>
                <c:pt idx="15">
                  <c:v>1.9736692033213463E-2</c:v>
                </c:pt>
                <c:pt idx="16">
                  <c:v>2.1489046295341312E-2</c:v>
                </c:pt>
                <c:pt idx="17">
                  <c:v>2.170309552494298E-2</c:v>
                </c:pt>
                <c:pt idx="18">
                  <c:v>2.5324429553991501E-2</c:v>
                </c:pt>
                <c:pt idx="19">
                  <c:v>2.7722086733725698E-2</c:v>
                </c:pt>
                <c:pt idx="20" formatCode="0.00%">
                  <c:v>2.4627916375661092E-2</c:v>
                </c:pt>
              </c:numCache>
            </c:numRef>
          </c:val>
          <c:smooth val="0"/>
          <c:extLst>
            <c:ext xmlns:c16="http://schemas.microsoft.com/office/drawing/2014/chart" uri="{C3380CC4-5D6E-409C-BE32-E72D297353CC}">
              <c16:uniqueId val="{00000000-21FB-478E-9821-4795EA65B294}"/>
            </c:ext>
          </c:extLst>
        </c:ser>
        <c:ser>
          <c:idx val="1"/>
          <c:order val="1"/>
          <c:tx>
            <c:v>Негативный сюрприз</c:v>
          </c:tx>
          <c:spPr>
            <a:ln w="28575" cap="rnd">
              <a:solidFill>
                <a:schemeClr val="accent2">
                  <a:alpha val="88000"/>
                </a:schemeClr>
              </a:solidFill>
              <a:round/>
            </a:ln>
            <a:effectLst/>
          </c:spPr>
          <c:marker>
            <c:symbol val="none"/>
          </c:marker>
          <c:val>
            <c:numRef>
              <c:f>'Summary (-) (2)'!$D$183:$D$203</c:f>
              <c:numCache>
                <c:formatCode>0%</c:formatCode>
                <c:ptCount val="21"/>
                <c:pt idx="0">
                  <c:v>1.215825612515743E-3</c:v>
                </c:pt>
                <c:pt idx="1">
                  <c:v>9.178631024676703E-4</c:v>
                </c:pt>
                <c:pt idx="2">
                  <c:v>1.0308683671846383E-3</c:v>
                </c:pt>
                <c:pt idx="3">
                  <c:v>-3.9242022777426942E-3</c:v>
                </c:pt>
                <c:pt idx="4">
                  <c:v>-3.5859318316842498E-3</c:v>
                </c:pt>
                <c:pt idx="5">
                  <c:v>-4.1305660363606016E-3</c:v>
                </c:pt>
                <c:pt idx="6">
                  <c:v>-3.4271681629061096E-3</c:v>
                </c:pt>
                <c:pt idx="7">
                  <c:v>-3.5470823591805837E-3</c:v>
                </c:pt>
                <c:pt idx="8">
                  <c:v>-4.4216218599656036E-3</c:v>
                </c:pt>
                <c:pt idx="9">
                  <c:v>-5.0145571772940017E-3</c:v>
                </c:pt>
                <c:pt idx="10">
                  <c:v>-1.2668527907077608E-2</c:v>
                </c:pt>
                <c:pt idx="11">
                  <c:v>-1.9329084970082604E-2</c:v>
                </c:pt>
                <c:pt idx="12">
                  <c:v>-1.9438512235735735E-2</c:v>
                </c:pt>
                <c:pt idx="13">
                  <c:v>-2.0489195201427456E-2</c:v>
                </c:pt>
                <c:pt idx="14">
                  <c:v>-2.2870472272128607E-2</c:v>
                </c:pt>
                <c:pt idx="15">
                  <c:v>-2.5524956913086195E-2</c:v>
                </c:pt>
                <c:pt idx="16">
                  <c:v>-2.2746396580387886E-2</c:v>
                </c:pt>
                <c:pt idx="17">
                  <c:v>-2.5984460127650075E-2</c:v>
                </c:pt>
                <c:pt idx="18">
                  <c:v>-2.4159259823301686E-2</c:v>
                </c:pt>
                <c:pt idx="19">
                  <c:v>-2.6293771313379115E-2</c:v>
                </c:pt>
                <c:pt idx="20" formatCode="0.00%">
                  <c:v>-2.2901523802233106E-2</c:v>
                </c:pt>
              </c:numCache>
            </c:numRef>
          </c:val>
          <c:smooth val="0"/>
          <c:extLst>
            <c:ext xmlns:c16="http://schemas.microsoft.com/office/drawing/2014/chart" uri="{C3380CC4-5D6E-409C-BE32-E72D297353CC}">
              <c16:uniqueId val="{00000001-21FB-478E-9821-4795EA65B294}"/>
            </c:ext>
          </c:extLst>
        </c:ser>
        <c:dLbls>
          <c:showLegendKey val="0"/>
          <c:showVal val="0"/>
          <c:showCatName val="0"/>
          <c:showSerName val="0"/>
          <c:showPercent val="0"/>
          <c:showBubbleSize val="0"/>
        </c:dLbls>
        <c:smooth val="0"/>
        <c:axId val="416810816"/>
        <c:axId val="416816392"/>
      </c:lineChart>
      <c:catAx>
        <c:axId val="416810816"/>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1" i="1">
                    <a:solidFill>
                      <a:sysClr val="windowText" lastClr="000000"/>
                    </a:solidFill>
                    <a:latin typeface="Times New Roman" panose="02020603050405020304" pitchFamily="18" charset="0"/>
                    <a:cs typeface="Times New Roman" panose="02020603050405020304" pitchFamily="18" charset="0"/>
                  </a:rPr>
                  <a:t>t</a:t>
                </a:r>
                <a:endParaRPr lang="ru-RU" sz="1100" b="1" i="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97019308632932511"/>
              <c:y val="0.4707035514366014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w="9525" cap="flat" cmpd="sng" algn="ctr">
            <a:solidFill>
              <a:schemeClr val="bg1">
                <a:lumMod val="50000"/>
              </a:schemeClr>
            </a:solidFill>
            <a:round/>
            <a:tailEnd type="stealth"/>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16816392"/>
        <c:crossesAt val="0"/>
        <c:auto val="1"/>
        <c:lblAlgn val="ctr"/>
        <c:lblOffset val="100"/>
        <c:noMultiLvlLbl val="0"/>
      </c:catAx>
      <c:valAx>
        <c:axId val="416816392"/>
        <c:scaling>
          <c:orientation val="minMax"/>
          <c:max val="3.0000000000000006E-2"/>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bg1">
                <a:lumMod val="50000"/>
              </a:schemeClr>
            </a:solidFill>
            <a:tailEnd type="stealth"/>
          </a:ln>
          <a:effectLst/>
        </c:spPr>
        <c:txPr>
          <a:bodyPr rot="-60000000" spcFirstLastPara="1" vertOverflow="ellipsis" vert="horz" wrap="square" anchor="ctr" anchorCtr="0"/>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16810816"/>
        <c:crossesAt val="11"/>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400">
                <a:solidFill>
                  <a:sysClr val="windowText" lastClr="000000"/>
                </a:solidFill>
                <a:latin typeface="Times New Roman" panose="02020603050405020304" pitchFamily="18" charset="0"/>
                <a:cs typeface="Times New Roman" panose="02020603050405020304" pitchFamily="18" charset="0"/>
              </a:rPr>
              <a:t>AAR, %</a:t>
            </a:r>
            <a:endParaRPr lang="ru-RU" sz="14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v>Позитивный сюрприз</c:v>
          </c:tx>
          <c:spPr>
            <a:ln w="28575" cap="rnd">
              <a:solidFill>
                <a:schemeClr val="accent1">
                  <a:alpha val="83000"/>
                </a:schemeClr>
              </a:solidFill>
              <a:round/>
            </a:ln>
            <a:effectLst/>
          </c:spPr>
          <c:marker>
            <c:symbol val="none"/>
          </c:marker>
          <c:cat>
            <c:numRef>
              <c:f>'Summary (+) (2)'!$A$183:$A$203</c:f>
              <c:numCache>
                <c:formatCode>0</c:formatCode>
                <c:ptCount val="21"/>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numCache>
            </c:numRef>
          </c:cat>
          <c:val>
            <c:numRef>
              <c:f>'Summary (+) (2)'!$B$183:$B$203</c:f>
              <c:numCache>
                <c:formatCode>0.00%</c:formatCode>
                <c:ptCount val="21"/>
                <c:pt idx="0">
                  <c:v>1.09292900081442E-3</c:v>
                </c:pt>
                <c:pt idx="1">
                  <c:v>-8.2980886805115507E-4</c:v>
                </c:pt>
                <c:pt idx="2">
                  <c:v>5.0114168742395292E-4</c:v>
                </c:pt>
                <c:pt idx="3">
                  <c:v>1.9642777296168313E-3</c:v>
                </c:pt>
                <c:pt idx="4">
                  <c:v>4.8765742915963303E-3</c:v>
                </c:pt>
                <c:pt idx="5">
                  <c:v>-2.062928828467593E-3</c:v>
                </c:pt>
                <c:pt idx="6">
                  <c:v>-5.0030165861550055E-4</c:v>
                </c:pt>
                <c:pt idx="7">
                  <c:v>1.8237096057545671E-3</c:v>
                </c:pt>
                <c:pt idx="8">
                  <c:v>4.0814238138038635E-3</c:v>
                </c:pt>
                <c:pt idx="9">
                  <c:v>1.2103573987612406E-3</c:v>
                </c:pt>
                <c:pt idx="10">
                  <c:v>1.784231554315476E-3</c:v>
                </c:pt>
                <c:pt idx="11">
                  <c:v>3.7078448832766676E-3</c:v>
                </c:pt>
                <c:pt idx="12">
                  <c:v>-9.0474034084117756E-4</c:v>
                </c:pt>
                <c:pt idx="13">
                  <c:v>-1.6543060008140644E-3</c:v>
                </c:pt>
                <c:pt idx="14">
                  <c:v>6.7726484462260926E-3</c:v>
                </c:pt>
                <c:pt idx="15">
                  <c:v>-1.8957357277233097E-3</c:v>
                </c:pt>
                <c:pt idx="16">
                  <c:v>-1.7596295589325333E-4</c:v>
                </c:pt>
                <c:pt idx="17">
                  <c:v>3.452299153691277E-3</c:v>
                </c:pt>
                <c:pt idx="18">
                  <c:v>-1.6841351730348779E-3</c:v>
                </c:pt>
                <c:pt idx="19">
                  <c:v>-3.8453773545490347E-3</c:v>
                </c:pt>
                <c:pt idx="20">
                  <c:v>8.4991315012794262E-4</c:v>
                </c:pt>
              </c:numCache>
            </c:numRef>
          </c:val>
          <c:smooth val="0"/>
          <c:extLst>
            <c:ext xmlns:c16="http://schemas.microsoft.com/office/drawing/2014/chart" uri="{C3380CC4-5D6E-409C-BE32-E72D297353CC}">
              <c16:uniqueId val="{00000000-CD56-490C-B102-02C09154D6EA}"/>
            </c:ext>
          </c:extLst>
        </c:ser>
        <c:ser>
          <c:idx val="1"/>
          <c:order val="1"/>
          <c:tx>
            <c:v>Негативный сюрприз</c:v>
          </c:tx>
          <c:spPr>
            <a:ln w="28575" cap="rnd">
              <a:solidFill>
                <a:schemeClr val="accent2">
                  <a:alpha val="85000"/>
                </a:schemeClr>
              </a:solidFill>
              <a:round/>
            </a:ln>
            <a:effectLst/>
          </c:spPr>
          <c:marker>
            <c:symbol val="none"/>
          </c:marker>
          <c:cat>
            <c:numRef>
              <c:f>'Summary (+) (2)'!$A$183:$A$203</c:f>
              <c:numCache>
                <c:formatCode>0</c:formatCode>
                <c:ptCount val="21"/>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numCache>
            </c:numRef>
          </c:cat>
          <c:val>
            <c:numRef>
              <c:f>'Summary (-)  (2)'!$B$183:$B$203</c:f>
              <c:numCache>
                <c:formatCode>0.00%</c:formatCode>
                <c:ptCount val="21"/>
                <c:pt idx="0">
                  <c:v>2.4216523546246233E-3</c:v>
                </c:pt>
                <c:pt idx="1">
                  <c:v>-3.5490755357988394E-3</c:v>
                </c:pt>
                <c:pt idx="2">
                  <c:v>1.166721568441362E-3</c:v>
                </c:pt>
                <c:pt idx="3">
                  <c:v>3.0953431882113453E-3</c:v>
                </c:pt>
                <c:pt idx="4">
                  <c:v>1.7338824539372473E-3</c:v>
                </c:pt>
                <c:pt idx="5">
                  <c:v>-5.1445209767022864E-3</c:v>
                </c:pt>
                <c:pt idx="6">
                  <c:v>-9.1349177604265635E-4</c:v>
                </c:pt>
                <c:pt idx="7">
                  <c:v>-5.2591719899377544E-4</c:v>
                </c:pt>
                <c:pt idx="8">
                  <c:v>-2.7066947056457969E-3</c:v>
                </c:pt>
                <c:pt idx="9">
                  <c:v>5.50876870514376E-3</c:v>
                </c:pt>
                <c:pt idx="10">
                  <c:v>-4.3621604732289772E-3</c:v>
                </c:pt>
                <c:pt idx="11">
                  <c:v>-2.6543779248488478E-4</c:v>
                </c:pt>
                <c:pt idx="12">
                  <c:v>3.074131437019372E-3</c:v>
                </c:pt>
                <c:pt idx="13">
                  <c:v>6.8994459386192541E-4</c:v>
                </c:pt>
                <c:pt idx="14">
                  <c:v>-1.7103940811296221E-4</c:v>
                </c:pt>
                <c:pt idx="15">
                  <c:v>-7.6449076727670641E-4</c:v>
                </c:pt>
                <c:pt idx="16">
                  <c:v>-3.6680984161991934E-3</c:v>
                </c:pt>
                <c:pt idx="17">
                  <c:v>-4.6856699504907364E-3</c:v>
                </c:pt>
                <c:pt idx="18">
                  <c:v>-5.1717906986208E-3</c:v>
                </c:pt>
                <c:pt idx="19">
                  <c:v>-2.9380737458195747E-3</c:v>
                </c:pt>
                <c:pt idx="20">
                  <c:v>-2.3239019153362501E-3</c:v>
                </c:pt>
              </c:numCache>
            </c:numRef>
          </c:val>
          <c:smooth val="0"/>
          <c:extLst>
            <c:ext xmlns:c16="http://schemas.microsoft.com/office/drawing/2014/chart" uri="{C3380CC4-5D6E-409C-BE32-E72D297353CC}">
              <c16:uniqueId val="{00000001-CD56-490C-B102-02C09154D6EA}"/>
            </c:ext>
          </c:extLst>
        </c:ser>
        <c:dLbls>
          <c:showLegendKey val="0"/>
          <c:showVal val="0"/>
          <c:showCatName val="0"/>
          <c:showSerName val="0"/>
          <c:showPercent val="0"/>
          <c:showBubbleSize val="0"/>
        </c:dLbls>
        <c:smooth val="0"/>
        <c:axId val="753772800"/>
        <c:axId val="753774768"/>
      </c:lineChart>
      <c:catAx>
        <c:axId val="753772800"/>
        <c:scaling>
          <c:orientation val="minMax"/>
        </c:scaling>
        <c:delete val="0"/>
        <c:axPos val="b"/>
        <c:numFmt formatCode="#,##0" sourceLinked="0"/>
        <c:majorTickMark val="none"/>
        <c:minorTickMark val="none"/>
        <c:tickLblPos val="nextTo"/>
        <c:spPr>
          <a:noFill/>
          <a:ln w="12700" cap="flat" cmpd="sng" algn="ctr">
            <a:solidFill>
              <a:schemeClr val="tx1">
                <a:lumMod val="50000"/>
                <a:lumOff val="50000"/>
              </a:schemeClr>
            </a:solidFill>
            <a:round/>
            <a:headEnd type="none"/>
            <a:tailEnd type="stealth"/>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53774768"/>
        <c:crosses val="autoZero"/>
        <c:auto val="1"/>
        <c:lblAlgn val="ctr"/>
        <c:lblOffset val="100"/>
        <c:noMultiLvlLbl val="0"/>
      </c:catAx>
      <c:valAx>
        <c:axId val="7537747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w="12700">
            <a:solidFill>
              <a:schemeClr val="tx1">
                <a:lumMod val="50000"/>
                <a:lumOff val="50000"/>
              </a:schemeClr>
            </a:solidFill>
            <a:tailEnd type="stealth"/>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53772800"/>
        <c:crossesAt val="1"/>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CAAR</a:t>
            </a:r>
            <a:r>
              <a:rPr lang="ru-RU">
                <a:solidFill>
                  <a:sysClr val="windowText" lastClr="000000"/>
                </a:solidFill>
                <a:latin typeface="Times New Roman" panose="02020603050405020304" pitchFamily="18" charset="0"/>
                <a:cs typeface="Times New Roman" panose="02020603050405020304" pitchFamily="18" charset="0"/>
              </a:rP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Позитивный сюрприз</c:v>
          </c:tx>
          <c:spPr>
            <a:ln w="28575" cap="rnd">
              <a:solidFill>
                <a:schemeClr val="accent1">
                  <a:alpha val="77000"/>
                </a:schemeClr>
              </a:solidFill>
              <a:round/>
            </a:ln>
            <a:effectLst/>
          </c:spPr>
          <c:marker>
            <c:symbol val="none"/>
          </c:marker>
          <c:cat>
            <c:numRef>
              <c:f>'Summary (+) (2)'!$A$183:$A$203</c:f>
              <c:numCache>
                <c:formatCode>0</c:formatCode>
                <c:ptCount val="21"/>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numCache>
            </c:numRef>
          </c:cat>
          <c:val>
            <c:numRef>
              <c:f>'Summary (+) (2)'!$D$183:$D$203</c:f>
              <c:numCache>
                <c:formatCode>0%</c:formatCode>
                <c:ptCount val="21"/>
                <c:pt idx="0">
                  <c:v>1.09292900081442E-3</c:v>
                </c:pt>
                <c:pt idx="1">
                  <c:v>2.6312013276326494E-4</c:v>
                </c:pt>
                <c:pt idx="2">
                  <c:v>7.6426182018721786E-4</c:v>
                </c:pt>
                <c:pt idx="3">
                  <c:v>2.728539549804049E-3</c:v>
                </c:pt>
                <c:pt idx="4">
                  <c:v>7.6051138414003792E-3</c:v>
                </c:pt>
                <c:pt idx="5">
                  <c:v>5.5421850129327866E-3</c:v>
                </c:pt>
                <c:pt idx="6">
                  <c:v>5.0418833543172861E-3</c:v>
                </c:pt>
                <c:pt idx="7">
                  <c:v>6.865592960071853E-3</c:v>
                </c:pt>
                <c:pt idx="8">
                  <c:v>1.0947016773875717E-2</c:v>
                </c:pt>
                <c:pt idx="9">
                  <c:v>1.2157374172636959E-2</c:v>
                </c:pt>
                <c:pt idx="10">
                  <c:v>1.3941605726952435E-2</c:v>
                </c:pt>
                <c:pt idx="11">
                  <c:v>1.7649450610229104E-2</c:v>
                </c:pt>
                <c:pt idx="12">
                  <c:v>1.6744710269387925E-2</c:v>
                </c:pt>
                <c:pt idx="13">
                  <c:v>1.5090404268573859E-2</c:v>
                </c:pt>
                <c:pt idx="14">
                  <c:v>2.1863052714799953E-2</c:v>
                </c:pt>
                <c:pt idx="15">
                  <c:v>1.9967316987076641E-2</c:v>
                </c:pt>
                <c:pt idx="16">
                  <c:v>1.979135403118339E-2</c:v>
                </c:pt>
                <c:pt idx="17">
                  <c:v>2.3243653184874667E-2</c:v>
                </c:pt>
                <c:pt idx="18">
                  <c:v>2.1559518011839789E-2</c:v>
                </c:pt>
                <c:pt idx="19">
                  <c:v>1.7714140657290753E-2</c:v>
                </c:pt>
                <c:pt idx="20" formatCode="0.00%">
                  <c:v>1.8564053807418695E-2</c:v>
                </c:pt>
              </c:numCache>
            </c:numRef>
          </c:val>
          <c:smooth val="0"/>
          <c:extLst>
            <c:ext xmlns:c16="http://schemas.microsoft.com/office/drawing/2014/chart" uri="{C3380CC4-5D6E-409C-BE32-E72D297353CC}">
              <c16:uniqueId val="{00000000-76E6-4A30-89F8-EA81BB40462E}"/>
            </c:ext>
          </c:extLst>
        </c:ser>
        <c:ser>
          <c:idx val="1"/>
          <c:order val="1"/>
          <c:tx>
            <c:v>Негативный сюрприз</c:v>
          </c:tx>
          <c:spPr>
            <a:ln w="28575" cap="rnd">
              <a:solidFill>
                <a:schemeClr val="accent2">
                  <a:alpha val="77000"/>
                </a:schemeClr>
              </a:solidFill>
              <a:round/>
            </a:ln>
            <a:effectLst/>
          </c:spPr>
          <c:marker>
            <c:symbol val="none"/>
          </c:marker>
          <c:val>
            <c:numRef>
              <c:f>'Summary (-)  (2)'!$D$183:$D$203</c:f>
              <c:numCache>
                <c:formatCode>0%</c:formatCode>
                <c:ptCount val="21"/>
                <c:pt idx="0">
                  <c:v>2.4216523546246233E-3</c:v>
                </c:pt>
                <c:pt idx="1">
                  <c:v>-1.127423181174216E-3</c:v>
                </c:pt>
                <c:pt idx="2">
                  <c:v>3.929838726714598E-5</c:v>
                </c:pt>
                <c:pt idx="3">
                  <c:v>3.1346415754784913E-3</c:v>
                </c:pt>
                <c:pt idx="4">
                  <c:v>4.8685240294157389E-3</c:v>
                </c:pt>
                <c:pt idx="5">
                  <c:v>-2.7599694728654752E-4</c:v>
                </c:pt>
                <c:pt idx="6">
                  <c:v>-1.1894887233292039E-3</c:v>
                </c:pt>
                <c:pt idx="7">
                  <c:v>-1.7154059223229794E-3</c:v>
                </c:pt>
                <c:pt idx="8">
                  <c:v>-4.4221006279687759E-3</c:v>
                </c:pt>
                <c:pt idx="9">
                  <c:v>1.0866680771749841E-3</c:v>
                </c:pt>
                <c:pt idx="10">
                  <c:v>-3.2754923960539931E-3</c:v>
                </c:pt>
                <c:pt idx="11">
                  <c:v>-3.5409301885388779E-3</c:v>
                </c:pt>
                <c:pt idx="12">
                  <c:v>-4.6679875151950595E-4</c:v>
                </c:pt>
                <c:pt idx="13">
                  <c:v>2.2314584234241945E-4</c:v>
                </c:pt>
                <c:pt idx="14">
                  <c:v>5.2106434229457247E-5</c:v>
                </c:pt>
                <c:pt idx="15">
                  <c:v>-7.1238433304724922E-4</c:v>
                </c:pt>
                <c:pt idx="16">
                  <c:v>-4.3804827492464424E-3</c:v>
                </c:pt>
                <c:pt idx="17">
                  <c:v>-9.0661526997371789E-3</c:v>
                </c:pt>
                <c:pt idx="18">
                  <c:v>-1.4237943398357978E-2</c:v>
                </c:pt>
                <c:pt idx="19">
                  <c:v>-1.7176017144177554E-2</c:v>
                </c:pt>
                <c:pt idx="20" formatCode="0.00%">
                  <c:v>-1.9499919059513805E-2</c:v>
                </c:pt>
              </c:numCache>
            </c:numRef>
          </c:val>
          <c:smooth val="0"/>
          <c:extLst>
            <c:ext xmlns:c16="http://schemas.microsoft.com/office/drawing/2014/chart" uri="{C3380CC4-5D6E-409C-BE32-E72D297353CC}">
              <c16:uniqueId val="{00000001-76E6-4A30-89F8-EA81BB40462E}"/>
            </c:ext>
          </c:extLst>
        </c:ser>
        <c:dLbls>
          <c:showLegendKey val="0"/>
          <c:showVal val="0"/>
          <c:showCatName val="0"/>
          <c:showSerName val="0"/>
          <c:showPercent val="0"/>
          <c:showBubbleSize val="0"/>
        </c:dLbls>
        <c:smooth val="0"/>
        <c:axId val="416810816"/>
        <c:axId val="416816392"/>
      </c:lineChart>
      <c:catAx>
        <c:axId val="416810816"/>
        <c:scaling>
          <c:orientation val="minMax"/>
        </c:scaling>
        <c:delete val="0"/>
        <c:axPos val="b"/>
        <c:numFmt formatCode="0" sourceLinked="1"/>
        <c:majorTickMark val="none"/>
        <c:minorTickMark val="none"/>
        <c:tickLblPos val="nextTo"/>
        <c:spPr>
          <a:noFill/>
          <a:ln w="12700" cap="flat" cmpd="sng" algn="ctr">
            <a:solidFill>
              <a:schemeClr val="tx1">
                <a:lumMod val="50000"/>
                <a:lumOff val="50000"/>
              </a:schemeClr>
            </a:solidFill>
            <a:round/>
            <a:tailEnd type="stealth"/>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16816392"/>
        <c:crosses val="autoZero"/>
        <c:auto val="1"/>
        <c:lblAlgn val="ctr"/>
        <c:lblOffset val="100"/>
        <c:noMultiLvlLbl val="0"/>
      </c:catAx>
      <c:valAx>
        <c:axId val="4168163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12700">
            <a:solidFill>
              <a:schemeClr val="tx1">
                <a:lumMod val="50000"/>
                <a:lumOff val="50000"/>
              </a:schemeClr>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16810816"/>
        <c:crossesAt val="11"/>
        <c:crossBetween val="between"/>
        <c:majorUnit val="1.0000000000000002E-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F9B6BE-2751-413D-836C-83E7E3BDF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717</TotalTime>
  <Pages>100</Pages>
  <Words>23868</Words>
  <Characters>136052</Characters>
  <Application>Microsoft Office Word</Application>
  <DocSecurity>0</DocSecurity>
  <Lines>1133</Lines>
  <Paragraphs>319</Paragraphs>
  <ScaleCrop>false</ScaleCrop>
  <HeadingPairs>
    <vt:vector size="6" baseType="variant">
      <vt:variant>
        <vt:lpstr>Название</vt:lpstr>
      </vt:variant>
      <vt:variant>
        <vt:i4>1</vt:i4>
      </vt:variant>
      <vt:variant>
        <vt:lpstr>Заголовки</vt:lpstr>
      </vt:variant>
      <vt:variant>
        <vt:i4>28</vt:i4>
      </vt:variant>
      <vt:variant>
        <vt:lpstr>Title</vt:lpstr>
      </vt:variant>
      <vt:variant>
        <vt:i4>1</vt:i4>
      </vt:variant>
    </vt:vector>
  </HeadingPairs>
  <TitlesOfParts>
    <vt:vector size="30" baseType="lpstr">
      <vt:lpstr/>
      <vt:lpstr>Заявление о самостоятельном выполнении курсовой работы</vt:lpstr>
      <vt:lpstr>ВВЕДЕНИЕ</vt:lpstr>
      <vt:lpstr>1 ГЛАВА. ОБЗОР ИССЛЕДОВАНИЙ ПО ТЕМЕ</vt:lpstr>
      <vt:lpstr>    1.1 Мотивы дивидендных выплат</vt:lpstr>
      <vt:lpstr>        1.1.1 Теория иррелевантности дивидендов</vt:lpstr>
      <vt:lpstr>        1.1.2 Сигнальная теория</vt:lpstr>
      <vt:lpstr>        1.1.3 Теория свободного денежного потока</vt:lpstr>
      <vt:lpstr>        1.1.4 Теория агентских издержек</vt:lpstr>
      <vt:lpstr>    1.2 Эмпирические исследования о реакции рынка на объявления о дивидендах </vt:lpstr>
      <vt:lpstr>    1.3 Гипотезы исследования </vt:lpstr>
      <vt:lpstr>        1.3.2 Гипотезы о факторах реакции рынка на объявления о дивидендах</vt:lpstr>
      <vt:lpstr>2 ГЛАВА. СПЕЦИФИКА ФОНДОВЫХ РЫНКОВ И ДИВИДЕНДНЫХ ВЫПЛАТ В РОССИИ И КИТАЕ</vt:lpstr>
      <vt:lpstr>    Характерные черты российского фондового рынка и дивидендных выплат российских ко</vt:lpstr>
      <vt:lpstr>        2.1.1 Структура собственности и информационная прозрачность</vt:lpstr>
      <vt:lpstr>        2.1.2 Динамика дивидендных выплат и их регулирование со стороны государства</vt:lpstr>
      <vt:lpstr>        2.1.3 Налогообложение доходов от инвестиций в России</vt:lpstr>
      <vt:lpstr>    Характерные черты китайского фондового рынка и дивидендных выплат китайских комп</vt:lpstr>
      <vt:lpstr>        2.2.1 Структура собственности, информационная прозрачность, защита акционеров</vt:lpstr>
      <vt:lpstr>        2.2.2 Динамика дивидендных выплат и их регулирование со стороны государства</vt:lpstr>
      <vt:lpstr>        2.2.3 Налогообложение доходов от инвестиций в Китае</vt:lpstr>
      <vt:lpstr>    2.3 Краткий сравнительный анализ дивидендных выплат для исследуемых рынков</vt:lpstr>
      <vt:lpstr>ГЛАВА 3. ЭМПИРИЧЕСКОЕ ИССЛЕДОВАНИЕ</vt:lpstr>
      <vt:lpstr>    3.1 Методология анализа событий</vt:lpstr>
      <vt:lpstr>    3.2 Описание переменных для регрессионной модели</vt:lpstr>
      <vt:lpstr>    3.3 Формирование выборки</vt:lpstr>
      <vt:lpstr>    3.4 Анализ описательной статистики</vt:lpstr>
      <vt:lpstr>    3.5 Результаты исследования по методологии анализа событий</vt:lpstr>
      <vt:lpstr>        3.5.1 Результаты для российского рынка, интерпретация и отраслевой анализ</vt:lpstr>
      <vt:lpstr/>
    </vt:vector>
  </TitlesOfParts>
  <Company/>
  <LinksUpToDate>false</LinksUpToDate>
  <CharactersWithSpaces>159601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Попова Милана Олеговна</dc:creator>
  <cp:keywords/>
  <dc:description/>
  <cp:lastModifiedBy>Попова Милана Олеговна</cp:lastModifiedBy>
  <cp:revision>38</cp:revision>
  <dcterms:created xsi:type="dcterms:W3CDTF">2022-05-22T18:38:00Z</dcterms:created>
  <dcterms:modified xsi:type="dcterms:W3CDTF">2022-05-31T20:53:00Z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http://sites.google.com/site/alteravoce/gost</vt:lpwstr>
  </property>
  <property fmtid="{D5CDD505-2E9C-101B-9397-08002B2CF9AE}" pid="21" name="Mendeley Recent Style Name 9_1">
    <vt:lpwstr>Russian GOST style (Note with Bibliography) (dev)</vt:lpwstr>
  </property>
  <property fmtid="{D5CDD505-2E9C-101B-9397-08002B2CF9AE}" pid="22" name="Mendeley Document_1">
    <vt:lpwstr>True</vt:lpwstr>
  </property>
  <property fmtid="{D5CDD505-2E9C-101B-9397-08002B2CF9AE}" pid="23" name="Mendeley Unique User Id_1">
    <vt:lpwstr>2ce946dc-a07d-3d52-9d2f-417f71888530</vt:lpwstr>
  </property>
</Properties>
</file>