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C7" w:rsidRPr="00CD1E02" w:rsidRDefault="001E46C7" w:rsidP="006846C3">
      <w:pPr>
        <w:spacing w:after="20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E02">
        <w:rPr>
          <w:rFonts w:ascii="Times New Roman" w:eastAsia="Times New Roman" w:hAnsi="Times New Roman" w:cs="Times New Roman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</w:rPr>
        <w:t>льное государственное бюджетное</w:t>
      </w:r>
      <w:r w:rsidRPr="00CD1E0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учреждение высшего образования «Санкт-Петербургский государственный университет»</w:t>
      </w:r>
    </w:p>
    <w:p w:rsidR="001E46C7" w:rsidRPr="00CD1E02" w:rsidRDefault="001E46C7" w:rsidP="006846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C7" w:rsidRDefault="001E46C7" w:rsidP="006846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C7" w:rsidRPr="00CD1E02" w:rsidRDefault="001E46C7" w:rsidP="006846C3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E02">
        <w:rPr>
          <w:rFonts w:ascii="Times New Roman" w:eastAsia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1E46C7" w:rsidRPr="00CD1E02" w:rsidRDefault="001E46C7" w:rsidP="006846C3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6C7" w:rsidRPr="00CD1E02" w:rsidRDefault="001E46C7" w:rsidP="006846C3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E02">
        <w:rPr>
          <w:rFonts w:ascii="Times New Roman" w:eastAsia="Times New Roman" w:hAnsi="Times New Roman" w:cs="Times New Roman"/>
          <w:sz w:val="28"/>
          <w:szCs w:val="28"/>
        </w:rPr>
        <w:t>НА ТЕМУ: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ОЦЕНКА СОСТОЯНИЯ ТКАНЕЙ ПАРОДОНТА У БОЛЬНЫХ С АРТЕРИАЛЬНОЙ ГИПЕРТЕНЗИЕЙ</w:t>
      </w:r>
    </w:p>
    <w:p w:rsidR="001E46C7" w:rsidRPr="00CD1E02" w:rsidRDefault="001E46C7" w:rsidP="006846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285" w:rsidRDefault="001E46C7" w:rsidP="006B1285">
      <w:pPr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1E02">
        <w:rPr>
          <w:rFonts w:ascii="Times New Roman" w:eastAsia="Times New Roman" w:hAnsi="Times New Roman" w:cs="Times New Roman"/>
          <w:sz w:val="28"/>
          <w:szCs w:val="28"/>
        </w:rPr>
        <w:t>Выполнила студентка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D1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6C7" w:rsidRPr="00CD1E02" w:rsidRDefault="006B1285" w:rsidP="006B1285">
      <w:pPr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курса </w:t>
      </w:r>
      <w:r w:rsidR="00005B09" w:rsidRPr="00005B09">
        <w:rPr>
          <w:rFonts w:ascii="Times New Roman" w:eastAsia="Times New Roman" w:hAnsi="Times New Roman" w:cs="Times New Roman"/>
          <w:sz w:val="28"/>
          <w:szCs w:val="28"/>
        </w:rPr>
        <w:t>17.С04-ст</w:t>
      </w:r>
      <w:r w:rsidRPr="00CD1E02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</w:p>
    <w:p w:rsidR="001E46C7" w:rsidRPr="00CD1E02" w:rsidRDefault="001E46C7" w:rsidP="006846C3">
      <w:pPr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Патюкова Алёна Сергеевна</w:t>
      </w:r>
    </w:p>
    <w:p w:rsidR="001E46C7" w:rsidRPr="00CD1E02" w:rsidRDefault="001E46C7" w:rsidP="006846C3">
      <w:pPr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1E02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46C7" w:rsidRPr="00CD1E02" w:rsidRDefault="001E46C7" w:rsidP="006846C3">
      <w:pPr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1E02">
        <w:rPr>
          <w:rFonts w:ascii="Times New Roman" w:eastAsia="Times New Roman" w:hAnsi="Times New Roman" w:cs="Times New Roman"/>
          <w:sz w:val="28"/>
          <w:szCs w:val="28"/>
        </w:rPr>
        <w:t>к.м.н. Шевелева Наталья Александровна</w:t>
      </w:r>
    </w:p>
    <w:p w:rsidR="001E46C7" w:rsidRPr="00CD1E02" w:rsidRDefault="001E46C7" w:rsidP="006846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C7" w:rsidRPr="00CD1E02" w:rsidRDefault="001E46C7" w:rsidP="006846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C7" w:rsidRPr="00CD1E02" w:rsidRDefault="001E46C7" w:rsidP="006846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C7" w:rsidRPr="00CD1E02" w:rsidRDefault="001E46C7" w:rsidP="006846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6C3" w:rsidRPr="000D544C" w:rsidRDefault="006846C3" w:rsidP="006846C3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6C7" w:rsidRPr="00CD1E02" w:rsidRDefault="001E46C7" w:rsidP="006846C3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E02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1E46C7" w:rsidRDefault="001E46C7" w:rsidP="006846C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</w:p>
    <w:p w:rsidR="001E46C7" w:rsidRDefault="001E46C7" w:rsidP="006846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/>
          <w:sz w:val="28"/>
          <w:szCs w:val="28"/>
        </w:rPr>
        <w:id w:val="1179551501"/>
        <w:docPartObj>
          <w:docPartGallery w:val="Table of Contents"/>
          <w:docPartUnique/>
        </w:docPartObj>
      </w:sdtPr>
      <w:sdtContent>
        <w:p w:rsidR="001E46C7" w:rsidRPr="001E46C7" w:rsidRDefault="001E46C7" w:rsidP="006846C3">
          <w:pPr>
            <w:spacing w:line="360" w:lineRule="auto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0C7099" w:rsidRPr="000C7099" w:rsidRDefault="00C479C7" w:rsidP="006846C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C7099">
            <w:rPr>
              <w:rFonts w:ascii="Times New Roman" w:eastAsia="Times New Roman" w:hAnsi="Times New Roman" w:cs="Times New Roman"/>
              <w:b/>
              <w:sz w:val="28"/>
              <w:szCs w:val="28"/>
            </w:rPr>
            <w:fldChar w:fldCharType="begin"/>
          </w:r>
          <w:r w:rsidR="001E46C7" w:rsidRPr="000C7099">
            <w:rPr>
              <w:rFonts w:ascii="Times New Roman" w:eastAsia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0C7099">
            <w:rPr>
              <w:rFonts w:ascii="Times New Roman" w:eastAsia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102234741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ПЕРЕЧЕНЬ УСЛОВНЫХ ОБОЗНАЧЕНИЙ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_Toc102234741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42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_Toc102234742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43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Цель работы: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_Toc102234743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44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Задачи исследования: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_Toc102234744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45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1. ЛИТЕРАТУРНЫЙ ОБЗОР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_Toc102234745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46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 Артериальная гипертензия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_Toc102234746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47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 Определение и эпидемиология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_Toc102234747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48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 Классификация артериальной гипертензии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_Toc102234748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49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1.3 Предрасполагающие факторы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_Toc102234749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50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1.4 Влияние артериальной гипертензии на сосудистую стенку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_Toc102234750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51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 Воспалительные заболевания пародонта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_Toc102234751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52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 Классификация воспалительных заболеваний пародонта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_Toc102234752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53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 Этиология воспалительных заболеваний пародонта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_Toc102234753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54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 Факторы патогенетической связи артериальной гипертензии и воспалительных заболеваний пародонта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_Toc102234754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55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3.1 Нарушение в микроциркуляторном русле.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_Toc102234755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56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3.2 Окислительный стресс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_Toc102234756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57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3.3 Иммунопатологические процессы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_Toc102234757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58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2. МАТЕРИАЛЫ И МЕТОДЫ ИССЛЕДОВАНИЯ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_Toc102234758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59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 Характеристика обследованных пациентов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_Toc102234759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60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 Методы обследования пациентов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_Toc102234760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61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2.2.1 Опрос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_Toc102234761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62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2.2.2 Осмотр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_Toc102234762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63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2.2.3 Определение индекса Грина-Вермиллиона (OHI-S)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_Toc102234763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64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2.2.4 Определение папиллярного индекса кровоточивости (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papilla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bleeding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index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PBI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_Toc102234764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65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2.2.5 Определение папиллярно-маргинально-альвеолярного индекса гингивита (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PMA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Massler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Shour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, 1947)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_Toc102234765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66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2.2.6 Определение величины рецессии десны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_Toc102234766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67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2.2.7 Пародонтальный индекс Рассела (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PI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Russel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1956)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_Toc102234767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68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2.2.8 Оценка глубины пародонтальных карманов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_Toc102234768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69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2.2.9 Оценка степени подвижности зубов по шкале Миллера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_Toc102234769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70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2.3 Рентгенологическое исследование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_Toc102234770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71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3. РЕЗУЛЬТАТЫ ИССЛЕДОВАНИЯ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_Toc102234771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72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3.1 Соотношение основной и контрольной групп пациентов по возрасту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_Toc102234772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73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3.2 Соотношение пациентов основной группы по степени тяжести артериальной гипертензии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_Toc102234773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74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3.3 Соотношение пациентов основной и контрольной групп по состоянию гигиены полости рта (Индекс Грина-Вермиллиона)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_Toc102234774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75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3.4 Результаты определения папиллярного индекса кровоточивости (PBI)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_Toc102234775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76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3.5 Определение степени тяжести гингивита с помощью папиллярно-маргинально-альвеолярного индекса гингивита (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PMA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_Toc102234776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77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3.6 Результаты оценки степеней рецессии десны по шкале Миллера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_Toc102234777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3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78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3.6.1 Анализ распределения степеней тяжести рецессий среди пациентов основной группы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_Toc102234778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79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3.7 Результаты оценки пародонтального индекса Рассела (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PI</w:t>
            </w:r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) у пациентов двух групп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_Toc102234779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80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3.8 Результаты оценки глубины пародонтальных карманов у пациентов двух групп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_Toc102234780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81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3.9 Результаты оценки степени подвижности зубов по шкале Миллера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_Toc102234781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82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3.10 Анализ результатов рентгенологического исследования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_Toc102234782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83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3.11 Анализ структуры патологии пародонта у пациентов двух групп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_Toc102234783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84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4. ЗАКЛЮЧЕНИЕ И ВЫВОДЫ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_Toc102234784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85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4.1 Заключение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_Toc102234785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86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4.2 Выводы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_Toc102234786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87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4.3 Практические рекомендации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_Toc102234787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099" w:rsidRPr="000C7099" w:rsidRDefault="00C479C7" w:rsidP="006846C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234788" w:history="1">
            <w:r w:rsidR="000C7099" w:rsidRPr="000C709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7099"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_Toc102234788 \h </w:instrTex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D45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0C70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46C7" w:rsidRPr="001E46C7" w:rsidRDefault="00C479C7" w:rsidP="006846C3">
          <w:pPr>
            <w:spacing w:line="360" w:lineRule="auto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0C7099">
            <w:rPr>
              <w:rFonts w:ascii="Times New Roman" w:eastAsia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:rsidR="001E46C7" w:rsidRDefault="001E46C7" w:rsidP="006846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D31" w:rsidRPr="00AD2D31" w:rsidRDefault="001E46C7" w:rsidP="006846C3">
      <w:pPr>
        <w:pStyle w:val="1"/>
        <w:jc w:val="both"/>
      </w:pPr>
      <w:r>
        <w:br w:type="page"/>
      </w:r>
      <w:bookmarkStart w:id="0" w:name="_Toc102234741"/>
      <w:r w:rsidR="00C660B4" w:rsidRPr="00C660B4">
        <w:lastRenderedPageBreak/>
        <w:t>ПЕРЕЧЕНЬ УСЛОВНЫХ ОБОЗНАЧЕНИЙ</w:t>
      </w:r>
      <w:bookmarkEnd w:id="0"/>
    </w:p>
    <w:p w:rsidR="00C660B4" w:rsidRPr="00C660B4" w:rsidRDefault="00C660B4" w:rsidP="006846C3">
      <w:pPr>
        <w:spacing w:after="200" w:line="360" w:lineRule="auto"/>
        <w:jc w:val="both"/>
      </w:pPr>
      <w:r w:rsidRPr="00CD1E02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E02">
        <w:rPr>
          <w:rFonts w:ascii="Times New Roman" w:hAnsi="Times New Roman" w:cs="Times New Roman"/>
          <w:sz w:val="28"/>
          <w:szCs w:val="28"/>
        </w:rPr>
        <w:t>- артериальная гипертензия</w:t>
      </w:r>
    </w:p>
    <w:p w:rsidR="00C660B4" w:rsidRPr="00CD1E02" w:rsidRDefault="00C660B4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02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E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E02">
        <w:rPr>
          <w:rFonts w:ascii="Times New Roman" w:hAnsi="Times New Roman" w:cs="Times New Roman"/>
          <w:sz w:val="28"/>
          <w:szCs w:val="28"/>
        </w:rPr>
        <w:t>артериальное давление</w:t>
      </w:r>
    </w:p>
    <w:p w:rsidR="00C660B4" w:rsidRPr="00CD1E02" w:rsidRDefault="00C660B4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02">
        <w:rPr>
          <w:rFonts w:ascii="Times New Roman" w:hAnsi="Times New Roman" w:cs="Times New Roman"/>
          <w:sz w:val="28"/>
          <w:szCs w:val="28"/>
        </w:rPr>
        <w:t>ГБ - гипертоническая болезнь</w:t>
      </w:r>
    </w:p>
    <w:p w:rsidR="00C660B4" w:rsidRDefault="00C660B4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02">
        <w:rPr>
          <w:rFonts w:ascii="Times New Roman" w:hAnsi="Times New Roman" w:cs="Times New Roman"/>
          <w:sz w:val="28"/>
          <w:szCs w:val="28"/>
        </w:rPr>
        <w:t>ВОЗ - всемирная организация здравоохранения</w:t>
      </w:r>
    </w:p>
    <w:p w:rsidR="00C660B4" w:rsidRDefault="00C660B4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– пародонтальный карман</w:t>
      </w:r>
    </w:p>
    <w:p w:rsidR="00C660B4" w:rsidRPr="00CD1E02" w:rsidRDefault="00C660B4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 - сахарный диабет</w:t>
      </w:r>
    </w:p>
    <w:p w:rsidR="00C660B4" w:rsidRPr="00CD1E02" w:rsidRDefault="00C660B4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ССЗ - сердечно</w:t>
      </w:r>
      <w:r w:rsidRPr="00CD1E02">
        <w:rPr>
          <w:rFonts w:ascii="Times New Roman" w:hAnsi="Times New Roman" w:cs="Times New Roman"/>
          <w:sz w:val="28"/>
          <w:szCs w:val="28"/>
        </w:rPr>
        <w:t>сосудистое заболевание</w:t>
      </w:r>
    </w:p>
    <w:p w:rsidR="00C660B4" w:rsidRDefault="00C660B4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02">
        <w:rPr>
          <w:rFonts w:ascii="Times New Roman" w:hAnsi="Times New Roman" w:cs="Times New Roman"/>
          <w:sz w:val="28"/>
          <w:szCs w:val="28"/>
        </w:rPr>
        <w:t>ССС</w:t>
      </w:r>
      <w:r w:rsidRPr="007B5753">
        <w:rPr>
          <w:rFonts w:ascii="Times New Roman" w:hAnsi="Times New Roman" w:cs="Times New Roman"/>
          <w:sz w:val="28"/>
          <w:szCs w:val="28"/>
        </w:rPr>
        <w:t xml:space="preserve"> - </w:t>
      </w:r>
      <w:r w:rsidRPr="00CD1E02">
        <w:rPr>
          <w:rFonts w:ascii="Times New Roman" w:hAnsi="Times New Roman" w:cs="Times New Roman"/>
          <w:sz w:val="28"/>
          <w:szCs w:val="28"/>
        </w:rPr>
        <w:t>сердечнососудистая</w:t>
      </w:r>
      <w:r w:rsidRPr="007B5753">
        <w:rPr>
          <w:rFonts w:ascii="Times New Roman" w:hAnsi="Times New Roman" w:cs="Times New Roman"/>
          <w:sz w:val="28"/>
          <w:szCs w:val="28"/>
        </w:rPr>
        <w:t xml:space="preserve"> </w:t>
      </w:r>
      <w:r w:rsidRPr="00CD1E02">
        <w:rPr>
          <w:rFonts w:ascii="Times New Roman" w:hAnsi="Times New Roman" w:cs="Times New Roman"/>
          <w:sz w:val="28"/>
          <w:szCs w:val="28"/>
        </w:rPr>
        <w:t>система</w:t>
      </w:r>
    </w:p>
    <w:p w:rsidR="00C660B4" w:rsidRPr="007B5753" w:rsidRDefault="00C660B4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ХГП – хронический генерализованный пародонтит </w:t>
      </w:r>
    </w:p>
    <w:p w:rsidR="00C660B4" w:rsidRPr="00E22B23" w:rsidRDefault="00C660B4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1E02">
        <w:rPr>
          <w:rFonts w:ascii="Times New Roman" w:hAnsi="Times New Roman" w:cs="Times New Roman"/>
          <w:sz w:val="28"/>
          <w:szCs w:val="28"/>
          <w:lang w:val="en-US"/>
        </w:rPr>
        <w:t>OHI</w:t>
      </w:r>
      <w:r w:rsidRPr="00E22B2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D1E0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22B2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CD1E02">
        <w:rPr>
          <w:rFonts w:ascii="Times New Roman" w:hAnsi="Times New Roman" w:cs="Times New Roman"/>
          <w:sz w:val="28"/>
          <w:szCs w:val="28"/>
          <w:lang w:val="en-US"/>
        </w:rPr>
        <w:t>Oral</w:t>
      </w:r>
      <w:r w:rsidRPr="00E22B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1E02">
        <w:rPr>
          <w:rFonts w:ascii="Times New Roman" w:hAnsi="Times New Roman" w:cs="Times New Roman"/>
          <w:sz w:val="28"/>
          <w:szCs w:val="28"/>
          <w:lang w:val="en-US"/>
        </w:rPr>
        <w:t>Hygiene</w:t>
      </w:r>
      <w:r w:rsidRPr="00E22B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1E02">
        <w:rPr>
          <w:rFonts w:ascii="Times New Roman" w:hAnsi="Times New Roman" w:cs="Times New Roman"/>
          <w:sz w:val="28"/>
          <w:szCs w:val="28"/>
          <w:lang w:val="en-US"/>
        </w:rPr>
        <w:t>Indices</w:t>
      </w:r>
      <w:r w:rsidRPr="00E22B2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D1E02">
        <w:rPr>
          <w:rFonts w:ascii="Times New Roman" w:hAnsi="Times New Roman" w:cs="Times New Roman"/>
          <w:sz w:val="28"/>
          <w:szCs w:val="28"/>
          <w:lang w:val="en-US"/>
        </w:rPr>
        <w:t>Simplified</w:t>
      </w:r>
    </w:p>
    <w:p w:rsidR="00C660B4" w:rsidRDefault="00C660B4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02">
        <w:rPr>
          <w:rFonts w:ascii="Times New Roman" w:hAnsi="Times New Roman" w:cs="Times New Roman"/>
          <w:sz w:val="28"/>
          <w:szCs w:val="28"/>
        </w:rPr>
        <w:t>РМА - папиллярно–маргинально–альвеолярный индекс</w:t>
      </w:r>
    </w:p>
    <w:p w:rsidR="00C660B4" w:rsidRDefault="00C660B4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 – поражение органов-мишеней</w:t>
      </w:r>
    </w:p>
    <w:p w:rsidR="00C660B4" w:rsidRDefault="00C660B4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 – метаболический синдром</w:t>
      </w:r>
    </w:p>
    <w:p w:rsidR="00C660B4" w:rsidRDefault="00C660B4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СКС – сопутствующие клинические состояния</w:t>
      </w:r>
    </w:p>
    <w:p w:rsidR="00C660B4" w:rsidRPr="00CD1E02" w:rsidRDefault="00C660B4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B4" w:rsidRDefault="00C660B4" w:rsidP="006846C3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B4" w:rsidRDefault="00C660B4" w:rsidP="006846C3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0FCA" w:rsidRPr="00AD2D31" w:rsidRDefault="00B66838" w:rsidP="00202908">
      <w:pPr>
        <w:pStyle w:val="1"/>
      </w:pPr>
      <w:bookmarkStart w:id="1" w:name="_Toc102234742"/>
      <w:r w:rsidRPr="00AD2D31">
        <w:lastRenderedPageBreak/>
        <w:t>ВВЕДЕНИЕ</w:t>
      </w:r>
      <w:bookmarkEnd w:id="1"/>
    </w:p>
    <w:p w:rsidR="00B66838" w:rsidRDefault="00B66838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838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B66838" w:rsidRDefault="00B66838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Артериальная гипертензия широко распространена во всем мире</w:t>
      </w:r>
      <w:r w:rsidR="00661BD7">
        <w:rPr>
          <w:rFonts w:ascii="Times New Roman" w:hAnsi="Times New Roman" w:cs="Times New Roman"/>
          <w:sz w:val="28"/>
          <w:szCs w:val="28"/>
        </w:rPr>
        <w:t xml:space="preserve"> – по данным Всемирной организации здравоохранения гипертонией страдают около 1,28 миллиарда человек в возрасте 30 – 79 лет. Большая их часть – две трети – проживает в странах с низким и средним уровнем дохода.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D0D">
        <w:rPr>
          <w:rFonts w:ascii="Times New Roman" w:hAnsi="Times New Roman" w:cs="Times New Roman"/>
          <w:sz w:val="28"/>
          <w:szCs w:val="28"/>
        </w:rPr>
        <w:t xml:space="preserve">артериальная гипертензия является одной из наиболее значимых медико-социальных проблем. Более 40,8% населения </w:t>
      </w:r>
      <w:r w:rsidR="00661BD7"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 w:rsidR="00095D0D">
        <w:rPr>
          <w:rFonts w:ascii="Times New Roman" w:hAnsi="Times New Roman" w:cs="Times New Roman"/>
          <w:sz w:val="28"/>
          <w:szCs w:val="28"/>
        </w:rPr>
        <w:t xml:space="preserve">(около 42 миллионов) страдают артериальной гипертензией. </w:t>
      </w:r>
    </w:p>
    <w:p w:rsidR="00095D0D" w:rsidRDefault="00095D0D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Гипертонию считают одним из главных факторов риска развития сердечнососудистых патологий, а ее основные осложнения – ишемическая болезнь сердца и инсульт головного мозга – являются частой причиной преждевременной смерти или утраты трудоспособности. </w:t>
      </w:r>
    </w:p>
    <w:p w:rsidR="00095D0D" w:rsidRDefault="001D65A0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095D0D">
        <w:rPr>
          <w:rFonts w:ascii="Times New Roman" w:hAnsi="Times New Roman" w:cs="Times New Roman"/>
          <w:sz w:val="28"/>
          <w:szCs w:val="28"/>
        </w:rPr>
        <w:t xml:space="preserve"> сердечнососудистых и цереброваскулярных осложнений, артериальная гипертензия оказывает влияние</w:t>
      </w:r>
      <w:r>
        <w:rPr>
          <w:rFonts w:ascii="Times New Roman" w:hAnsi="Times New Roman" w:cs="Times New Roman"/>
          <w:sz w:val="28"/>
          <w:szCs w:val="28"/>
        </w:rPr>
        <w:t xml:space="preserve"> также и</w:t>
      </w:r>
      <w:r w:rsidR="00095D0D">
        <w:rPr>
          <w:rFonts w:ascii="Times New Roman" w:hAnsi="Times New Roman" w:cs="Times New Roman"/>
          <w:sz w:val="28"/>
          <w:szCs w:val="28"/>
        </w:rPr>
        <w:t xml:space="preserve"> на органы-мишени путем нарушения местной гемодинамики. Одним из таких органов-мишеней могут являться ткани пародонта.</w:t>
      </w:r>
    </w:p>
    <w:p w:rsidR="00D25FDF" w:rsidRDefault="00D25FDF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между двумя </w:t>
      </w:r>
      <w:r w:rsidR="001D65A0">
        <w:rPr>
          <w:rFonts w:ascii="Times New Roman" w:hAnsi="Times New Roman" w:cs="Times New Roman"/>
          <w:sz w:val="28"/>
          <w:szCs w:val="28"/>
        </w:rPr>
        <w:t>патологиями,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1D6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нарушением метаболизма. В развитии воспалительных заболеваний слизистой оболочки полости рта и тканей пародонта играют важную роль нарушения гемодинамики микроциркуляторного русла</w:t>
      </w:r>
      <w:r w:rsidR="001D65A0">
        <w:rPr>
          <w:rFonts w:ascii="Times New Roman" w:hAnsi="Times New Roman" w:cs="Times New Roman"/>
          <w:sz w:val="28"/>
          <w:szCs w:val="28"/>
        </w:rPr>
        <w:t xml:space="preserve">. Источником этих нарушений может являться, в том числе, и артериальная гипертензия. </w:t>
      </w:r>
    </w:p>
    <w:p w:rsidR="001D65A0" w:rsidRDefault="001D65A0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прогрессировании нарушения гемодинамики ткани пародонта оказываются в состоянии хронической гипоксии, что ведет к увеличению образования свободных радикалов и развитию окислительного стресса. Повреждение клеточных структур, перестройка стенок сосудов, активация перекисного окисления липидов приводит к усугублению воспалительного процесса в тканях пародонта.</w:t>
      </w:r>
    </w:p>
    <w:p w:rsidR="00B66838" w:rsidRDefault="001D65A0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свою очередь, источник хронического воспаления, провоспалительные сдвиги в крови, которые обеспечивают заболевания тканей пародонта, могут являться этиологическим и патогенетическим фактором развития сердечнососудистых заболеваний, ухудшить течение артериальной гипертензии и усложнить ее лечение.</w:t>
      </w:r>
    </w:p>
    <w:p w:rsidR="00442AC7" w:rsidRDefault="001D65A0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Коморбидная связь артериальной гипертензии и воспалительных заболеваний пародонта на сегодняшний день является предметом дискуссий. Учитывая распространенность и социальную значимость этих патологий, </w:t>
      </w:r>
      <w:r w:rsidR="00C660B4">
        <w:rPr>
          <w:rFonts w:ascii="Times New Roman" w:hAnsi="Times New Roman" w:cs="Times New Roman"/>
          <w:sz w:val="28"/>
          <w:szCs w:val="28"/>
        </w:rPr>
        <w:t>необходимо изучать их возможные патогенетические связи, так как это позволит повысить качество проводимых лечения и профилактики не только стоматологических заболеваний, но и заболеваний сердечнососудистой системы.</w:t>
      </w:r>
    </w:p>
    <w:p w:rsidR="00442AC7" w:rsidRDefault="00442AC7" w:rsidP="006846C3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65A0" w:rsidRPr="003A13B7" w:rsidRDefault="003A13B7" w:rsidP="006846C3">
      <w:pPr>
        <w:pStyle w:val="1"/>
        <w:spacing w:line="360" w:lineRule="auto"/>
        <w:jc w:val="both"/>
      </w:pPr>
      <w:bookmarkStart w:id="2" w:name="_Toc102234743"/>
      <w:r w:rsidRPr="003A13B7">
        <w:lastRenderedPageBreak/>
        <w:t>Цель работы:</w:t>
      </w:r>
      <w:bookmarkEnd w:id="2"/>
    </w:p>
    <w:p w:rsidR="003A13B7" w:rsidRDefault="007E4E68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3A13B7">
        <w:rPr>
          <w:rFonts w:ascii="Times New Roman" w:hAnsi="Times New Roman" w:cs="Times New Roman"/>
          <w:sz w:val="28"/>
          <w:szCs w:val="28"/>
        </w:rPr>
        <w:t xml:space="preserve"> особенности состояния тканей пародонта у пациентов с артериальной гипертензией.</w:t>
      </w:r>
    </w:p>
    <w:p w:rsidR="003A13B7" w:rsidRPr="003A13B7" w:rsidRDefault="003A13B7" w:rsidP="006846C3">
      <w:pPr>
        <w:pStyle w:val="1"/>
        <w:spacing w:line="360" w:lineRule="auto"/>
        <w:jc w:val="both"/>
      </w:pPr>
      <w:bookmarkStart w:id="3" w:name="_Toc102234744"/>
      <w:r w:rsidRPr="003A13B7">
        <w:t>Задачи исследования:</w:t>
      </w:r>
      <w:bookmarkEnd w:id="3"/>
    </w:p>
    <w:p w:rsidR="003A13B7" w:rsidRPr="003A13B7" w:rsidRDefault="003A13B7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Выявить особенности состояния тканей пародонта у пациентов с артериальной гипертензией</w:t>
      </w:r>
      <w:r w:rsidRPr="003A13B7">
        <w:rPr>
          <w:rFonts w:ascii="Times New Roman" w:hAnsi="Times New Roman" w:cs="Times New Roman"/>
          <w:sz w:val="28"/>
          <w:szCs w:val="28"/>
        </w:rPr>
        <w:t>;</w:t>
      </w:r>
    </w:p>
    <w:p w:rsidR="003A13B7" w:rsidRPr="003A13B7" w:rsidRDefault="003A13B7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состояние тканей пародонта в зависимости от тяжести артериальной гипертензии</w:t>
      </w:r>
      <w:r w:rsidRPr="003A13B7">
        <w:rPr>
          <w:rFonts w:ascii="Times New Roman" w:hAnsi="Times New Roman" w:cs="Times New Roman"/>
          <w:sz w:val="28"/>
          <w:szCs w:val="28"/>
        </w:rPr>
        <w:t>;</w:t>
      </w:r>
    </w:p>
    <w:p w:rsidR="00AD2D31" w:rsidRDefault="003A13B7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Сравнить результаты исследования состояния тканей пародонта у пациентов с артериальной гипертензией и пациентов контрольной группы.</w:t>
      </w:r>
    </w:p>
    <w:p w:rsidR="00AD2D31" w:rsidRDefault="00AD2D31" w:rsidP="006846C3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2D31" w:rsidRPr="00AD2D31" w:rsidRDefault="00AD2D31" w:rsidP="00202908">
      <w:pPr>
        <w:pStyle w:val="1"/>
      </w:pPr>
      <w:bookmarkStart w:id="4" w:name="_Toc102234745"/>
      <w:r w:rsidRPr="00AD2D31">
        <w:lastRenderedPageBreak/>
        <w:t>Глава 1. ЛИТЕРАТУРНЫЙ ОБЗОР</w:t>
      </w:r>
      <w:bookmarkEnd w:id="4"/>
    </w:p>
    <w:p w:rsidR="00AD2D31" w:rsidRDefault="00AD2D31" w:rsidP="006846C3">
      <w:pPr>
        <w:pStyle w:val="2"/>
        <w:jc w:val="both"/>
      </w:pPr>
      <w:bookmarkStart w:id="5" w:name="_Toc102234746"/>
      <w:r w:rsidRPr="00EF62A8">
        <w:t>1. Артериальная гипертензия</w:t>
      </w:r>
      <w:bookmarkEnd w:id="5"/>
    </w:p>
    <w:p w:rsidR="00AD2D31" w:rsidRPr="00EF62A8" w:rsidRDefault="00AD2D31" w:rsidP="006846C3">
      <w:pPr>
        <w:pStyle w:val="3"/>
        <w:jc w:val="both"/>
      </w:pPr>
      <w:bookmarkStart w:id="6" w:name="_Toc102234747"/>
      <w:r>
        <w:t>1.1 Определение и эпидемиология</w:t>
      </w:r>
      <w:bookmarkEnd w:id="6"/>
    </w:p>
    <w:p w:rsidR="00AD2D31" w:rsidRPr="00CB5CFE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FE">
        <w:rPr>
          <w:rFonts w:ascii="Times New Roman" w:hAnsi="Times New Roman" w:cs="Times New Roman"/>
          <w:sz w:val="28"/>
          <w:szCs w:val="28"/>
        </w:rPr>
        <w:t xml:space="preserve">Артериальная гипертензия – состояние, при котором систолическое артериальное давление равно или превышает 140 мм рт.ст. и/или диастолическое артериальное давление равно или превышает 90 мм рт.ст. у лиц, не получавших гипотензивную терапию. Гипертоническая болезнь – хроническое заболевание, основным проявлением которого является синдром артериальной гипертензии, не обусловленной известными патологическими процессами. </w:t>
      </w:r>
    </w:p>
    <w:p w:rsidR="00AD2D31" w:rsidRPr="00CB5CFE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FE">
        <w:rPr>
          <w:rFonts w:ascii="Times New Roman" w:hAnsi="Times New Roman" w:cs="Times New Roman"/>
          <w:sz w:val="28"/>
          <w:szCs w:val="28"/>
        </w:rPr>
        <w:t>Основные осложнения артериальной гипертензии – ишемическая болезнь сердца и мозговой инсульт. Россия по данным ВОЗ (2004) занимает одно из первых мест в мире по</w:t>
      </w:r>
      <w:r w:rsidR="0075154C">
        <w:rPr>
          <w:rFonts w:ascii="Times New Roman" w:hAnsi="Times New Roman" w:cs="Times New Roman"/>
          <w:sz w:val="28"/>
          <w:szCs w:val="28"/>
        </w:rPr>
        <w:t xml:space="preserve"> смертности от этих осложнений</w:t>
      </w:r>
      <w:r w:rsidR="0075154C" w:rsidRPr="0075154C">
        <w:rPr>
          <w:rFonts w:ascii="Times New Roman" w:hAnsi="Times New Roman" w:cs="Times New Roman"/>
          <w:sz w:val="28"/>
          <w:szCs w:val="28"/>
        </w:rPr>
        <w:t xml:space="preserve"> </w:t>
      </w:r>
      <w:r w:rsidR="00C61E8B" w:rsidRPr="00C61E8B">
        <w:rPr>
          <w:rFonts w:ascii="Times New Roman" w:hAnsi="Times New Roman" w:cs="Times New Roman"/>
          <w:sz w:val="28"/>
          <w:szCs w:val="28"/>
        </w:rPr>
        <w:t>[</w:t>
      </w:r>
      <w:r w:rsidR="001D5AB7">
        <w:rPr>
          <w:rFonts w:ascii="Times New Roman" w:hAnsi="Times New Roman" w:cs="Times New Roman"/>
          <w:sz w:val="28"/>
          <w:szCs w:val="28"/>
        </w:rPr>
        <w:t>3,4</w:t>
      </w:r>
      <w:r w:rsidR="00C61E8B" w:rsidRPr="00C61E8B">
        <w:rPr>
          <w:rFonts w:ascii="Times New Roman" w:hAnsi="Times New Roman" w:cs="Times New Roman"/>
          <w:sz w:val="28"/>
          <w:szCs w:val="28"/>
        </w:rPr>
        <w:t>]</w:t>
      </w:r>
      <w:r w:rsidRPr="00CB5CFE">
        <w:rPr>
          <w:rFonts w:ascii="Times New Roman" w:hAnsi="Times New Roman" w:cs="Times New Roman"/>
          <w:sz w:val="28"/>
          <w:szCs w:val="28"/>
        </w:rPr>
        <w:t>.</w:t>
      </w:r>
    </w:p>
    <w:p w:rsidR="00AD2D31" w:rsidRPr="00CB5CFE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FE">
        <w:rPr>
          <w:rFonts w:ascii="Times New Roman" w:hAnsi="Times New Roman" w:cs="Times New Roman"/>
          <w:sz w:val="28"/>
          <w:szCs w:val="28"/>
        </w:rPr>
        <w:t>Артериальная гипертензия также является наиболее важным фактором развития болезн</w:t>
      </w:r>
      <w:r w:rsidR="0075154C">
        <w:rPr>
          <w:rFonts w:ascii="Times New Roman" w:hAnsi="Times New Roman" w:cs="Times New Roman"/>
          <w:sz w:val="28"/>
          <w:szCs w:val="28"/>
        </w:rPr>
        <w:t xml:space="preserve">ей </w:t>
      </w:r>
      <w:r w:rsidR="00A03E36">
        <w:rPr>
          <w:rFonts w:ascii="Times New Roman" w:hAnsi="Times New Roman" w:cs="Times New Roman"/>
          <w:sz w:val="28"/>
          <w:szCs w:val="28"/>
        </w:rPr>
        <w:t>сердечнососудистой</w:t>
      </w:r>
      <w:r w:rsidR="0075154C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75154C" w:rsidRPr="0075154C">
        <w:rPr>
          <w:rFonts w:ascii="Times New Roman" w:hAnsi="Times New Roman" w:cs="Times New Roman"/>
          <w:sz w:val="28"/>
          <w:szCs w:val="28"/>
        </w:rPr>
        <w:t xml:space="preserve"> [</w:t>
      </w:r>
      <w:r w:rsidR="001D5AB7">
        <w:rPr>
          <w:rFonts w:ascii="Times New Roman" w:hAnsi="Times New Roman" w:cs="Times New Roman"/>
          <w:sz w:val="28"/>
          <w:szCs w:val="28"/>
        </w:rPr>
        <w:t>3</w:t>
      </w:r>
      <w:r w:rsidR="00E84DE1">
        <w:rPr>
          <w:rFonts w:ascii="Times New Roman" w:hAnsi="Times New Roman" w:cs="Times New Roman"/>
          <w:sz w:val="28"/>
          <w:szCs w:val="28"/>
        </w:rPr>
        <w:t>, 19, 28</w:t>
      </w:r>
      <w:r w:rsidR="0075154C" w:rsidRPr="0075154C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31" w:rsidRPr="0075154C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FE">
        <w:rPr>
          <w:rFonts w:ascii="Times New Roman" w:hAnsi="Times New Roman" w:cs="Times New Roman"/>
          <w:sz w:val="28"/>
          <w:szCs w:val="28"/>
        </w:rPr>
        <w:t>Заболеваемость артериальной гипертензии составляет 30% популяции, и 70% среди пожилых людей. Около миллиарда людей по всему миру страдают артериальной гипертензией, а к 2025 году это число по прогнозам увеличится до полутора миллиардов</w:t>
      </w:r>
      <w:r w:rsidR="0075154C" w:rsidRPr="0075154C">
        <w:rPr>
          <w:rFonts w:ascii="Times New Roman" w:hAnsi="Times New Roman" w:cs="Times New Roman"/>
          <w:sz w:val="28"/>
          <w:szCs w:val="28"/>
        </w:rPr>
        <w:t xml:space="preserve"> [</w:t>
      </w:r>
      <w:r w:rsidR="00E84DE1">
        <w:rPr>
          <w:rFonts w:ascii="Times New Roman" w:hAnsi="Times New Roman" w:cs="Times New Roman"/>
          <w:sz w:val="28"/>
          <w:szCs w:val="28"/>
        </w:rPr>
        <w:t>12, 19</w:t>
      </w:r>
      <w:r w:rsidR="0075154C" w:rsidRPr="0075154C">
        <w:rPr>
          <w:rFonts w:ascii="Times New Roman" w:hAnsi="Times New Roman" w:cs="Times New Roman"/>
          <w:sz w:val="28"/>
          <w:szCs w:val="28"/>
        </w:rPr>
        <w:t>].</w:t>
      </w:r>
    </w:p>
    <w:p w:rsidR="00AD2D31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FE">
        <w:rPr>
          <w:rFonts w:ascii="Times New Roman" w:hAnsi="Times New Roman" w:cs="Times New Roman"/>
          <w:sz w:val="28"/>
          <w:szCs w:val="28"/>
        </w:rPr>
        <w:t xml:space="preserve"> Этиология большинства случаев </w:t>
      </w:r>
      <w:r>
        <w:rPr>
          <w:rFonts w:ascii="Times New Roman" w:hAnsi="Times New Roman" w:cs="Times New Roman"/>
          <w:sz w:val="28"/>
          <w:szCs w:val="28"/>
        </w:rPr>
        <w:t>артериальной гипертензии</w:t>
      </w:r>
      <w:r w:rsidRPr="00CB5CFE">
        <w:rPr>
          <w:rFonts w:ascii="Times New Roman" w:hAnsi="Times New Roman" w:cs="Times New Roman"/>
          <w:sz w:val="28"/>
          <w:szCs w:val="28"/>
        </w:rPr>
        <w:t xml:space="preserve"> не выяснена, несмотря на ее распространенност</w:t>
      </w:r>
      <w:r w:rsidR="0075154C">
        <w:rPr>
          <w:rFonts w:ascii="Times New Roman" w:hAnsi="Times New Roman" w:cs="Times New Roman"/>
          <w:sz w:val="28"/>
          <w:szCs w:val="28"/>
        </w:rPr>
        <w:t>ь и длительность исследований</w:t>
      </w:r>
      <w:r w:rsidR="0075154C" w:rsidRPr="0075154C">
        <w:rPr>
          <w:rFonts w:ascii="Times New Roman" w:hAnsi="Times New Roman" w:cs="Times New Roman"/>
          <w:sz w:val="28"/>
          <w:szCs w:val="28"/>
        </w:rPr>
        <w:t xml:space="preserve"> [</w:t>
      </w:r>
      <w:r w:rsidR="00E84DE1">
        <w:rPr>
          <w:rFonts w:ascii="Times New Roman" w:hAnsi="Times New Roman" w:cs="Times New Roman"/>
          <w:sz w:val="28"/>
          <w:szCs w:val="28"/>
        </w:rPr>
        <w:t>12</w:t>
      </w:r>
      <w:r w:rsidR="0075154C" w:rsidRPr="0075154C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Тем не менее, существуют гипотезы, пытающиеся объяснить механизмы и принципы развития артериальной гипертензии.</w:t>
      </w:r>
    </w:p>
    <w:p w:rsidR="000C7099" w:rsidRDefault="000C7099" w:rsidP="006846C3">
      <w:pPr>
        <w:spacing w:after="200" w:line="276" w:lineRule="auto"/>
        <w:jc w:val="both"/>
        <w:rPr>
          <w:rFonts w:ascii="Times New Roman" w:eastAsiaTheme="majorEastAsia" w:hAnsi="Times New Roman" w:cstheme="majorBidi"/>
          <w:b/>
          <w:bCs/>
          <w:sz w:val="28"/>
        </w:rPr>
      </w:pPr>
      <w:bookmarkStart w:id="7" w:name="_Toc102234748"/>
      <w:r>
        <w:br w:type="page"/>
      </w:r>
    </w:p>
    <w:p w:rsidR="00AD2D31" w:rsidRPr="00032946" w:rsidRDefault="00AD2D31" w:rsidP="006846C3">
      <w:pPr>
        <w:pStyle w:val="3"/>
        <w:jc w:val="both"/>
      </w:pPr>
      <w:r w:rsidRPr="00032946">
        <w:lastRenderedPageBreak/>
        <w:t>1.2 Классификация артериальной гипертензии</w:t>
      </w:r>
      <w:bookmarkEnd w:id="7"/>
    </w:p>
    <w:p w:rsidR="00AD2D31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Артериальную </w:t>
      </w:r>
      <w:r w:rsidR="0075154C">
        <w:rPr>
          <w:rFonts w:ascii="Times New Roman" w:hAnsi="Times New Roman" w:cs="Times New Roman"/>
          <w:sz w:val="28"/>
          <w:szCs w:val="28"/>
        </w:rPr>
        <w:t xml:space="preserve">гипертензию классифицируют </w:t>
      </w:r>
      <w:r w:rsidR="0075154C" w:rsidRPr="000D544C">
        <w:rPr>
          <w:rFonts w:ascii="Times New Roman" w:hAnsi="Times New Roman" w:cs="Times New Roman"/>
          <w:sz w:val="28"/>
          <w:szCs w:val="28"/>
        </w:rPr>
        <w:t>[</w:t>
      </w:r>
      <w:r w:rsidR="001D5AB7">
        <w:rPr>
          <w:rFonts w:ascii="Times New Roman" w:hAnsi="Times New Roman" w:cs="Times New Roman"/>
          <w:sz w:val="28"/>
          <w:szCs w:val="28"/>
        </w:rPr>
        <w:t>3</w:t>
      </w:r>
      <w:r w:rsidR="00E84DE1">
        <w:rPr>
          <w:rFonts w:ascii="Times New Roman" w:hAnsi="Times New Roman" w:cs="Times New Roman"/>
          <w:sz w:val="28"/>
          <w:szCs w:val="28"/>
        </w:rPr>
        <w:t>, 28</w:t>
      </w:r>
      <w:r w:rsidR="0075154C" w:rsidRPr="000D54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2D31" w:rsidRPr="00663180" w:rsidRDefault="00AD2D31" w:rsidP="006846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180">
        <w:rPr>
          <w:rFonts w:ascii="Times New Roman" w:hAnsi="Times New Roman" w:cs="Times New Roman"/>
          <w:sz w:val="28"/>
          <w:szCs w:val="28"/>
        </w:rPr>
        <w:t>по степени повышения давления;</w:t>
      </w:r>
    </w:p>
    <w:p w:rsidR="00AD2D31" w:rsidRPr="00C667FB" w:rsidRDefault="00AD2D31" w:rsidP="00684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t xml:space="preserve">Таблица 1. </w:t>
      </w:r>
    </w:p>
    <w:tbl>
      <w:tblPr>
        <w:tblStyle w:val="a6"/>
        <w:tblW w:w="0" w:type="auto"/>
        <w:tblLook w:val="04A0"/>
      </w:tblPr>
      <w:tblGrid>
        <w:gridCol w:w="3120"/>
        <w:gridCol w:w="3083"/>
        <w:gridCol w:w="3084"/>
      </w:tblGrid>
      <w:tr w:rsidR="00AD2D31" w:rsidTr="00AD2D31">
        <w:tc>
          <w:tcPr>
            <w:tcW w:w="3190" w:type="dxa"/>
          </w:tcPr>
          <w:p w:rsidR="00AD2D31" w:rsidRPr="00663180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1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АД</w:t>
            </w:r>
          </w:p>
        </w:tc>
        <w:tc>
          <w:tcPr>
            <w:tcW w:w="3190" w:type="dxa"/>
          </w:tcPr>
          <w:p w:rsidR="00AD2D31" w:rsidRPr="00663180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180">
              <w:rPr>
                <w:rFonts w:ascii="Times New Roman" w:hAnsi="Times New Roman" w:cs="Times New Roman"/>
                <w:b/>
                <w:sz w:val="28"/>
                <w:szCs w:val="28"/>
              </w:rPr>
              <w:t>САД, мм рт.ст</w:t>
            </w:r>
            <w:r w:rsidR="00A03E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D2D31" w:rsidRPr="00663180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180">
              <w:rPr>
                <w:rFonts w:ascii="Times New Roman" w:hAnsi="Times New Roman" w:cs="Times New Roman"/>
                <w:b/>
                <w:sz w:val="28"/>
                <w:szCs w:val="28"/>
              </w:rPr>
              <w:t>ДАД, мм рт.ст.</w:t>
            </w:r>
          </w:p>
        </w:tc>
      </w:tr>
      <w:tr w:rsidR="00AD2D31" w:rsidTr="00AD2D31">
        <w:tc>
          <w:tcPr>
            <w:tcW w:w="3190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  <w:tc>
          <w:tcPr>
            <w:tcW w:w="3190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120-129</w:t>
            </w:r>
          </w:p>
        </w:tc>
        <w:tc>
          <w:tcPr>
            <w:tcW w:w="3191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80-84</w:t>
            </w:r>
          </w:p>
        </w:tc>
      </w:tr>
      <w:tr w:rsidR="00AD2D31" w:rsidTr="00AD2D31">
        <w:tc>
          <w:tcPr>
            <w:tcW w:w="3190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Высокое нормальное</w:t>
            </w:r>
          </w:p>
        </w:tc>
        <w:tc>
          <w:tcPr>
            <w:tcW w:w="3190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130-139</w:t>
            </w:r>
          </w:p>
        </w:tc>
        <w:tc>
          <w:tcPr>
            <w:tcW w:w="3191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85-89</w:t>
            </w:r>
          </w:p>
        </w:tc>
      </w:tr>
      <w:tr w:rsidR="00AD2D31" w:rsidTr="00AD2D31">
        <w:tc>
          <w:tcPr>
            <w:tcW w:w="3190" w:type="dxa"/>
          </w:tcPr>
          <w:p w:rsidR="00AD2D31" w:rsidRPr="00663180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90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140-159</w:t>
            </w:r>
          </w:p>
        </w:tc>
        <w:tc>
          <w:tcPr>
            <w:tcW w:w="3191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90-99</w:t>
            </w:r>
          </w:p>
        </w:tc>
      </w:tr>
      <w:tr w:rsidR="00AD2D31" w:rsidTr="00AD2D31">
        <w:tc>
          <w:tcPr>
            <w:tcW w:w="3190" w:type="dxa"/>
          </w:tcPr>
          <w:p w:rsidR="00AD2D31" w:rsidRPr="00663180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90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160-179</w:t>
            </w:r>
          </w:p>
        </w:tc>
        <w:tc>
          <w:tcPr>
            <w:tcW w:w="3191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100-109</w:t>
            </w:r>
          </w:p>
        </w:tc>
      </w:tr>
      <w:tr w:rsidR="00AD2D31" w:rsidTr="00AD2D31">
        <w:tc>
          <w:tcPr>
            <w:tcW w:w="3190" w:type="dxa"/>
          </w:tcPr>
          <w:p w:rsidR="00AD2D31" w:rsidRPr="00663180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90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180</w:t>
            </w:r>
          </w:p>
        </w:tc>
        <w:tc>
          <w:tcPr>
            <w:tcW w:w="3191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110</w:t>
            </w:r>
          </w:p>
        </w:tc>
      </w:tr>
    </w:tbl>
    <w:p w:rsidR="00AD2D31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31" w:rsidRDefault="00AD2D31" w:rsidP="006846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180">
        <w:rPr>
          <w:rFonts w:ascii="Times New Roman" w:hAnsi="Times New Roman" w:cs="Times New Roman"/>
          <w:sz w:val="28"/>
          <w:szCs w:val="28"/>
        </w:rPr>
        <w:t>по общему риску развития сердечнососудистых осложнений;</w:t>
      </w:r>
    </w:p>
    <w:p w:rsidR="00AD2D31" w:rsidRPr="00C667FB" w:rsidRDefault="00527FC3" w:rsidP="00684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AD2D31" w:rsidRPr="00C667F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9464" w:type="dxa"/>
        <w:tblLook w:val="04A0"/>
      </w:tblPr>
      <w:tblGrid>
        <w:gridCol w:w="1850"/>
        <w:gridCol w:w="1895"/>
        <w:gridCol w:w="1847"/>
        <w:gridCol w:w="1847"/>
        <w:gridCol w:w="2025"/>
      </w:tblGrid>
      <w:tr w:rsidR="00AD2D31" w:rsidTr="00005B09">
        <w:tc>
          <w:tcPr>
            <w:tcW w:w="1850" w:type="dxa"/>
          </w:tcPr>
          <w:p w:rsidR="00AD2D31" w:rsidRPr="00D715AD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AD">
              <w:rPr>
                <w:rFonts w:ascii="Times New Roman" w:hAnsi="Times New Roman" w:cs="Times New Roman"/>
                <w:b/>
                <w:sz w:val="28"/>
                <w:szCs w:val="28"/>
              </w:rPr>
              <w:t>Признак</w:t>
            </w:r>
          </w:p>
        </w:tc>
        <w:tc>
          <w:tcPr>
            <w:tcW w:w="1895" w:type="dxa"/>
          </w:tcPr>
          <w:p w:rsidR="00AD2D31" w:rsidRPr="00D715AD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AD">
              <w:rPr>
                <w:rFonts w:ascii="Times New Roman" w:hAnsi="Times New Roman" w:cs="Times New Roman"/>
                <w:b/>
                <w:sz w:val="28"/>
                <w:szCs w:val="28"/>
              </w:rPr>
              <w:t>Высокое нормальное АД</w:t>
            </w:r>
          </w:p>
        </w:tc>
        <w:tc>
          <w:tcPr>
            <w:tcW w:w="1847" w:type="dxa"/>
          </w:tcPr>
          <w:p w:rsidR="00AD2D31" w:rsidRPr="00D715AD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 </w:t>
            </w:r>
            <w:r w:rsidRPr="00D715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D715AD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  <w:tc>
          <w:tcPr>
            <w:tcW w:w="1847" w:type="dxa"/>
          </w:tcPr>
          <w:p w:rsidR="00AD2D31" w:rsidRPr="00D715AD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 </w:t>
            </w:r>
            <w:r w:rsidRPr="00D715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71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025" w:type="dxa"/>
          </w:tcPr>
          <w:p w:rsidR="00AD2D31" w:rsidRPr="00D715AD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 </w:t>
            </w:r>
            <w:r w:rsidRPr="00D715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71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AD2D31" w:rsidTr="00005B09">
        <w:tc>
          <w:tcPr>
            <w:tcW w:w="1850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других факторов риска (ФР)</w:t>
            </w:r>
          </w:p>
        </w:tc>
        <w:tc>
          <w:tcPr>
            <w:tcW w:w="1895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Незначимый</w:t>
            </w:r>
          </w:p>
        </w:tc>
        <w:tc>
          <w:tcPr>
            <w:tcW w:w="1847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47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025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AD2D31" w:rsidTr="00005B09">
        <w:tc>
          <w:tcPr>
            <w:tcW w:w="1850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ФР</w:t>
            </w:r>
          </w:p>
        </w:tc>
        <w:tc>
          <w:tcPr>
            <w:tcW w:w="1895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47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47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025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AD2D31" w:rsidTr="00005B09">
        <w:tc>
          <w:tcPr>
            <w:tcW w:w="1850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 ФР, ПОМ, МС или СД</w:t>
            </w:r>
          </w:p>
        </w:tc>
        <w:tc>
          <w:tcPr>
            <w:tcW w:w="1895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47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47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025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AD2D31" w:rsidTr="00005B09">
        <w:trPr>
          <w:trHeight w:val="952"/>
        </w:trPr>
        <w:tc>
          <w:tcPr>
            <w:tcW w:w="1850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СКС</w:t>
            </w:r>
          </w:p>
        </w:tc>
        <w:tc>
          <w:tcPr>
            <w:tcW w:w="1895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  <w:tc>
          <w:tcPr>
            <w:tcW w:w="1847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  <w:tc>
          <w:tcPr>
            <w:tcW w:w="1847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  <w:tc>
          <w:tcPr>
            <w:tcW w:w="2025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</w:tbl>
    <w:p w:rsidR="00AD2D31" w:rsidRPr="00663180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31" w:rsidRDefault="00AD2D31" w:rsidP="006846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стадии заболевания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2D31" w:rsidRPr="00C667FB" w:rsidRDefault="00527FC3" w:rsidP="00684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t>Таблица 3</w:t>
      </w:r>
      <w:r w:rsidR="00AD2D31" w:rsidRPr="00C667F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1782"/>
        <w:gridCol w:w="7505"/>
      </w:tblGrid>
      <w:tr w:rsidR="00AD2D31" w:rsidTr="00AD2D31">
        <w:tc>
          <w:tcPr>
            <w:tcW w:w="1809" w:type="dxa"/>
          </w:tcPr>
          <w:p w:rsidR="00AD2D31" w:rsidRPr="00D715AD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AD">
              <w:rPr>
                <w:rFonts w:ascii="Times New Roman" w:hAnsi="Times New Roman" w:cs="Times New Roman"/>
                <w:b/>
                <w:sz w:val="28"/>
                <w:szCs w:val="28"/>
              </w:rPr>
              <w:t>Стадия АГ</w:t>
            </w:r>
          </w:p>
        </w:tc>
        <w:tc>
          <w:tcPr>
            <w:tcW w:w="7762" w:type="dxa"/>
          </w:tcPr>
          <w:p w:rsidR="00AD2D31" w:rsidRPr="00D715AD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AD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 организме</w:t>
            </w:r>
          </w:p>
        </w:tc>
      </w:tr>
      <w:tr w:rsidR="00AD2D31" w:rsidTr="00AD2D31">
        <w:tc>
          <w:tcPr>
            <w:tcW w:w="1809" w:type="dxa"/>
          </w:tcPr>
          <w:p w:rsidR="00AD2D31" w:rsidRPr="00D715AD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76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ПОМ</w:t>
            </w:r>
          </w:p>
        </w:tc>
      </w:tr>
      <w:tr w:rsidR="00AD2D31" w:rsidTr="00AD2D31">
        <w:tc>
          <w:tcPr>
            <w:tcW w:w="1809" w:type="dxa"/>
          </w:tcPr>
          <w:p w:rsidR="00AD2D31" w:rsidRPr="00D715AD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76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Поражение одного или нескольких органов-мишеней</w:t>
            </w:r>
          </w:p>
        </w:tc>
      </w:tr>
      <w:tr w:rsidR="00AD2D31" w:rsidTr="00AD2D31">
        <w:tc>
          <w:tcPr>
            <w:tcW w:w="1809" w:type="dxa"/>
          </w:tcPr>
          <w:p w:rsidR="00AD2D31" w:rsidRPr="00D715AD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76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СКС</w:t>
            </w:r>
          </w:p>
        </w:tc>
      </w:tr>
    </w:tbl>
    <w:p w:rsidR="00AD2D31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2D31" w:rsidRPr="00196222" w:rsidRDefault="00AD2D31" w:rsidP="006846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22">
        <w:rPr>
          <w:rFonts w:ascii="Times New Roman" w:hAnsi="Times New Roman" w:cs="Times New Roman"/>
          <w:sz w:val="28"/>
          <w:szCs w:val="28"/>
        </w:rPr>
        <w:t>по этиологии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2D31" w:rsidRPr="00196222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22">
        <w:rPr>
          <w:rFonts w:ascii="Times New Roman" w:hAnsi="Times New Roman" w:cs="Times New Roman"/>
          <w:sz w:val="28"/>
          <w:szCs w:val="28"/>
        </w:rPr>
        <w:t>Гипертоническая болезнь (эссенциальная или первичная гипертония);</w:t>
      </w:r>
    </w:p>
    <w:p w:rsidR="00AD2D31" w:rsidRPr="00196222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22">
        <w:rPr>
          <w:rFonts w:ascii="Times New Roman" w:hAnsi="Times New Roman" w:cs="Times New Roman"/>
          <w:sz w:val="28"/>
          <w:szCs w:val="28"/>
        </w:rPr>
        <w:t>Симптоматическая гипертония.</w:t>
      </w:r>
    </w:p>
    <w:p w:rsidR="00AD2D31" w:rsidRPr="00CD1E02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02">
        <w:rPr>
          <w:rFonts w:ascii="Times New Roman" w:hAnsi="Times New Roman" w:cs="Times New Roman"/>
          <w:sz w:val="28"/>
          <w:szCs w:val="28"/>
        </w:rPr>
        <w:t>Симптоматическими принято считать артериальные гипертензии, возникающие в результате первичного поражения различных органов – почек, эндокринной системы и др. Они составляют 5 – 65 среди больных, страдающих артериальной гипертензией, по данным эпидемиологических исследований разных стран.</w:t>
      </w:r>
    </w:p>
    <w:p w:rsidR="00AD2D31" w:rsidRPr="00CD1E02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02">
        <w:rPr>
          <w:rFonts w:ascii="Times New Roman" w:hAnsi="Times New Roman" w:cs="Times New Roman"/>
          <w:sz w:val="28"/>
          <w:szCs w:val="28"/>
        </w:rPr>
        <w:t>1. Заболевания почек: почечные паренхиматозные заболевания (острый гломерулонефрит, хронический нефрит, хронический пиелонефрит, обструктивные нефропатии, поликистоз почек) и заболевания соединительной ткани почек (диабетическая нефропатия, гидронефроз, травмы почек, врожденная гипоплазия и др.)</w:t>
      </w:r>
    </w:p>
    <w:p w:rsidR="00AD2D31" w:rsidRPr="00CD1E02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02">
        <w:rPr>
          <w:rFonts w:ascii="Times New Roman" w:hAnsi="Times New Roman" w:cs="Times New Roman"/>
          <w:sz w:val="28"/>
          <w:szCs w:val="28"/>
        </w:rPr>
        <w:t xml:space="preserve">2. Эндокринные заболевания: акромегалия, гипотиреоз, гиперкальциемия, гипертиреоз; болезни надпочечников (поражение коркового вещества – сидром Кушинга, первичный альдостеронизм, </w:t>
      </w:r>
      <w:r w:rsidRPr="00CD1E02">
        <w:rPr>
          <w:rFonts w:ascii="Times New Roman" w:hAnsi="Times New Roman" w:cs="Times New Roman"/>
          <w:sz w:val="28"/>
          <w:szCs w:val="28"/>
        </w:rPr>
        <w:lastRenderedPageBreak/>
        <w:t>врожденная гипоплазия надпочечников; поражение мозгового вещества – феохромоцитома, раковая опухоль, опухоль хромаффинных клеток)</w:t>
      </w:r>
    </w:p>
    <w:p w:rsidR="00AD2D31" w:rsidRPr="00CD1E02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02">
        <w:rPr>
          <w:rFonts w:ascii="Times New Roman" w:hAnsi="Times New Roman" w:cs="Times New Roman"/>
          <w:sz w:val="28"/>
          <w:szCs w:val="28"/>
        </w:rPr>
        <w:t>3. Коарктация аорты и аортиты</w:t>
      </w:r>
    </w:p>
    <w:p w:rsidR="00AD2D31" w:rsidRPr="00CD1E02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02">
        <w:rPr>
          <w:rFonts w:ascii="Times New Roman" w:hAnsi="Times New Roman" w:cs="Times New Roman"/>
          <w:sz w:val="28"/>
          <w:szCs w:val="28"/>
        </w:rPr>
        <w:t>4. Осложнения беременности</w:t>
      </w:r>
    </w:p>
    <w:p w:rsidR="00AD2D31" w:rsidRPr="00CD1E02" w:rsidRDefault="00005B09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D2D31" w:rsidRPr="00CD1E02">
        <w:rPr>
          <w:rFonts w:ascii="Times New Roman" w:hAnsi="Times New Roman" w:cs="Times New Roman"/>
          <w:sz w:val="28"/>
          <w:szCs w:val="28"/>
        </w:rPr>
        <w:t>Неврологические заболевания (опухоли мозга, энцефалиты, респираторный ацидоз, повышение внутричерепного давления и др.)</w:t>
      </w:r>
    </w:p>
    <w:p w:rsidR="00AD2D31" w:rsidRPr="00CD1E02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02">
        <w:rPr>
          <w:rFonts w:ascii="Times New Roman" w:hAnsi="Times New Roman" w:cs="Times New Roman"/>
          <w:sz w:val="28"/>
          <w:szCs w:val="28"/>
        </w:rPr>
        <w:t>6. Хирургические осложнения</w:t>
      </w:r>
    </w:p>
    <w:p w:rsidR="00AD2D31" w:rsidRPr="00196222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02">
        <w:rPr>
          <w:rFonts w:ascii="Times New Roman" w:hAnsi="Times New Roman" w:cs="Times New Roman"/>
          <w:sz w:val="28"/>
          <w:szCs w:val="28"/>
        </w:rPr>
        <w:t>7. Лекарства и экзогенные вещества (гормональные противозачаточные средства, нестероидные противовоспалительные препараты, эритропоэтин, кокаин и др.)</w:t>
      </w:r>
    </w:p>
    <w:p w:rsidR="00AD2D31" w:rsidRPr="00EF62A8" w:rsidRDefault="00AD2D31" w:rsidP="006846C3">
      <w:pPr>
        <w:pStyle w:val="3"/>
        <w:jc w:val="both"/>
      </w:pPr>
      <w:bookmarkStart w:id="8" w:name="_Toc102234749"/>
      <w:r w:rsidRPr="00EF62A8">
        <w:t>1.</w:t>
      </w:r>
      <w:r>
        <w:t>3</w:t>
      </w:r>
      <w:r w:rsidRPr="00EF62A8">
        <w:t xml:space="preserve"> Предрасполагающие факторы</w:t>
      </w:r>
      <w:bookmarkEnd w:id="8"/>
    </w:p>
    <w:p w:rsidR="00AD2D31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не полностью выясненную этиологию и патогенез артериальной гипертензии, выявлено множество факторов риска, способствующих её возникновению и развитию. </w:t>
      </w:r>
    </w:p>
    <w:p w:rsidR="0075154C" w:rsidRPr="0075154C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таким факторам относят, прежде всего, генетическую предрасположенность, дислипидемию, ожирение, злоупотребление алкоголем, курение, избыток употребляемой поваренной соли, низкую ф</w:t>
      </w:r>
      <w:r w:rsidR="0075154C">
        <w:rPr>
          <w:rFonts w:ascii="Times New Roman" w:hAnsi="Times New Roman" w:cs="Times New Roman"/>
          <w:sz w:val="28"/>
          <w:szCs w:val="28"/>
        </w:rPr>
        <w:t>изическую активность, возраст</w:t>
      </w:r>
      <w:r w:rsidR="0075154C" w:rsidRPr="0075154C">
        <w:rPr>
          <w:rFonts w:ascii="Times New Roman" w:hAnsi="Times New Roman" w:cs="Times New Roman"/>
          <w:sz w:val="28"/>
          <w:szCs w:val="28"/>
        </w:rPr>
        <w:t xml:space="preserve"> [</w:t>
      </w:r>
      <w:r w:rsidR="001D5AB7">
        <w:rPr>
          <w:rFonts w:ascii="Times New Roman" w:hAnsi="Times New Roman" w:cs="Times New Roman"/>
          <w:sz w:val="28"/>
          <w:szCs w:val="28"/>
        </w:rPr>
        <w:t>4</w:t>
      </w:r>
      <w:r w:rsidR="00E84DE1">
        <w:rPr>
          <w:rFonts w:ascii="Times New Roman" w:hAnsi="Times New Roman" w:cs="Times New Roman"/>
          <w:sz w:val="28"/>
          <w:szCs w:val="28"/>
        </w:rPr>
        <w:t>, 33, 37</w:t>
      </w:r>
      <w:r w:rsidR="0075154C" w:rsidRPr="0075154C">
        <w:rPr>
          <w:rFonts w:ascii="Times New Roman" w:hAnsi="Times New Roman" w:cs="Times New Roman"/>
          <w:sz w:val="28"/>
          <w:szCs w:val="28"/>
        </w:rPr>
        <w:t>].</w:t>
      </w:r>
    </w:p>
    <w:p w:rsidR="00AD2D31" w:rsidRDefault="0075154C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02">
        <w:rPr>
          <w:rFonts w:ascii="Times New Roman" w:hAnsi="Times New Roman" w:cs="Times New Roman"/>
          <w:sz w:val="28"/>
          <w:szCs w:val="28"/>
        </w:rPr>
        <w:t xml:space="preserve"> </w:t>
      </w:r>
      <w:r w:rsidR="00AD2D31" w:rsidRPr="00CD1E02">
        <w:rPr>
          <w:rFonts w:ascii="Times New Roman" w:hAnsi="Times New Roman" w:cs="Times New Roman"/>
          <w:sz w:val="28"/>
          <w:szCs w:val="28"/>
        </w:rPr>
        <w:t>Наследственная отягощенность по артериальной гипертензии является одним из самых мощных факторов риска развития данного заболевания. Отмечается тесная корреляция между уровнем АД у родственников первой степени родства – родителей, братьев, сестер.</w:t>
      </w:r>
    </w:p>
    <w:p w:rsidR="00AD2D31" w:rsidRPr="00CD1E02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02">
        <w:rPr>
          <w:rFonts w:ascii="Times New Roman" w:hAnsi="Times New Roman" w:cs="Times New Roman"/>
          <w:sz w:val="28"/>
          <w:szCs w:val="28"/>
        </w:rPr>
        <w:t xml:space="preserve">Среди важнейших факторов, влияющих на АД, выделяют возраст, пол, этнические особенности и социально-экономические условия. Систолическое и диастолическое давление неуклонно растет с возрастом, </w:t>
      </w:r>
      <w:r w:rsidRPr="00CD1E02">
        <w:rPr>
          <w:rFonts w:ascii="Times New Roman" w:hAnsi="Times New Roman" w:cs="Times New Roman"/>
          <w:sz w:val="28"/>
          <w:szCs w:val="28"/>
        </w:rPr>
        <w:lastRenderedPageBreak/>
        <w:t xml:space="preserve">однако есть основания полагать, что повышение АД не является неизбежным спутником старения организма. </w:t>
      </w:r>
    </w:p>
    <w:p w:rsidR="00AD2D31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02">
        <w:rPr>
          <w:rFonts w:ascii="Times New Roman" w:hAnsi="Times New Roman" w:cs="Times New Roman"/>
          <w:sz w:val="28"/>
          <w:szCs w:val="28"/>
        </w:rPr>
        <w:t>Социально-экономические условия играют важную роль экзогенных факторов в реализации генетической предрасположенности к артериальной гипертензии. Основными экзогенными факторами являются острые и хронические стрессы. Неуклонный рост уровня АД и распространенности артериальной гипертензии наблюдается среди малообеспеченных групп населения.</w:t>
      </w:r>
    </w:p>
    <w:p w:rsidR="00AD2D31" w:rsidRPr="00B20B24" w:rsidRDefault="00AD2D31" w:rsidP="006846C3">
      <w:pPr>
        <w:pStyle w:val="3"/>
        <w:jc w:val="both"/>
      </w:pPr>
      <w:bookmarkStart w:id="9" w:name="_Toc102234750"/>
      <w:r>
        <w:t>1.4</w:t>
      </w:r>
      <w:r w:rsidRPr="00B20B24">
        <w:t xml:space="preserve"> Влияние артериальной гипертензии на сосудистую стенку</w:t>
      </w:r>
      <w:bookmarkEnd w:id="9"/>
      <w:r w:rsidRPr="00B20B24">
        <w:t xml:space="preserve"> </w:t>
      </w:r>
    </w:p>
    <w:p w:rsidR="00AD2D31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Клетки артериальных стенок очень чувствительны к изменению механических сигналов. К примеру, эндотелиальные клетки способны регулировать местное производство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– вазодилататор – в ответ на изменение скорости тока крови. В то время как гладкомышечные клетки при росте давления увеличивают секрецию ангиотензина 2 и  </w:t>
      </w:r>
      <w:r w:rsidRPr="001E1A63">
        <w:rPr>
          <w:rFonts w:ascii="Times New Roman" w:hAnsi="Times New Roman" w:cs="Times New Roman"/>
          <w:sz w:val="28"/>
          <w:szCs w:val="28"/>
        </w:rPr>
        <w:t>TGFβ</w:t>
      </w:r>
      <w:r>
        <w:rPr>
          <w:rFonts w:ascii="Times New Roman" w:hAnsi="Times New Roman" w:cs="Times New Roman"/>
          <w:sz w:val="28"/>
          <w:szCs w:val="28"/>
        </w:rPr>
        <w:t xml:space="preserve"> (трансформирующий фактор роста – бета), тем самым стимулируя синтез внеклеточного матрикса</w:t>
      </w:r>
      <w:r w:rsidR="00E84DE1">
        <w:rPr>
          <w:rFonts w:ascii="Times New Roman" w:hAnsi="Times New Roman" w:cs="Times New Roman"/>
          <w:sz w:val="28"/>
          <w:szCs w:val="28"/>
        </w:rPr>
        <w:t xml:space="preserve">, </w:t>
      </w:r>
      <w:r w:rsidR="0075154C">
        <w:rPr>
          <w:rFonts w:ascii="Times New Roman" w:hAnsi="Times New Roman" w:cs="Times New Roman"/>
          <w:sz w:val="28"/>
          <w:szCs w:val="28"/>
        </w:rPr>
        <w:t>утолщающего стенку сосуда</w:t>
      </w:r>
      <w:r w:rsidR="0075154C" w:rsidRPr="0075154C">
        <w:rPr>
          <w:rFonts w:ascii="Times New Roman" w:hAnsi="Times New Roman" w:cs="Times New Roman"/>
          <w:sz w:val="28"/>
          <w:szCs w:val="28"/>
        </w:rPr>
        <w:t xml:space="preserve"> [</w:t>
      </w:r>
      <w:r w:rsidR="00E84DE1">
        <w:rPr>
          <w:rFonts w:ascii="Times New Roman" w:hAnsi="Times New Roman" w:cs="Times New Roman"/>
          <w:sz w:val="28"/>
          <w:szCs w:val="28"/>
        </w:rPr>
        <w:t>16, 24</w:t>
      </w:r>
      <w:r w:rsidR="0075154C" w:rsidRPr="0075154C">
        <w:rPr>
          <w:rFonts w:ascii="Times New Roman" w:hAnsi="Times New Roman" w:cs="Times New Roman"/>
          <w:sz w:val="28"/>
          <w:szCs w:val="28"/>
        </w:rPr>
        <w:t>].</w:t>
      </w:r>
      <w:r w:rsidRPr="00EC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Сосудистая стенка, подвергаясь механическим нагрузкам от постоянного повышения давления, вынуждена приспосабливаться.</w:t>
      </w:r>
    </w:p>
    <w:p w:rsidR="00AD2D31" w:rsidRPr="0075154C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артериальная гипертензия способствует перестройке сосудистых стенок, их утолщению и ужесточению, сужению просвета сосудов, и тем самым снижает их способность сопротивляться изменению давления. В результате нарушения гемодинамики страдает </w:t>
      </w:r>
      <w:r w:rsidR="00E84DE1">
        <w:rPr>
          <w:rFonts w:ascii="Times New Roman" w:hAnsi="Times New Roman" w:cs="Times New Roman"/>
          <w:sz w:val="28"/>
          <w:szCs w:val="28"/>
        </w:rPr>
        <w:t>перфузия органов-мишеней</w:t>
      </w:r>
      <w:r w:rsidR="0075154C" w:rsidRPr="000D544C">
        <w:rPr>
          <w:rFonts w:ascii="Times New Roman" w:hAnsi="Times New Roman" w:cs="Times New Roman"/>
          <w:sz w:val="28"/>
          <w:szCs w:val="28"/>
        </w:rPr>
        <w:t xml:space="preserve"> [</w:t>
      </w:r>
      <w:r w:rsidR="00E84DE1">
        <w:rPr>
          <w:rFonts w:ascii="Times New Roman" w:hAnsi="Times New Roman" w:cs="Times New Roman"/>
          <w:sz w:val="28"/>
          <w:szCs w:val="28"/>
        </w:rPr>
        <w:t>18, 27</w:t>
      </w:r>
      <w:r w:rsidR="0075154C" w:rsidRPr="000D544C">
        <w:rPr>
          <w:rFonts w:ascii="Times New Roman" w:hAnsi="Times New Roman" w:cs="Times New Roman"/>
          <w:sz w:val="28"/>
          <w:szCs w:val="28"/>
        </w:rPr>
        <w:t>].</w:t>
      </w:r>
    </w:p>
    <w:p w:rsidR="000C7099" w:rsidRDefault="000C7099" w:rsidP="006846C3">
      <w:pPr>
        <w:spacing w:after="200" w:line="276" w:lineRule="auto"/>
        <w:jc w:val="both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10" w:name="_Toc102234751"/>
      <w:r>
        <w:br w:type="page"/>
      </w:r>
    </w:p>
    <w:p w:rsidR="00AD2D31" w:rsidRPr="00032946" w:rsidRDefault="00AD2D31" w:rsidP="006846C3">
      <w:pPr>
        <w:pStyle w:val="2"/>
        <w:jc w:val="both"/>
      </w:pPr>
      <w:r w:rsidRPr="00032946">
        <w:lastRenderedPageBreak/>
        <w:t>2. Воспалительные заболевания пародонта</w:t>
      </w:r>
      <w:bookmarkEnd w:id="10"/>
    </w:p>
    <w:p w:rsidR="00AD2D31" w:rsidRPr="00F3347A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A">
        <w:rPr>
          <w:rFonts w:ascii="Times New Roman" w:hAnsi="Times New Roman" w:cs="Times New Roman"/>
          <w:sz w:val="28"/>
          <w:szCs w:val="28"/>
        </w:rPr>
        <w:t>Пародонт – это ткани, окружающие зуб, т.е. десна с надкостницей, соединительная ткань вокруг корня зуба, а также кость челюсти, в которой крепится зуб.</w:t>
      </w:r>
    </w:p>
    <w:p w:rsidR="00AD2D31" w:rsidRPr="00F3347A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A">
        <w:rPr>
          <w:rFonts w:ascii="Times New Roman" w:hAnsi="Times New Roman" w:cs="Times New Roman"/>
          <w:sz w:val="28"/>
          <w:szCs w:val="28"/>
        </w:rPr>
        <w:t>Большинство заболеваний пародонта возникают вследствие воспалительного процесса, который вызывает разрушение десен, связочного аппарата и костной ткани. А «запускающим механизмом» воспаления являются патогенные микробы. Скапливаясь, они приводят к образованию микробного налета. С участием слюны он преобразуется в зубной камень, который разрастается между зубом и десной. Так возникает зубодесневой карман. Чем сильнее выражен воспалительный процесс, тем серьезнее заболевание.</w:t>
      </w:r>
    </w:p>
    <w:p w:rsidR="00AD2D31" w:rsidRPr="00302BDF" w:rsidRDefault="00AD2D31" w:rsidP="00005B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A">
        <w:rPr>
          <w:rFonts w:ascii="Times New Roman" w:hAnsi="Times New Roman" w:cs="Times New Roman"/>
          <w:sz w:val="28"/>
          <w:szCs w:val="28"/>
        </w:rPr>
        <w:t xml:space="preserve">Причиной патологического процесса в тканях пародонта могут быть различные факторы как экзогенного, так и эндогенного происхождения. </w:t>
      </w:r>
      <w:r w:rsidR="00A03E36" w:rsidRPr="00F3347A">
        <w:rPr>
          <w:rFonts w:ascii="Times New Roman" w:hAnsi="Times New Roman" w:cs="Times New Roman"/>
          <w:sz w:val="28"/>
          <w:szCs w:val="28"/>
        </w:rPr>
        <w:t xml:space="preserve">Несмотря на разнообразие этих факторов, воспалительный или дистрофически-воспалительный процесс в тканях пародонта протекает однотипно и в зависимости от локализации, длительности воздействия этиологических факторов проявляется различными морфологическими и патофизиологическими вариантами. </w:t>
      </w:r>
      <w:r w:rsidRPr="00F3347A">
        <w:rPr>
          <w:rFonts w:ascii="Times New Roman" w:hAnsi="Times New Roman" w:cs="Times New Roman"/>
          <w:sz w:val="28"/>
          <w:szCs w:val="28"/>
        </w:rPr>
        <w:t>Состояние физиологических защитных механизмов тканей пародонта и организма в целом определяет степень распространенности дистрофически-воспалительного процесса и его интенсивность.</w:t>
      </w:r>
    </w:p>
    <w:p w:rsidR="00AD2D31" w:rsidRPr="00032946" w:rsidRDefault="00AD2D31" w:rsidP="006846C3">
      <w:pPr>
        <w:pStyle w:val="3"/>
        <w:jc w:val="both"/>
      </w:pPr>
      <w:bookmarkStart w:id="11" w:name="_Toc102234752"/>
      <w:r>
        <w:t>2.1</w:t>
      </w:r>
      <w:r w:rsidRPr="00032946">
        <w:t xml:space="preserve"> Классификация воспалительных заболеваний пародонта</w:t>
      </w:r>
      <w:bookmarkEnd w:id="11"/>
    </w:p>
    <w:p w:rsidR="00005B09" w:rsidRPr="00302BDF" w:rsidRDefault="00005B09" w:rsidP="00005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Гингивит – это воспаление десен без нарушения целостности зубодесневого соединения. При отсутствии лечения гингивит может прогрессировать в деструктивную форму заболеваний пародонта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2D31" w:rsidRPr="00C667FB" w:rsidRDefault="00527FC3" w:rsidP="00684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lastRenderedPageBreak/>
        <w:t>Таблица 4.</w:t>
      </w:r>
    </w:p>
    <w:tbl>
      <w:tblPr>
        <w:tblW w:w="91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5"/>
        <w:gridCol w:w="1346"/>
        <w:gridCol w:w="2020"/>
        <w:gridCol w:w="3137"/>
      </w:tblGrid>
      <w:tr w:rsidR="00AD2D31" w:rsidRPr="00302BDF" w:rsidTr="00AD2D31">
        <w:trPr>
          <w:trHeight w:val="382"/>
          <w:jc w:val="center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31" w:rsidRPr="00302BDF" w:rsidRDefault="00AD2D31" w:rsidP="00684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F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31" w:rsidRPr="00302BDF" w:rsidRDefault="00AD2D31" w:rsidP="00684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F">
              <w:rPr>
                <w:rFonts w:ascii="Times New Roman" w:hAnsi="Times New Roman" w:cs="Times New Roman"/>
                <w:sz w:val="28"/>
                <w:szCs w:val="28"/>
              </w:rPr>
              <w:t>Тяжесть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31" w:rsidRPr="00302BDF" w:rsidRDefault="00AD2D31" w:rsidP="00684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31" w:rsidRPr="00302BDF" w:rsidRDefault="00AD2D31" w:rsidP="00684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F">
              <w:rPr>
                <w:rFonts w:ascii="Times New Roman" w:hAnsi="Times New Roman" w:cs="Times New Roman"/>
                <w:sz w:val="28"/>
                <w:szCs w:val="28"/>
              </w:rPr>
              <w:t>Распространенность</w:t>
            </w:r>
          </w:p>
        </w:tc>
      </w:tr>
      <w:tr w:rsidR="00AD2D31" w:rsidRPr="00302BDF" w:rsidTr="00AD2D31">
        <w:trPr>
          <w:trHeight w:val="407"/>
          <w:jc w:val="center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31" w:rsidRPr="00302BDF" w:rsidRDefault="00AD2D31" w:rsidP="00684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F">
              <w:rPr>
                <w:rFonts w:ascii="Times New Roman" w:hAnsi="Times New Roman" w:cs="Times New Roman"/>
                <w:sz w:val="28"/>
                <w:szCs w:val="28"/>
              </w:rPr>
              <w:t>Катаральный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31" w:rsidRPr="00302BDF" w:rsidRDefault="00AD2D31" w:rsidP="00684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F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31" w:rsidRPr="00302BDF" w:rsidRDefault="00AD2D31" w:rsidP="00684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F">
              <w:rPr>
                <w:rFonts w:ascii="Times New Roman" w:hAnsi="Times New Roman" w:cs="Times New Roman"/>
                <w:sz w:val="28"/>
                <w:szCs w:val="28"/>
              </w:rPr>
              <w:t>Острое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31" w:rsidRPr="00302BDF" w:rsidRDefault="00AD2D31" w:rsidP="00684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F">
              <w:rPr>
                <w:rFonts w:ascii="Times New Roman" w:hAnsi="Times New Roman" w:cs="Times New Roman"/>
                <w:sz w:val="28"/>
                <w:szCs w:val="28"/>
              </w:rPr>
              <w:t>Локализованный</w:t>
            </w:r>
          </w:p>
        </w:tc>
      </w:tr>
      <w:tr w:rsidR="00AD2D31" w:rsidRPr="00302BDF" w:rsidTr="00AD2D31">
        <w:trPr>
          <w:trHeight w:val="382"/>
          <w:jc w:val="center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31" w:rsidRPr="00302BDF" w:rsidRDefault="00AD2D31" w:rsidP="00684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F">
              <w:rPr>
                <w:rFonts w:ascii="Times New Roman" w:hAnsi="Times New Roman" w:cs="Times New Roman"/>
                <w:sz w:val="28"/>
                <w:szCs w:val="28"/>
              </w:rPr>
              <w:t>Язвенно-некротический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31" w:rsidRPr="00302BDF" w:rsidRDefault="00AD2D31" w:rsidP="00684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31" w:rsidRPr="00302BDF" w:rsidRDefault="00AD2D31" w:rsidP="00684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F">
              <w:rPr>
                <w:rFonts w:ascii="Times New Roman" w:hAnsi="Times New Roman" w:cs="Times New Roman"/>
                <w:sz w:val="28"/>
                <w:szCs w:val="28"/>
              </w:rPr>
              <w:t>Хроническое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31" w:rsidRPr="00302BDF" w:rsidRDefault="00AD2D31" w:rsidP="00684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F">
              <w:rPr>
                <w:rFonts w:ascii="Times New Roman" w:hAnsi="Times New Roman" w:cs="Times New Roman"/>
                <w:sz w:val="28"/>
                <w:szCs w:val="28"/>
              </w:rPr>
              <w:t>Генерализованный</w:t>
            </w:r>
          </w:p>
        </w:tc>
      </w:tr>
      <w:tr w:rsidR="00AD2D31" w:rsidRPr="00302BDF" w:rsidTr="00AD2D31">
        <w:trPr>
          <w:trHeight w:val="382"/>
          <w:jc w:val="center"/>
        </w:trPr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31" w:rsidRPr="00302BDF" w:rsidRDefault="00AD2D31" w:rsidP="00684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F">
              <w:rPr>
                <w:rFonts w:ascii="Times New Roman" w:hAnsi="Times New Roman" w:cs="Times New Roman"/>
                <w:sz w:val="28"/>
                <w:szCs w:val="28"/>
              </w:rPr>
              <w:t>Гипертрофический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31" w:rsidRPr="00302BDF" w:rsidRDefault="00AD2D31" w:rsidP="00684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F"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31" w:rsidRPr="00302BDF" w:rsidRDefault="00AD2D31" w:rsidP="00684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F">
              <w:rPr>
                <w:rFonts w:ascii="Times New Roman" w:hAnsi="Times New Roman" w:cs="Times New Roman"/>
                <w:sz w:val="28"/>
                <w:szCs w:val="28"/>
              </w:rPr>
              <w:t>обострившееся</w:t>
            </w:r>
          </w:p>
        </w:tc>
        <w:tc>
          <w:tcPr>
            <w:tcW w:w="3137" w:type="dxa"/>
            <w:vAlign w:val="center"/>
            <w:hideMark/>
          </w:tcPr>
          <w:p w:rsidR="00AD2D31" w:rsidRPr="00302BDF" w:rsidRDefault="00AD2D31" w:rsidP="00684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D31" w:rsidRDefault="00AD2D31" w:rsidP="00684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09" w:rsidRPr="00302BDF" w:rsidRDefault="00005B09" w:rsidP="00005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Пародонтит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воспалительное заболевание тканей пародонта, характеризующееся прогрессирующим разрушением нормальной структуры альвеолярного отростка челюсти.</w:t>
      </w:r>
    </w:p>
    <w:p w:rsidR="00AD2D31" w:rsidRPr="00302BDF" w:rsidRDefault="00AD2D31" w:rsidP="00005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DF">
        <w:rPr>
          <w:rFonts w:ascii="Times New Roman" w:hAnsi="Times New Roman" w:cs="Times New Roman"/>
          <w:sz w:val="28"/>
          <w:szCs w:val="28"/>
        </w:rPr>
        <w:t>Классификация пародонтита по МКБ-10 (1997 г.):</w:t>
      </w:r>
    </w:p>
    <w:p w:rsidR="00AD2D31" w:rsidRPr="00302BDF" w:rsidRDefault="00AD2D31" w:rsidP="00684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DF">
        <w:rPr>
          <w:rFonts w:ascii="Times New Roman" w:hAnsi="Times New Roman" w:cs="Times New Roman"/>
          <w:sz w:val="28"/>
          <w:szCs w:val="28"/>
        </w:rPr>
        <w:t>Острый пародонтит (К05.2):</w:t>
      </w:r>
    </w:p>
    <w:p w:rsidR="00AD2D31" w:rsidRPr="00005B09" w:rsidRDefault="00AD2D31" w:rsidP="00005B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09">
        <w:rPr>
          <w:rFonts w:ascii="Times New Roman" w:hAnsi="Times New Roman" w:cs="Times New Roman"/>
          <w:sz w:val="28"/>
          <w:szCs w:val="28"/>
        </w:rPr>
        <w:t>К05.20 – периодонтальный (пародонтальный) абсцесс десневого происхождения без свища;</w:t>
      </w:r>
    </w:p>
    <w:p w:rsidR="00AD2D31" w:rsidRPr="00005B09" w:rsidRDefault="00AD2D31" w:rsidP="00005B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09">
        <w:rPr>
          <w:rFonts w:ascii="Times New Roman" w:hAnsi="Times New Roman" w:cs="Times New Roman"/>
          <w:sz w:val="28"/>
          <w:szCs w:val="28"/>
        </w:rPr>
        <w:t xml:space="preserve">К05.21 – </w:t>
      </w:r>
      <w:proofErr w:type="spellStart"/>
      <w:r w:rsidRPr="00005B09">
        <w:rPr>
          <w:rFonts w:ascii="Times New Roman" w:hAnsi="Times New Roman" w:cs="Times New Roman"/>
          <w:sz w:val="28"/>
          <w:szCs w:val="28"/>
        </w:rPr>
        <w:t>периодонтальный</w:t>
      </w:r>
      <w:proofErr w:type="spellEnd"/>
      <w:r w:rsidRPr="00005B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5B09"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 w:rsidRPr="00005B09">
        <w:rPr>
          <w:rFonts w:ascii="Times New Roman" w:hAnsi="Times New Roman" w:cs="Times New Roman"/>
          <w:sz w:val="28"/>
          <w:szCs w:val="28"/>
        </w:rPr>
        <w:t xml:space="preserve">) абсцесс </w:t>
      </w:r>
      <w:proofErr w:type="spellStart"/>
      <w:r w:rsidRPr="00005B09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005B09">
        <w:rPr>
          <w:rFonts w:ascii="Times New Roman" w:hAnsi="Times New Roman" w:cs="Times New Roman"/>
          <w:sz w:val="28"/>
          <w:szCs w:val="28"/>
        </w:rPr>
        <w:t xml:space="preserve"> происхождения со свищом.</w:t>
      </w:r>
    </w:p>
    <w:p w:rsidR="00AD2D31" w:rsidRPr="00302BDF" w:rsidRDefault="00AD2D31" w:rsidP="00684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DF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Pr="00302BDF">
        <w:rPr>
          <w:rFonts w:ascii="Times New Roman" w:hAnsi="Times New Roman" w:cs="Times New Roman"/>
          <w:sz w:val="28"/>
          <w:szCs w:val="28"/>
        </w:rPr>
        <w:t>пародонтит</w:t>
      </w:r>
      <w:proofErr w:type="spellEnd"/>
      <w:r w:rsidRPr="00302BDF">
        <w:rPr>
          <w:rFonts w:ascii="Times New Roman" w:hAnsi="Times New Roman" w:cs="Times New Roman"/>
          <w:sz w:val="28"/>
          <w:szCs w:val="28"/>
        </w:rPr>
        <w:t xml:space="preserve"> (КО5.3):</w:t>
      </w:r>
    </w:p>
    <w:p w:rsidR="00AD2D31" w:rsidRPr="00005B09" w:rsidRDefault="00AD2D31" w:rsidP="00005B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09">
        <w:rPr>
          <w:rFonts w:ascii="Times New Roman" w:hAnsi="Times New Roman" w:cs="Times New Roman"/>
          <w:sz w:val="28"/>
          <w:szCs w:val="28"/>
        </w:rPr>
        <w:t>К05.30 – локализованный;</w:t>
      </w:r>
    </w:p>
    <w:p w:rsidR="00AD2D31" w:rsidRPr="00005B09" w:rsidRDefault="00AD2D31" w:rsidP="00005B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09">
        <w:rPr>
          <w:rFonts w:ascii="Times New Roman" w:hAnsi="Times New Roman" w:cs="Times New Roman"/>
          <w:sz w:val="28"/>
          <w:szCs w:val="28"/>
        </w:rPr>
        <w:t xml:space="preserve">К05.31 – </w:t>
      </w:r>
      <w:proofErr w:type="spellStart"/>
      <w:r w:rsidRPr="00005B09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005B09">
        <w:rPr>
          <w:rFonts w:ascii="Times New Roman" w:hAnsi="Times New Roman" w:cs="Times New Roman"/>
          <w:sz w:val="28"/>
          <w:szCs w:val="28"/>
        </w:rPr>
        <w:t>;</w:t>
      </w:r>
    </w:p>
    <w:p w:rsidR="00AD2D31" w:rsidRPr="00005B09" w:rsidRDefault="00AD2D31" w:rsidP="00005B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09">
        <w:rPr>
          <w:rFonts w:ascii="Times New Roman" w:hAnsi="Times New Roman" w:cs="Times New Roman"/>
          <w:sz w:val="28"/>
          <w:szCs w:val="28"/>
        </w:rPr>
        <w:t xml:space="preserve">К05.32 – хронический </w:t>
      </w:r>
      <w:proofErr w:type="spellStart"/>
      <w:r w:rsidRPr="00005B09">
        <w:rPr>
          <w:rFonts w:ascii="Times New Roman" w:hAnsi="Times New Roman" w:cs="Times New Roman"/>
          <w:sz w:val="28"/>
          <w:szCs w:val="28"/>
        </w:rPr>
        <w:t>перикоронит</w:t>
      </w:r>
      <w:proofErr w:type="spellEnd"/>
      <w:r w:rsidRPr="00005B09">
        <w:rPr>
          <w:rFonts w:ascii="Times New Roman" w:hAnsi="Times New Roman" w:cs="Times New Roman"/>
          <w:sz w:val="28"/>
          <w:szCs w:val="28"/>
        </w:rPr>
        <w:t>;</w:t>
      </w:r>
    </w:p>
    <w:p w:rsidR="00AD2D31" w:rsidRPr="00005B09" w:rsidRDefault="00AD2D31" w:rsidP="00005B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09">
        <w:rPr>
          <w:rFonts w:ascii="Times New Roman" w:hAnsi="Times New Roman" w:cs="Times New Roman"/>
          <w:sz w:val="28"/>
          <w:szCs w:val="28"/>
        </w:rPr>
        <w:t>К05.33 – утолщенный фолликул (гипертрофия сосочка).</w:t>
      </w:r>
    </w:p>
    <w:p w:rsidR="00AD2D31" w:rsidRPr="00302BDF" w:rsidRDefault="00AD2D31" w:rsidP="00005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DF">
        <w:rPr>
          <w:rFonts w:ascii="Times New Roman" w:hAnsi="Times New Roman" w:cs="Times New Roman"/>
          <w:sz w:val="28"/>
          <w:szCs w:val="28"/>
        </w:rPr>
        <w:t>Классификация по степени тяжести:</w:t>
      </w:r>
    </w:p>
    <w:p w:rsidR="00AD2D31" w:rsidRPr="00302BDF" w:rsidRDefault="00AD2D31" w:rsidP="00005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DF">
        <w:rPr>
          <w:rFonts w:ascii="Times New Roman" w:hAnsi="Times New Roman" w:cs="Times New Roman"/>
          <w:sz w:val="28"/>
          <w:szCs w:val="28"/>
        </w:rPr>
        <w:t xml:space="preserve">легкая – </w:t>
      </w:r>
      <w:proofErr w:type="spellStart"/>
      <w:r w:rsidRPr="00302BDF">
        <w:rPr>
          <w:rFonts w:ascii="Times New Roman" w:hAnsi="Times New Roman" w:cs="Times New Roman"/>
          <w:sz w:val="28"/>
          <w:szCs w:val="28"/>
        </w:rPr>
        <w:t>пародонтальные</w:t>
      </w:r>
      <w:proofErr w:type="spellEnd"/>
      <w:r w:rsidRPr="00302BDF">
        <w:rPr>
          <w:rFonts w:ascii="Times New Roman" w:hAnsi="Times New Roman" w:cs="Times New Roman"/>
          <w:sz w:val="28"/>
          <w:szCs w:val="28"/>
        </w:rPr>
        <w:t xml:space="preserve"> карманы не более 4 мм, резорбция костной ткани </w:t>
      </w:r>
      <w:proofErr w:type="spellStart"/>
      <w:r w:rsidRPr="00302BDF">
        <w:rPr>
          <w:rFonts w:ascii="Times New Roman" w:hAnsi="Times New Roman" w:cs="Times New Roman"/>
          <w:sz w:val="28"/>
          <w:szCs w:val="28"/>
        </w:rPr>
        <w:t>межкорневой</w:t>
      </w:r>
      <w:proofErr w:type="spellEnd"/>
      <w:r w:rsidRPr="00302BDF">
        <w:rPr>
          <w:rFonts w:ascii="Times New Roman" w:hAnsi="Times New Roman" w:cs="Times New Roman"/>
          <w:sz w:val="28"/>
          <w:szCs w:val="28"/>
        </w:rPr>
        <w:t xml:space="preserve"> перегородки до 1/3 длины корней, патологической подвижности нет;</w:t>
      </w:r>
    </w:p>
    <w:p w:rsidR="00AD2D31" w:rsidRPr="00302BDF" w:rsidRDefault="00AD2D31" w:rsidP="00005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DF">
        <w:rPr>
          <w:rFonts w:ascii="Times New Roman" w:hAnsi="Times New Roman" w:cs="Times New Roman"/>
          <w:sz w:val="28"/>
          <w:szCs w:val="28"/>
        </w:rPr>
        <w:t>средняя – карманы от 4 до 6 мм, резорбция костной ткани перегородок на 1/3-1/2 длины корней, патологическая подвижность І-ІІ ст.</w:t>
      </w:r>
    </w:p>
    <w:p w:rsidR="00AD2D31" w:rsidRPr="00F3347A" w:rsidRDefault="00AD2D31" w:rsidP="00005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DF">
        <w:rPr>
          <w:rFonts w:ascii="Times New Roman" w:hAnsi="Times New Roman" w:cs="Times New Roman"/>
          <w:sz w:val="28"/>
          <w:szCs w:val="28"/>
        </w:rPr>
        <w:t>тяжелая – глубина карманов более 6 мм, резорбция костной ткани перегородок более ½ длины корней, патологическая подвижность ІІ-ІІІ ст.</w:t>
      </w:r>
    </w:p>
    <w:p w:rsidR="00AD2D31" w:rsidRPr="00032946" w:rsidRDefault="00AD2D31" w:rsidP="006846C3">
      <w:pPr>
        <w:pStyle w:val="3"/>
        <w:jc w:val="both"/>
      </w:pPr>
      <w:bookmarkStart w:id="12" w:name="_Toc102234753"/>
      <w:r>
        <w:lastRenderedPageBreak/>
        <w:t>2.2</w:t>
      </w:r>
      <w:r w:rsidRPr="00032946">
        <w:t xml:space="preserve"> Этиология воспалительных заболеваний пародонта</w:t>
      </w:r>
      <w:bookmarkEnd w:id="12"/>
    </w:p>
    <w:p w:rsidR="00AD2D31" w:rsidRPr="0075154C" w:rsidRDefault="00AD2D31" w:rsidP="00005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A">
        <w:rPr>
          <w:rFonts w:ascii="Times New Roman" w:hAnsi="Times New Roman" w:cs="Times New Roman"/>
          <w:sz w:val="28"/>
          <w:szCs w:val="28"/>
        </w:rPr>
        <w:t>На развитие заболеваний пародонта могут влиять местные факторы, такие как функциональная травма, микроорганизмы зубных отложений, а также сочетанное воздействие местных и общих факторов на фоне измененной реактивности организма. Микробная бляшка (зубной налет) является первопричиной хронических воспалительны</w:t>
      </w:r>
      <w:r w:rsidR="0075154C">
        <w:rPr>
          <w:rFonts w:ascii="Times New Roman" w:hAnsi="Times New Roman" w:cs="Times New Roman"/>
          <w:sz w:val="28"/>
          <w:szCs w:val="28"/>
        </w:rPr>
        <w:t>х процессов в пародонте</w:t>
      </w:r>
      <w:r w:rsidR="0075154C" w:rsidRPr="0075154C">
        <w:rPr>
          <w:rFonts w:ascii="Times New Roman" w:hAnsi="Times New Roman" w:cs="Times New Roman"/>
          <w:sz w:val="28"/>
          <w:szCs w:val="28"/>
        </w:rPr>
        <w:t xml:space="preserve"> [</w:t>
      </w:r>
      <w:r w:rsidR="00E84DE1">
        <w:rPr>
          <w:rFonts w:ascii="Times New Roman" w:hAnsi="Times New Roman" w:cs="Times New Roman"/>
          <w:sz w:val="28"/>
          <w:szCs w:val="28"/>
        </w:rPr>
        <w:t>11</w:t>
      </w:r>
      <w:r w:rsidR="0075154C" w:rsidRPr="0075154C">
        <w:rPr>
          <w:rFonts w:ascii="Times New Roman" w:hAnsi="Times New Roman" w:cs="Times New Roman"/>
          <w:sz w:val="28"/>
          <w:szCs w:val="28"/>
        </w:rPr>
        <w:t>].</w:t>
      </w:r>
    </w:p>
    <w:p w:rsidR="00AD2D31" w:rsidRPr="00F3347A" w:rsidRDefault="00AD2D31" w:rsidP="00005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A">
        <w:rPr>
          <w:rFonts w:ascii="Times New Roman" w:hAnsi="Times New Roman" w:cs="Times New Roman"/>
          <w:sz w:val="28"/>
          <w:szCs w:val="28"/>
        </w:rPr>
        <w:t>Местные факторы, способствующие развитию воспалительных заболеваний пародонта:</w:t>
      </w:r>
    </w:p>
    <w:p w:rsidR="00AD2D31" w:rsidRPr="00005B09" w:rsidRDefault="00AD2D31" w:rsidP="00005B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09">
        <w:rPr>
          <w:rFonts w:ascii="Times New Roman" w:hAnsi="Times New Roman" w:cs="Times New Roman"/>
          <w:sz w:val="28"/>
          <w:szCs w:val="28"/>
        </w:rPr>
        <w:t>состав и свойства слюны;</w:t>
      </w:r>
    </w:p>
    <w:p w:rsidR="00AD2D31" w:rsidRPr="00005B09" w:rsidRDefault="00AD2D31" w:rsidP="00005B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09">
        <w:rPr>
          <w:rFonts w:ascii="Times New Roman" w:hAnsi="Times New Roman" w:cs="Times New Roman"/>
          <w:sz w:val="28"/>
          <w:szCs w:val="28"/>
        </w:rPr>
        <w:t>травматическая окклюзия;</w:t>
      </w:r>
    </w:p>
    <w:p w:rsidR="00AD2D31" w:rsidRPr="00005B09" w:rsidRDefault="00AD2D31" w:rsidP="00005B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09">
        <w:rPr>
          <w:rFonts w:ascii="Times New Roman" w:hAnsi="Times New Roman" w:cs="Times New Roman"/>
          <w:sz w:val="28"/>
          <w:szCs w:val="28"/>
        </w:rPr>
        <w:t>отсутствие контактов между зубами;</w:t>
      </w:r>
    </w:p>
    <w:p w:rsidR="00AD2D31" w:rsidRPr="00005B09" w:rsidRDefault="00AD2D31" w:rsidP="00005B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09">
        <w:rPr>
          <w:rFonts w:ascii="Times New Roman" w:hAnsi="Times New Roman" w:cs="Times New Roman"/>
          <w:sz w:val="28"/>
          <w:szCs w:val="28"/>
        </w:rPr>
        <w:t>зубной камень;</w:t>
      </w:r>
    </w:p>
    <w:p w:rsidR="00AD2D31" w:rsidRPr="00005B09" w:rsidRDefault="00AD2D31" w:rsidP="00005B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09">
        <w:rPr>
          <w:rFonts w:ascii="Times New Roman" w:hAnsi="Times New Roman" w:cs="Times New Roman"/>
          <w:sz w:val="28"/>
          <w:szCs w:val="28"/>
        </w:rPr>
        <w:t>аномалии положения отдельных зубов и патология прикуса;</w:t>
      </w:r>
    </w:p>
    <w:p w:rsidR="00AD2D31" w:rsidRPr="00005B09" w:rsidRDefault="00AD2D31" w:rsidP="00005B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09">
        <w:rPr>
          <w:rFonts w:ascii="Times New Roman" w:hAnsi="Times New Roman" w:cs="Times New Roman"/>
          <w:sz w:val="28"/>
          <w:szCs w:val="28"/>
        </w:rPr>
        <w:t>поверхности некачественных пломб, коронок и протезов;</w:t>
      </w:r>
    </w:p>
    <w:p w:rsidR="00AD2D31" w:rsidRPr="00005B09" w:rsidRDefault="00AD2D31" w:rsidP="00005B0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09">
        <w:rPr>
          <w:rFonts w:ascii="Times New Roman" w:hAnsi="Times New Roman" w:cs="Times New Roman"/>
          <w:sz w:val="28"/>
          <w:szCs w:val="28"/>
        </w:rPr>
        <w:t xml:space="preserve">особенности строения мягких тканей (прикрепление уздечек губ и мышечных тяжей). </w:t>
      </w:r>
    </w:p>
    <w:p w:rsidR="00AD2D31" w:rsidRPr="00F3347A" w:rsidRDefault="00AD2D31" w:rsidP="00005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A">
        <w:rPr>
          <w:rFonts w:ascii="Times New Roman" w:hAnsi="Times New Roman" w:cs="Times New Roman"/>
          <w:sz w:val="28"/>
          <w:szCs w:val="28"/>
        </w:rPr>
        <w:t xml:space="preserve">Системные факторы в патогенезе </w:t>
      </w:r>
      <w:proofErr w:type="spellStart"/>
      <w:r w:rsidRPr="00F3347A">
        <w:rPr>
          <w:rFonts w:ascii="Times New Roman" w:hAnsi="Times New Roman" w:cs="Times New Roman"/>
          <w:sz w:val="28"/>
          <w:szCs w:val="28"/>
        </w:rPr>
        <w:t>пародонтита</w:t>
      </w:r>
      <w:proofErr w:type="spellEnd"/>
      <w:r w:rsidRPr="00F3347A">
        <w:rPr>
          <w:rFonts w:ascii="Times New Roman" w:hAnsi="Times New Roman" w:cs="Times New Roman"/>
          <w:sz w:val="28"/>
          <w:szCs w:val="28"/>
        </w:rPr>
        <w:t>:</w:t>
      </w:r>
    </w:p>
    <w:p w:rsidR="00AD2D31" w:rsidRPr="005E0A26" w:rsidRDefault="00AD2D31" w:rsidP="005E0A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эндокринные нарушения;</w:t>
      </w:r>
    </w:p>
    <w:p w:rsidR="00AD2D31" w:rsidRPr="005E0A26" w:rsidRDefault="00AD2D31" w:rsidP="005E0A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A26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5E0A2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E0A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0A26">
        <w:rPr>
          <w:rFonts w:ascii="Times New Roman" w:hAnsi="Times New Roman" w:cs="Times New Roman"/>
          <w:sz w:val="28"/>
          <w:szCs w:val="28"/>
        </w:rPr>
        <w:t xml:space="preserve"> и авитаминозы;</w:t>
      </w:r>
    </w:p>
    <w:p w:rsidR="00AD2D31" w:rsidRPr="005E0A26" w:rsidRDefault="00AD2D31" w:rsidP="005E0A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атеросклеротическое поражение сосудов;</w:t>
      </w:r>
    </w:p>
    <w:p w:rsidR="00AD2D31" w:rsidRPr="005E0A26" w:rsidRDefault="00AD2D31" w:rsidP="005E0A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иммунологические нарушения;</w:t>
      </w:r>
    </w:p>
    <w:p w:rsidR="00AD2D31" w:rsidRPr="005E0A26" w:rsidRDefault="00AD2D31" w:rsidP="005E0A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генетическая предрасположенность;</w:t>
      </w:r>
    </w:p>
    <w:p w:rsidR="00AD2D31" w:rsidRPr="005E0A26" w:rsidRDefault="00AD2D31" w:rsidP="005E0A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хронические заболевания печени, толстой кишки, желудка;</w:t>
      </w:r>
    </w:p>
    <w:p w:rsidR="00AD2D31" w:rsidRPr="005E0A26" w:rsidRDefault="00AD2D31" w:rsidP="005E0A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патология почек;</w:t>
      </w:r>
    </w:p>
    <w:p w:rsidR="00AD2D31" w:rsidRPr="005E0A26" w:rsidRDefault="00AD2D31" w:rsidP="005E0A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стресс;</w:t>
      </w:r>
    </w:p>
    <w:p w:rsidR="00AD2D31" w:rsidRPr="005E0A26" w:rsidRDefault="00AD2D31" w:rsidP="005E0A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курение табака;</w:t>
      </w:r>
    </w:p>
    <w:p w:rsidR="00AD2D31" w:rsidRPr="005E0A26" w:rsidRDefault="00AD2D31" w:rsidP="005E0A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болезни крови и гемопоэтической системы.</w:t>
      </w:r>
    </w:p>
    <w:p w:rsidR="00AD2D31" w:rsidRPr="0075154C" w:rsidRDefault="00AD2D31" w:rsidP="005E0A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A">
        <w:rPr>
          <w:rFonts w:ascii="Times New Roman" w:hAnsi="Times New Roman" w:cs="Times New Roman"/>
          <w:sz w:val="28"/>
          <w:szCs w:val="28"/>
        </w:rPr>
        <w:lastRenderedPageBreak/>
        <w:t xml:space="preserve">Все вышеизложенные факторы влияют  на защитную систему пародонта и создают условия для патогенного действия </w:t>
      </w:r>
      <w:proofErr w:type="spellStart"/>
      <w:r w:rsidRPr="00F3347A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Pr="00F3347A">
        <w:rPr>
          <w:rFonts w:ascii="Times New Roman" w:hAnsi="Times New Roman" w:cs="Times New Roman"/>
          <w:sz w:val="28"/>
          <w:szCs w:val="28"/>
        </w:rPr>
        <w:t xml:space="preserve"> на ткани пародонта и прежде всего на зубодесневое прикрепление, воспаление и деструкция которого приводят к формированию </w:t>
      </w:r>
      <w:proofErr w:type="spellStart"/>
      <w:r w:rsidRPr="00F3347A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="0075154C">
        <w:rPr>
          <w:rFonts w:ascii="Times New Roman" w:hAnsi="Times New Roman" w:cs="Times New Roman"/>
          <w:sz w:val="28"/>
          <w:szCs w:val="28"/>
        </w:rPr>
        <w:t xml:space="preserve"> кармана и развитию </w:t>
      </w:r>
      <w:proofErr w:type="spellStart"/>
      <w:r w:rsidR="0075154C">
        <w:rPr>
          <w:rFonts w:ascii="Times New Roman" w:hAnsi="Times New Roman" w:cs="Times New Roman"/>
          <w:sz w:val="28"/>
          <w:szCs w:val="28"/>
        </w:rPr>
        <w:t>пародонтита</w:t>
      </w:r>
      <w:proofErr w:type="spellEnd"/>
      <w:r w:rsidR="0075154C" w:rsidRPr="0075154C">
        <w:rPr>
          <w:rFonts w:ascii="Times New Roman" w:hAnsi="Times New Roman" w:cs="Times New Roman"/>
          <w:sz w:val="28"/>
          <w:szCs w:val="28"/>
        </w:rPr>
        <w:t xml:space="preserve"> [</w:t>
      </w:r>
      <w:r w:rsidR="00E84DE1">
        <w:rPr>
          <w:rFonts w:ascii="Times New Roman" w:hAnsi="Times New Roman" w:cs="Times New Roman"/>
          <w:sz w:val="28"/>
          <w:szCs w:val="28"/>
        </w:rPr>
        <w:t>5</w:t>
      </w:r>
      <w:r w:rsidR="0075154C" w:rsidRPr="0075154C">
        <w:rPr>
          <w:rFonts w:ascii="Times New Roman" w:hAnsi="Times New Roman" w:cs="Times New Roman"/>
          <w:sz w:val="28"/>
          <w:szCs w:val="28"/>
        </w:rPr>
        <w:t>].</w:t>
      </w:r>
    </w:p>
    <w:p w:rsidR="00AD2D31" w:rsidRDefault="00AD2D31" w:rsidP="006846C3">
      <w:pPr>
        <w:pStyle w:val="2"/>
        <w:jc w:val="both"/>
      </w:pPr>
      <w:bookmarkStart w:id="13" w:name="_Toc102234754"/>
      <w:r>
        <w:t>3</w:t>
      </w:r>
      <w:r w:rsidRPr="00327FFB">
        <w:t xml:space="preserve">. </w:t>
      </w:r>
      <w:r>
        <w:t>Факторы патогенетической связи артериальной гипертензии и воспалительных заболеваний пародонта</w:t>
      </w:r>
      <w:bookmarkEnd w:id="13"/>
    </w:p>
    <w:p w:rsidR="00AD2D31" w:rsidRPr="00327FFB" w:rsidRDefault="00AD2D31" w:rsidP="006846C3">
      <w:pPr>
        <w:pStyle w:val="3"/>
        <w:jc w:val="both"/>
      </w:pPr>
      <w:bookmarkStart w:id="14" w:name="_Toc102234755"/>
      <w:r>
        <w:t xml:space="preserve">3.1 </w:t>
      </w:r>
      <w:r w:rsidRPr="00327FFB">
        <w:t>Нарушение в микроциркуляторном русле.</w:t>
      </w:r>
      <w:bookmarkEnd w:id="14"/>
    </w:p>
    <w:p w:rsidR="00AD2D31" w:rsidRPr="0075154C" w:rsidRDefault="00AD2D31" w:rsidP="005E0A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Неизменным осложнением и фактором прогрессии артериальной гипертензии является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ремоделирование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тканей органов-мишеней.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Ремоделирование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– универсальный процесс, заключающийся в изменении структуры и функции различных отделов </w:t>
      </w:r>
      <w:proofErr w:type="spellStart"/>
      <w:proofErr w:type="gramStart"/>
      <w:r w:rsidRPr="00327FF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327FFB">
        <w:rPr>
          <w:rFonts w:ascii="Times New Roman" w:hAnsi="Times New Roman" w:cs="Times New Roman"/>
          <w:sz w:val="28"/>
          <w:szCs w:val="28"/>
        </w:rPr>
        <w:t xml:space="preserve"> системы. Проявляется этот процесс увеличением размера и объема левого желудочка, гипертрофией миокарда, утолщением интимы и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медии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крупных артерий</w:t>
      </w:r>
      <w:r w:rsidR="0075154C" w:rsidRPr="0075154C">
        <w:rPr>
          <w:rFonts w:ascii="Times New Roman" w:hAnsi="Times New Roman" w:cs="Times New Roman"/>
          <w:sz w:val="28"/>
          <w:szCs w:val="28"/>
        </w:rPr>
        <w:t xml:space="preserve"> [</w:t>
      </w:r>
      <w:r w:rsidR="00E84DE1">
        <w:rPr>
          <w:rFonts w:ascii="Times New Roman" w:hAnsi="Times New Roman" w:cs="Times New Roman"/>
          <w:sz w:val="28"/>
          <w:szCs w:val="28"/>
        </w:rPr>
        <w:t>15,32</w:t>
      </w:r>
      <w:r w:rsidR="0075154C" w:rsidRPr="0075154C">
        <w:rPr>
          <w:rFonts w:ascii="Times New Roman" w:hAnsi="Times New Roman" w:cs="Times New Roman"/>
          <w:sz w:val="28"/>
          <w:szCs w:val="28"/>
        </w:rPr>
        <w:t>].</w:t>
      </w:r>
    </w:p>
    <w:p w:rsidR="00AD2D31" w:rsidRPr="0075154C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Ткани пародонта имеют богатую иннервацию и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васкуляризацию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, и в связи с этими анатомическими особенностями неизбежно включаются в процесс тканевого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ремоделирования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при артериальной гипертензии</w:t>
      </w:r>
      <w:r w:rsidR="0075154C" w:rsidRPr="0075154C">
        <w:rPr>
          <w:rFonts w:ascii="Times New Roman" w:hAnsi="Times New Roman" w:cs="Times New Roman"/>
          <w:sz w:val="28"/>
          <w:szCs w:val="28"/>
        </w:rPr>
        <w:t xml:space="preserve"> [</w:t>
      </w:r>
      <w:r w:rsidR="001D5AB7">
        <w:rPr>
          <w:rFonts w:ascii="Times New Roman" w:hAnsi="Times New Roman" w:cs="Times New Roman"/>
          <w:sz w:val="28"/>
          <w:szCs w:val="28"/>
        </w:rPr>
        <w:t>10</w:t>
      </w:r>
      <w:r w:rsidR="0075154C" w:rsidRPr="0075154C">
        <w:rPr>
          <w:rFonts w:ascii="Times New Roman" w:hAnsi="Times New Roman" w:cs="Times New Roman"/>
          <w:sz w:val="28"/>
          <w:szCs w:val="28"/>
        </w:rPr>
        <w:t>].</w:t>
      </w:r>
    </w:p>
    <w:p w:rsidR="00AD2D31" w:rsidRPr="00327FFB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При повышении системного артериального давления в сосудах микроциркуляторного русла происходит </w:t>
      </w:r>
      <w:proofErr w:type="gramStart"/>
      <w:r w:rsidRPr="00327FFB">
        <w:rPr>
          <w:rFonts w:ascii="Times New Roman" w:hAnsi="Times New Roman" w:cs="Times New Roman"/>
          <w:sz w:val="28"/>
          <w:szCs w:val="28"/>
        </w:rPr>
        <w:t>выраженная</w:t>
      </w:r>
      <w:proofErr w:type="gramEnd"/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вазоконстрикция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>. Сначала это выражается неравномерностью кровотока, а при прогрессировании артериальной гипертензии происходят необратимые изменения в структуре сосудистой стенки.</w:t>
      </w:r>
    </w:p>
    <w:p w:rsidR="00AD2D31" w:rsidRPr="0075154C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Эндотелий микроциркуляторного русла выполняет ряд важных функций. Это и барьерная функция, и способность к регуляции не только тонуса и толщины сосуда, но и процессов гемостаза – коагуляции и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. Также эндотелий секретирует </w:t>
      </w:r>
      <w:r w:rsidRPr="00327FF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27FFB">
        <w:rPr>
          <w:rFonts w:ascii="Times New Roman" w:hAnsi="Times New Roman" w:cs="Times New Roman"/>
          <w:sz w:val="28"/>
          <w:szCs w:val="28"/>
        </w:rPr>
        <w:t xml:space="preserve"> – важнейший медиатор, </w:t>
      </w:r>
      <w:r w:rsidRPr="00327FFB">
        <w:rPr>
          <w:rFonts w:ascii="Times New Roman" w:hAnsi="Times New Roman" w:cs="Times New Roman"/>
          <w:sz w:val="28"/>
          <w:szCs w:val="28"/>
        </w:rPr>
        <w:lastRenderedPageBreak/>
        <w:t xml:space="preserve">блокирующий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вазоконстрикцию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, препятствующий пролиферации и агрегации. В процессе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ремоделирования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нарушается баланс между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апоптозом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и регенерацией клеток эндотелия, нарушается его целостность, и в результате дезорганизуются его гомеостатические функции</w:t>
      </w:r>
      <w:r w:rsidR="0075154C" w:rsidRPr="0075154C">
        <w:rPr>
          <w:rFonts w:ascii="Times New Roman" w:hAnsi="Times New Roman" w:cs="Times New Roman"/>
          <w:sz w:val="28"/>
          <w:szCs w:val="28"/>
        </w:rPr>
        <w:t xml:space="preserve"> [</w:t>
      </w:r>
      <w:r w:rsidR="001D5AB7" w:rsidRPr="0075154C">
        <w:rPr>
          <w:rFonts w:ascii="Times New Roman" w:hAnsi="Times New Roman" w:cs="Times New Roman"/>
          <w:sz w:val="28"/>
          <w:szCs w:val="28"/>
        </w:rPr>
        <w:t>6</w:t>
      </w:r>
      <w:r w:rsidR="0075154C" w:rsidRPr="0075154C">
        <w:rPr>
          <w:rFonts w:ascii="Times New Roman" w:hAnsi="Times New Roman" w:cs="Times New Roman"/>
          <w:sz w:val="28"/>
          <w:szCs w:val="28"/>
        </w:rPr>
        <w:t>].</w:t>
      </w:r>
    </w:p>
    <w:p w:rsidR="00AD2D31" w:rsidRPr="0075154C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Вышеописанные изменения эндотелия приводят к развитию дисфункции микроциркуляторного русла тканей пародонта, к возникновению хронической гипоксии. Возникает порочный круг – вследствие гипоксии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компенсаторно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увеличивается возбудимость симпатоадреналовой системы, эндотелий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артериол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набухает (устойчивая артериальная гиперемия), становится менее восприимчивым к воздействию вазоконстрикторов, ухудшаются окислительно-восстановительные процессы в окружающих тканях. Вместе с тем утолщается гладкомышечный слой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артериол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в результате дистрофических и пролиферативных процессов, сужается просвет резистивных сосудов</w:t>
      </w:r>
      <w:r w:rsidR="0075154C" w:rsidRPr="0075154C">
        <w:rPr>
          <w:rFonts w:ascii="Times New Roman" w:hAnsi="Times New Roman" w:cs="Times New Roman"/>
          <w:sz w:val="28"/>
          <w:szCs w:val="28"/>
        </w:rPr>
        <w:t xml:space="preserve"> [</w:t>
      </w:r>
      <w:r w:rsidR="001D5AB7" w:rsidRPr="0075154C">
        <w:rPr>
          <w:rFonts w:ascii="Times New Roman" w:hAnsi="Times New Roman" w:cs="Times New Roman"/>
          <w:sz w:val="28"/>
          <w:szCs w:val="28"/>
        </w:rPr>
        <w:t>8</w:t>
      </w:r>
      <w:r w:rsidR="0075154C" w:rsidRPr="0075154C">
        <w:rPr>
          <w:rFonts w:ascii="Times New Roman" w:hAnsi="Times New Roman" w:cs="Times New Roman"/>
          <w:sz w:val="28"/>
          <w:szCs w:val="28"/>
        </w:rPr>
        <w:t>].</w:t>
      </w:r>
    </w:p>
    <w:p w:rsidR="00AD2D31" w:rsidRPr="00327FFB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>Исследования показали, что у большей части больных воспалительными заболеваниями пародонта на фоне гипертонической болезни повышен тонус артерий крупного, среднего и мелкого калибров, уменьшены показатели быстрого</w:t>
      </w:r>
      <w:r w:rsidR="0075154C">
        <w:rPr>
          <w:rFonts w:ascii="Times New Roman" w:hAnsi="Times New Roman" w:cs="Times New Roman"/>
          <w:sz w:val="28"/>
          <w:szCs w:val="28"/>
        </w:rPr>
        <w:t xml:space="preserve"> и медленного кровенаполнения [</w:t>
      </w:r>
      <w:r w:rsidR="001D5AB7" w:rsidRPr="0075154C">
        <w:rPr>
          <w:rFonts w:ascii="Times New Roman" w:hAnsi="Times New Roman" w:cs="Times New Roman"/>
          <w:sz w:val="28"/>
          <w:szCs w:val="28"/>
        </w:rPr>
        <w:t>10</w:t>
      </w:r>
      <w:r w:rsidRPr="0075154C">
        <w:rPr>
          <w:rFonts w:ascii="Times New Roman" w:hAnsi="Times New Roman" w:cs="Times New Roman"/>
          <w:sz w:val="28"/>
          <w:szCs w:val="28"/>
        </w:rPr>
        <w:t xml:space="preserve">, </w:t>
      </w:r>
      <w:r w:rsidR="001D5AB7" w:rsidRPr="0075154C">
        <w:rPr>
          <w:rFonts w:ascii="Times New Roman" w:hAnsi="Times New Roman" w:cs="Times New Roman"/>
          <w:sz w:val="28"/>
          <w:szCs w:val="28"/>
        </w:rPr>
        <w:t>7</w:t>
      </w:r>
      <w:r w:rsidR="0075154C" w:rsidRPr="0075154C">
        <w:rPr>
          <w:rFonts w:ascii="Times New Roman" w:hAnsi="Times New Roman" w:cs="Times New Roman"/>
          <w:sz w:val="28"/>
          <w:szCs w:val="28"/>
        </w:rPr>
        <w:t>]</w:t>
      </w:r>
      <w:r w:rsidRPr="00327FFB">
        <w:rPr>
          <w:rFonts w:ascii="Times New Roman" w:hAnsi="Times New Roman" w:cs="Times New Roman"/>
          <w:sz w:val="28"/>
          <w:szCs w:val="28"/>
        </w:rPr>
        <w:t>.</w:t>
      </w:r>
    </w:p>
    <w:p w:rsidR="00AD2D31" w:rsidRPr="0075154C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Также было выяснено, что при лечении хронического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пародонтита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у пациентов с АГ позитивной динамики можно было добиться лишь при использовании адекватной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антигипертензивной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терапии. При комплексном подходе удавалось добиться уменьшения структурно-функционального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ремоделирования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сосудов пародонта. В противном случае (без использования препаратов для контроля артериального давления) эффект от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пародонтологического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лечения сохранялся лишь на время этого лечения</w:t>
      </w:r>
      <w:r w:rsidR="0075154C" w:rsidRPr="0075154C">
        <w:rPr>
          <w:rFonts w:ascii="Times New Roman" w:hAnsi="Times New Roman" w:cs="Times New Roman"/>
          <w:sz w:val="28"/>
          <w:szCs w:val="28"/>
        </w:rPr>
        <w:t xml:space="preserve"> [</w:t>
      </w:r>
      <w:r w:rsidR="001D5AB7" w:rsidRPr="0075154C">
        <w:rPr>
          <w:rFonts w:ascii="Times New Roman" w:hAnsi="Times New Roman" w:cs="Times New Roman"/>
          <w:sz w:val="28"/>
          <w:szCs w:val="28"/>
        </w:rPr>
        <w:t>1</w:t>
      </w:r>
      <w:r w:rsidR="0075154C" w:rsidRPr="0075154C">
        <w:rPr>
          <w:rFonts w:ascii="Times New Roman" w:hAnsi="Times New Roman" w:cs="Times New Roman"/>
          <w:sz w:val="28"/>
          <w:szCs w:val="28"/>
        </w:rPr>
        <w:t>].</w:t>
      </w:r>
    </w:p>
    <w:p w:rsidR="00191003" w:rsidRDefault="00191003" w:rsidP="006846C3">
      <w:pPr>
        <w:spacing w:after="200" w:line="276" w:lineRule="auto"/>
        <w:jc w:val="both"/>
        <w:rPr>
          <w:rFonts w:ascii="Times New Roman" w:eastAsiaTheme="majorEastAsia" w:hAnsi="Times New Roman" w:cstheme="majorBidi"/>
          <w:b/>
          <w:bCs/>
          <w:iCs/>
          <w:sz w:val="28"/>
        </w:rPr>
      </w:pPr>
      <w:r>
        <w:br w:type="page"/>
      </w:r>
    </w:p>
    <w:p w:rsidR="00AD2D31" w:rsidRPr="00327FFB" w:rsidRDefault="00AD2D31" w:rsidP="006846C3">
      <w:pPr>
        <w:pStyle w:val="4"/>
        <w:jc w:val="both"/>
      </w:pPr>
      <w:r>
        <w:lastRenderedPageBreak/>
        <w:t>3.</w:t>
      </w:r>
      <w:r w:rsidRPr="00327FFB">
        <w:t>1.1 Влияние патологии пародонта на развитие эндотелиальной дисфункции</w:t>
      </w:r>
    </w:p>
    <w:p w:rsidR="00AD2D31" w:rsidRPr="00327FFB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>Клетки эндотелия активно участвуют в регуляции просвета сосудов. Эндотелий синтезирует как сосудорасширяющие субстанции, к которым относится оксид азота (</w:t>
      </w:r>
      <w:r w:rsidRPr="00327FF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27FF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простациклин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гиперполяризующий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фактор эндотелия (</w:t>
      </w:r>
      <w:r w:rsidRPr="00327FFB">
        <w:rPr>
          <w:rFonts w:ascii="Times New Roman" w:hAnsi="Times New Roman" w:cs="Times New Roman"/>
          <w:sz w:val="28"/>
          <w:szCs w:val="28"/>
          <w:lang w:val="en-US"/>
        </w:rPr>
        <w:t>EDNF</w:t>
      </w:r>
      <w:r w:rsidRPr="00327FFB">
        <w:rPr>
          <w:rFonts w:ascii="Times New Roman" w:hAnsi="Times New Roman" w:cs="Times New Roman"/>
          <w:sz w:val="28"/>
          <w:szCs w:val="28"/>
        </w:rPr>
        <w:t xml:space="preserve">), так и вазоконстрикторы –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тромбоксан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(ТХА-2), ангиотезин-2, эндотелин-1. </w:t>
      </w:r>
    </w:p>
    <w:p w:rsidR="00AD2D31" w:rsidRPr="0075154C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Хронический очаг воспаления, который представляют собой пораженные ткани пародонта при его воспалительных заболеваниях, способствует выделению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вещест</w:t>
      </w:r>
      <w:r w:rsidR="00527FC3">
        <w:rPr>
          <w:rFonts w:ascii="Times New Roman" w:hAnsi="Times New Roman" w:cs="Times New Roman"/>
          <w:sz w:val="28"/>
          <w:szCs w:val="28"/>
        </w:rPr>
        <w:t>в в системный кровоток</w:t>
      </w:r>
      <w:r w:rsidRPr="00327FFB">
        <w:rPr>
          <w:rFonts w:ascii="Times New Roman" w:hAnsi="Times New Roman" w:cs="Times New Roman"/>
          <w:sz w:val="28"/>
          <w:szCs w:val="28"/>
        </w:rPr>
        <w:t>. Эти вещества повышают проницаемость сосудистой стенки, повреждают и изменяют структуру эндотелиальных клеток, тем самым способствуя развитию эндотелиальной дисфункции и, как результат, заболеваниям сердечнососудистой системы</w:t>
      </w:r>
      <w:r w:rsidR="0075154C">
        <w:rPr>
          <w:rFonts w:ascii="Times New Roman" w:hAnsi="Times New Roman" w:cs="Times New Roman"/>
          <w:sz w:val="28"/>
          <w:szCs w:val="28"/>
        </w:rPr>
        <w:t xml:space="preserve">  </w:t>
      </w:r>
      <w:r w:rsidR="0075154C" w:rsidRPr="0075154C">
        <w:rPr>
          <w:rFonts w:ascii="Times New Roman" w:hAnsi="Times New Roman" w:cs="Times New Roman"/>
          <w:sz w:val="28"/>
          <w:szCs w:val="28"/>
        </w:rPr>
        <w:t>[</w:t>
      </w:r>
      <w:r w:rsidR="00741D6A" w:rsidRPr="0075154C">
        <w:rPr>
          <w:rFonts w:ascii="Times New Roman" w:hAnsi="Times New Roman" w:cs="Times New Roman"/>
          <w:sz w:val="28"/>
          <w:szCs w:val="28"/>
        </w:rPr>
        <w:t>20</w:t>
      </w:r>
      <w:r w:rsidRPr="0075154C">
        <w:rPr>
          <w:rFonts w:ascii="Times New Roman" w:hAnsi="Times New Roman" w:cs="Times New Roman"/>
          <w:sz w:val="28"/>
          <w:szCs w:val="28"/>
        </w:rPr>
        <w:t>,</w:t>
      </w:r>
      <w:r w:rsidR="00741D6A" w:rsidRPr="0075154C">
        <w:rPr>
          <w:rFonts w:ascii="Times New Roman" w:hAnsi="Times New Roman" w:cs="Times New Roman"/>
          <w:sz w:val="28"/>
          <w:szCs w:val="28"/>
        </w:rPr>
        <w:t>14</w:t>
      </w:r>
      <w:r w:rsidR="0075154C" w:rsidRPr="0075154C">
        <w:rPr>
          <w:rFonts w:ascii="Times New Roman" w:hAnsi="Times New Roman" w:cs="Times New Roman"/>
          <w:sz w:val="28"/>
          <w:szCs w:val="28"/>
        </w:rPr>
        <w:t>].</w:t>
      </w:r>
    </w:p>
    <w:p w:rsidR="00AD2D31" w:rsidRPr="00327FFB" w:rsidRDefault="00AD2D31" w:rsidP="005E0A26">
      <w:pPr>
        <w:tabs>
          <w:tab w:val="left" w:pos="11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том, что артериальная гипертензия негативно влияет на состояние микроциркуляторного русла пародонта, создает условия для развития гипоксии, вызывающей и усугубляющей течение воспалительного процесса.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Пародонтит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же, в свою очередь, способствует нарушению местной и общей регуляции тонуса сосудов путем высвобождения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медиаторов, которые вносят вклад в развитие дисфункции эндотелия.</w:t>
      </w:r>
    </w:p>
    <w:p w:rsidR="00AD2D31" w:rsidRPr="00327FFB" w:rsidRDefault="00AD2D31" w:rsidP="006846C3">
      <w:pPr>
        <w:pStyle w:val="3"/>
        <w:jc w:val="both"/>
      </w:pPr>
      <w:bookmarkStart w:id="15" w:name="_Toc102234756"/>
      <w:r>
        <w:t>3.2</w:t>
      </w:r>
      <w:r w:rsidRPr="00327FFB">
        <w:t xml:space="preserve"> Окислительный стресс</w:t>
      </w:r>
      <w:bookmarkEnd w:id="15"/>
    </w:p>
    <w:p w:rsidR="00AD2D31" w:rsidRPr="0075154C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FFB">
        <w:rPr>
          <w:rFonts w:ascii="Times New Roman" w:hAnsi="Times New Roman" w:cs="Times New Roman"/>
          <w:sz w:val="28"/>
          <w:szCs w:val="28"/>
        </w:rPr>
        <w:t>Ремоделирование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сосудов микроциркуляторного русла пародонта, </w:t>
      </w:r>
      <w:proofErr w:type="gramStart"/>
      <w:r w:rsidRPr="00327FFB">
        <w:rPr>
          <w:rFonts w:ascii="Times New Roman" w:hAnsi="Times New Roman" w:cs="Times New Roman"/>
          <w:sz w:val="28"/>
          <w:szCs w:val="28"/>
        </w:rPr>
        <w:t>обусловленное</w:t>
      </w:r>
      <w:proofErr w:type="gramEnd"/>
      <w:r w:rsidRPr="00327FFB">
        <w:rPr>
          <w:rFonts w:ascii="Times New Roman" w:hAnsi="Times New Roman" w:cs="Times New Roman"/>
          <w:sz w:val="28"/>
          <w:szCs w:val="28"/>
        </w:rPr>
        <w:t xml:space="preserve"> артериальной гипертензией, приводит к развитию гипоксии. Типичный механизм адаптации к снижению насыщенности тканей кислородом – активация свободно-радикального окисления. В нормальной ситуации образование активных форм кислорода служит </w:t>
      </w:r>
      <w:r w:rsidRPr="00327FFB">
        <w:rPr>
          <w:rFonts w:ascii="Times New Roman" w:hAnsi="Times New Roman" w:cs="Times New Roman"/>
          <w:sz w:val="28"/>
          <w:szCs w:val="28"/>
        </w:rPr>
        <w:lastRenderedPageBreak/>
        <w:t xml:space="preserve">защитой от различных повреждений (к примеру, бактериальных токсинов) и приводит к ответной активации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антиоксидантных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систем. Но на фоне дисфункции эндотелия и воспалительного процесса в тканях пародонта защитные системы не способны компенсировать процессы свободно-радикального окисления. Процесс адаптации превращается в патологический процесс, усугубляющий состояние тканей пародонта</w:t>
      </w:r>
      <w:r w:rsidR="0075154C" w:rsidRPr="0075154C">
        <w:rPr>
          <w:rFonts w:ascii="Times New Roman" w:hAnsi="Times New Roman" w:cs="Times New Roman"/>
          <w:sz w:val="28"/>
          <w:szCs w:val="28"/>
        </w:rPr>
        <w:t xml:space="preserve"> [</w:t>
      </w:r>
      <w:r w:rsidR="001D5AB7" w:rsidRPr="0075154C">
        <w:rPr>
          <w:rFonts w:ascii="Times New Roman" w:hAnsi="Times New Roman" w:cs="Times New Roman"/>
          <w:sz w:val="28"/>
          <w:szCs w:val="28"/>
        </w:rPr>
        <w:t>2</w:t>
      </w:r>
      <w:r w:rsidRPr="0075154C">
        <w:rPr>
          <w:rFonts w:ascii="Times New Roman" w:hAnsi="Times New Roman" w:cs="Times New Roman"/>
          <w:sz w:val="28"/>
          <w:szCs w:val="28"/>
        </w:rPr>
        <w:t>,</w:t>
      </w:r>
      <w:r w:rsidR="00741D6A" w:rsidRPr="0075154C">
        <w:rPr>
          <w:rFonts w:ascii="Times New Roman" w:hAnsi="Times New Roman" w:cs="Times New Roman"/>
          <w:sz w:val="28"/>
          <w:szCs w:val="28"/>
        </w:rPr>
        <w:t xml:space="preserve"> </w:t>
      </w:r>
      <w:r w:rsidRPr="0075154C">
        <w:rPr>
          <w:rFonts w:ascii="Times New Roman" w:hAnsi="Times New Roman" w:cs="Times New Roman"/>
          <w:sz w:val="28"/>
          <w:szCs w:val="28"/>
        </w:rPr>
        <w:t>2</w:t>
      </w:r>
      <w:r w:rsidR="00741D6A" w:rsidRPr="0075154C">
        <w:rPr>
          <w:rFonts w:ascii="Times New Roman" w:hAnsi="Times New Roman" w:cs="Times New Roman"/>
          <w:sz w:val="28"/>
          <w:szCs w:val="28"/>
        </w:rPr>
        <w:t>9</w:t>
      </w:r>
      <w:r w:rsidR="0075154C" w:rsidRPr="0075154C">
        <w:rPr>
          <w:rFonts w:ascii="Times New Roman" w:hAnsi="Times New Roman" w:cs="Times New Roman"/>
          <w:sz w:val="28"/>
          <w:szCs w:val="28"/>
        </w:rPr>
        <w:t>].</w:t>
      </w:r>
    </w:p>
    <w:p w:rsidR="00AD2D31" w:rsidRPr="00327FFB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Первым показателем развития окислительного стресса в тканях служит изменение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тиолдисульфидного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соотношения – соотношения концентрации –</w:t>
      </w:r>
      <w:r w:rsidRPr="00327FFB">
        <w:rPr>
          <w:rFonts w:ascii="Times New Roman" w:hAnsi="Times New Roman" w:cs="Times New Roman"/>
          <w:sz w:val="28"/>
          <w:szCs w:val="28"/>
          <w:lang w:val="en-US"/>
        </w:rPr>
        <w:t>HS</w:t>
      </w:r>
      <w:r w:rsidRPr="00327FFB">
        <w:rPr>
          <w:rFonts w:ascii="Times New Roman" w:hAnsi="Times New Roman" w:cs="Times New Roman"/>
          <w:sz w:val="28"/>
          <w:szCs w:val="28"/>
        </w:rPr>
        <w:t xml:space="preserve"> и –</w:t>
      </w:r>
      <w:r w:rsidRPr="00327FF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327FFB">
        <w:rPr>
          <w:rFonts w:ascii="Times New Roman" w:hAnsi="Times New Roman" w:cs="Times New Roman"/>
          <w:sz w:val="28"/>
          <w:szCs w:val="28"/>
        </w:rPr>
        <w:t xml:space="preserve"> групп в сыворотке крови.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Тиолдисульфидное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соотношение служит неспецифическим показателем адаптационных возможностей организма. У пациентов с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пародонтитом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показатели восстановленной серы снижены в пользу окисленной серы, таким образом,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тиолдисульфидное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соотношение снижено. </w:t>
      </w:r>
    </w:p>
    <w:p w:rsidR="00AD2D31" w:rsidRPr="00327FFB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Перекисное окисление липидов является основной причиной местных и системных нарушений метаболизма, так как его конечные продукты обладают цитотоксическим эффектом, способствуют дальнейшему повреждению клеток эндотелия. Об активности перекисного окисления липидов можно судить по присутствию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малонового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диальдегида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, его уровни довольно высоки у больных с </w:t>
      </w:r>
      <w:proofErr w:type="gramStart"/>
      <w:r w:rsidRPr="00327FFB">
        <w:rPr>
          <w:rFonts w:ascii="Times New Roman" w:hAnsi="Times New Roman" w:cs="Times New Roman"/>
          <w:sz w:val="28"/>
          <w:szCs w:val="28"/>
        </w:rPr>
        <w:t>хроническим</w:t>
      </w:r>
      <w:proofErr w:type="gramEnd"/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генерализованным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пародонтитом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на фоне артериальной гипертензии.</w:t>
      </w:r>
    </w:p>
    <w:p w:rsidR="00AD2D31" w:rsidRPr="00327FFB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FFB">
        <w:rPr>
          <w:rFonts w:ascii="Times New Roman" w:hAnsi="Times New Roman" w:cs="Times New Roman"/>
          <w:sz w:val="28"/>
          <w:szCs w:val="28"/>
        </w:rPr>
        <w:t>Супероксиддисмутаза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(СОД) и каталаза – основные ферменты защитной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антиоксидантной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системы. У больных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пародонтитом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уровень СОД снижен, а показатели каталазы повышены, что говорит о развитии компенсаторной реакц</w:t>
      </w:r>
      <w:r w:rsidR="0075154C">
        <w:rPr>
          <w:rFonts w:ascii="Times New Roman" w:hAnsi="Times New Roman" w:cs="Times New Roman"/>
          <w:sz w:val="28"/>
          <w:szCs w:val="28"/>
        </w:rPr>
        <w:t>ии на окислительный стресс</w:t>
      </w:r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r w:rsidR="0075154C" w:rsidRPr="0075154C">
        <w:rPr>
          <w:rFonts w:ascii="Times New Roman" w:hAnsi="Times New Roman" w:cs="Times New Roman"/>
          <w:sz w:val="28"/>
          <w:szCs w:val="28"/>
        </w:rPr>
        <w:t>[</w:t>
      </w:r>
      <w:r w:rsidR="001D5AB7" w:rsidRPr="0075154C">
        <w:rPr>
          <w:rFonts w:ascii="Times New Roman" w:hAnsi="Times New Roman" w:cs="Times New Roman"/>
          <w:sz w:val="28"/>
          <w:szCs w:val="28"/>
        </w:rPr>
        <w:t>7, 10</w:t>
      </w:r>
      <w:r w:rsidR="0075154C" w:rsidRPr="0075154C">
        <w:rPr>
          <w:rFonts w:ascii="Times New Roman" w:hAnsi="Times New Roman" w:cs="Times New Roman"/>
          <w:sz w:val="28"/>
          <w:szCs w:val="28"/>
        </w:rPr>
        <w:t>].</w:t>
      </w:r>
      <w:r w:rsidRPr="00327FFB">
        <w:rPr>
          <w:rFonts w:ascii="Times New Roman" w:hAnsi="Times New Roman" w:cs="Times New Roman"/>
          <w:sz w:val="28"/>
          <w:szCs w:val="28"/>
        </w:rPr>
        <w:t xml:space="preserve"> О дисбалансе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оксидантной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антиоксидантной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систем говорит и повышение уровня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диакрон-реактивных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(D-ROM) метаболитов кислорода.</w:t>
      </w:r>
    </w:p>
    <w:p w:rsidR="00AD2D31" w:rsidRPr="00327FFB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окислительного стресса ионное равновесие в клетках и межклеточном пространстве нарушается. На примере эритроцитов можно увидеть, как вследствие сбоя транспортных функций мембраны в клетке накапливаются ионы натрия и кальция, тогда как калий и магний находятся в дефиците. Такое соотношение ионов является сигналом для запуска клеточного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="0075154C">
        <w:rPr>
          <w:rFonts w:ascii="Times New Roman" w:hAnsi="Times New Roman" w:cs="Times New Roman"/>
          <w:sz w:val="28"/>
          <w:szCs w:val="28"/>
        </w:rPr>
        <w:t xml:space="preserve"> </w:t>
      </w:r>
      <w:r w:rsidR="0075154C" w:rsidRPr="0075154C">
        <w:rPr>
          <w:rFonts w:ascii="Times New Roman" w:hAnsi="Times New Roman" w:cs="Times New Roman"/>
          <w:sz w:val="28"/>
          <w:szCs w:val="28"/>
        </w:rPr>
        <w:t>[</w:t>
      </w:r>
      <w:r w:rsidR="001D5AB7" w:rsidRPr="0075154C">
        <w:rPr>
          <w:rFonts w:ascii="Times New Roman" w:hAnsi="Times New Roman" w:cs="Times New Roman"/>
          <w:sz w:val="28"/>
          <w:szCs w:val="28"/>
        </w:rPr>
        <w:t>7</w:t>
      </w:r>
      <w:r w:rsidR="0075154C" w:rsidRPr="0075154C">
        <w:rPr>
          <w:rFonts w:ascii="Times New Roman" w:hAnsi="Times New Roman" w:cs="Times New Roman"/>
          <w:sz w:val="28"/>
          <w:szCs w:val="28"/>
        </w:rPr>
        <w:t xml:space="preserve">]. </w:t>
      </w:r>
      <w:r w:rsidRPr="00327FFB">
        <w:rPr>
          <w:rFonts w:ascii="Times New Roman" w:hAnsi="Times New Roman" w:cs="Times New Roman"/>
          <w:sz w:val="28"/>
          <w:szCs w:val="28"/>
        </w:rPr>
        <w:t xml:space="preserve">Исследования также показывают, что у больных с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пародонтитом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почти вдвое (по сравнению со здоровыми людьми) увеличено содержание рецепторов </w:t>
      </w:r>
      <w:proofErr w:type="spellStart"/>
      <w:r w:rsidRPr="00327FFB">
        <w:rPr>
          <w:rFonts w:ascii="Times New Roman" w:hAnsi="Times New Roman" w:cs="Times New Roman"/>
          <w:sz w:val="28"/>
          <w:szCs w:val="28"/>
          <w:lang w:val="en-US"/>
        </w:rPr>
        <w:t>Fas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r w:rsidRPr="00327FF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27FFB">
        <w:rPr>
          <w:rFonts w:ascii="Times New Roman" w:hAnsi="Times New Roman" w:cs="Times New Roman"/>
          <w:sz w:val="28"/>
          <w:szCs w:val="28"/>
        </w:rPr>
        <w:t xml:space="preserve">95, ответственных за прием внеклеточных сигналов к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апоптозу</w:t>
      </w:r>
      <w:proofErr w:type="spellEnd"/>
      <w:r w:rsidR="0075154C" w:rsidRPr="0075154C">
        <w:rPr>
          <w:rFonts w:ascii="Times New Roman" w:hAnsi="Times New Roman" w:cs="Times New Roman"/>
          <w:sz w:val="28"/>
          <w:szCs w:val="28"/>
        </w:rPr>
        <w:t xml:space="preserve"> [</w:t>
      </w:r>
      <w:r w:rsidR="001D5AB7" w:rsidRPr="0075154C">
        <w:rPr>
          <w:rFonts w:ascii="Times New Roman" w:hAnsi="Times New Roman" w:cs="Times New Roman"/>
          <w:sz w:val="28"/>
          <w:szCs w:val="28"/>
        </w:rPr>
        <w:t>10</w:t>
      </w:r>
      <w:r w:rsidR="0075154C" w:rsidRPr="0075154C">
        <w:rPr>
          <w:rFonts w:ascii="Times New Roman" w:hAnsi="Times New Roman" w:cs="Times New Roman"/>
          <w:sz w:val="28"/>
          <w:szCs w:val="28"/>
        </w:rPr>
        <w:t>].</w:t>
      </w:r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r w:rsidR="0075154C" w:rsidRPr="0075154C">
        <w:rPr>
          <w:rFonts w:ascii="Times New Roman" w:hAnsi="Times New Roman" w:cs="Times New Roman"/>
          <w:sz w:val="28"/>
          <w:szCs w:val="28"/>
        </w:rPr>
        <w:t xml:space="preserve"> </w:t>
      </w:r>
      <w:r w:rsidRPr="00327FFB">
        <w:rPr>
          <w:rFonts w:ascii="Times New Roman" w:hAnsi="Times New Roman" w:cs="Times New Roman"/>
          <w:sz w:val="28"/>
          <w:szCs w:val="28"/>
        </w:rPr>
        <w:t xml:space="preserve">Все это говорит о том, что в условиях окислительного стресса клетки гибнут не только в результате агрессивного воздействия продуктов свободно-радикального окисления, но и </w:t>
      </w:r>
      <w:proofErr w:type="gramStart"/>
      <w:r w:rsidRPr="00327FFB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327FFB">
        <w:rPr>
          <w:rFonts w:ascii="Times New Roman" w:hAnsi="Times New Roman" w:cs="Times New Roman"/>
          <w:sz w:val="28"/>
          <w:szCs w:val="28"/>
        </w:rPr>
        <w:t xml:space="preserve"> индуцированного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>.</w:t>
      </w:r>
    </w:p>
    <w:p w:rsidR="00AD2D31" w:rsidRPr="00327FFB" w:rsidRDefault="00AD2D31" w:rsidP="006846C3">
      <w:pPr>
        <w:pStyle w:val="4"/>
        <w:jc w:val="both"/>
      </w:pPr>
      <w:r>
        <w:t>3.</w:t>
      </w:r>
      <w:r w:rsidRPr="00327FFB">
        <w:t>2.1. Влияние окислительного стресса на общее состояние сердечнососудистой системы</w:t>
      </w:r>
    </w:p>
    <w:p w:rsidR="00AD2D31" w:rsidRPr="00327FFB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Повышенное содержание активных форм кислорода ведет к возникновению и усугублению эндотелиальной дисфункции, перекисному окислению липидов, разрушению матриксных белков. Также не последнюю роль играет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инактивация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r w:rsidRPr="00327FF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27FFB">
        <w:rPr>
          <w:rFonts w:ascii="Times New Roman" w:hAnsi="Times New Roman" w:cs="Times New Roman"/>
          <w:sz w:val="28"/>
          <w:szCs w:val="28"/>
        </w:rPr>
        <w:t xml:space="preserve"> в результате его взаимодействия с активными формами кислорода (образуются группы </w:t>
      </w:r>
      <w:r w:rsidRPr="00327FFB">
        <w:rPr>
          <w:rFonts w:ascii="Times New Roman" w:hAnsi="Times New Roman" w:cs="Times New Roman"/>
          <w:sz w:val="28"/>
          <w:szCs w:val="28"/>
          <w:lang w:val="en-US"/>
        </w:rPr>
        <w:t>ONOO</w:t>
      </w:r>
      <w:r w:rsidRPr="00327FFB">
        <w:rPr>
          <w:rFonts w:ascii="Times New Roman" w:hAnsi="Times New Roman" w:cs="Times New Roman"/>
          <w:sz w:val="28"/>
          <w:szCs w:val="28"/>
        </w:rPr>
        <w:t xml:space="preserve">-).  У пациентов с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эссенциальной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, реноваскулярной, злокачественной гипертензией и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преэклампсией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наблюдается повышенная продукция активных форм кислорода </w:t>
      </w:r>
      <w:r w:rsidR="0075154C" w:rsidRPr="0075154C">
        <w:rPr>
          <w:rFonts w:ascii="Times New Roman" w:hAnsi="Times New Roman" w:cs="Times New Roman"/>
          <w:sz w:val="28"/>
          <w:szCs w:val="28"/>
        </w:rPr>
        <w:t>[</w:t>
      </w:r>
      <w:r w:rsidR="00741D6A" w:rsidRPr="0075154C">
        <w:rPr>
          <w:rFonts w:ascii="Times New Roman" w:hAnsi="Times New Roman" w:cs="Times New Roman"/>
          <w:sz w:val="28"/>
          <w:szCs w:val="28"/>
        </w:rPr>
        <w:t>34</w:t>
      </w:r>
      <w:r w:rsidR="0075154C" w:rsidRPr="0075154C">
        <w:rPr>
          <w:rFonts w:ascii="Times New Roman" w:hAnsi="Times New Roman" w:cs="Times New Roman"/>
          <w:sz w:val="28"/>
          <w:szCs w:val="28"/>
        </w:rPr>
        <w:t>]</w:t>
      </w:r>
      <w:r w:rsidRPr="00327FFB">
        <w:rPr>
          <w:rFonts w:ascii="Times New Roman" w:hAnsi="Times New Roman" w:cs="Times New Roman"/>
          <w:sz w:val="28"/>
          <w:szCs w:val="28"/>
        </w:rPr>
        <w:t xml:space="preserve">. С этими изменениями связывают ответную активацию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ренин-ангиотензин-альдостероновой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AD2D31" w:rsidRPr="00327FFB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У пациентов с тяжелыми формами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пародонтита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в сыворотке крови обнаружены повышенные концентрации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диакрон-реактивных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метаболитов кислорода на фоне снижения биологического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антиоксидантного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потенциала по сравнению со здоровыми испытуемыми</w:t>
      </w:r>
      <w:r w:rsidR="0075154C" w:rsidRPr="0075154C">
        <w:rPr>
          <w:rFonts w:ascii="Times New Roman" w:hAnsi="Times New Roman" w:cs="Times New Roman"/>
          <w:sz w:val="28"/>
          <w:szCs w:val="28"/>
        </w:rPr>
        <w:t xml:space="preserve"> </w:t>
      </w:r>
      <w:r w:rsidR="0075154C" w:rsidRPr="0075154C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741D6A" w:rsidRPr="0075154C">
        <w:rPr>
          <w:rFonts w:ascii="Times New Roman" w:hAnsi="Times New Roman" w:cs="Times New Roman"/>
          <w:sz w:val="28"/>
          <w:szCs w:val="28"/>
        </w:rPr>
        <w:t>34</w:t>
      </w:r>
      <w:r w:rsidR="0075154C" w:rsidRPr="0075154C">
        <w:rPr>
          <w:rFonts w:ascii="Times New Roman" w:hAnsi="Times New Roman" w:cs="Times New Roman"/>
          <w:sz w:val="28"/>
          <w:szCs w:val="28"/>
        </w:rPr>
        <w:t xml:space="preserve">]. </w:t>
      </w:r>
      <w:r w:rsidRPr="00327FFB">
        <w:rPr>
          <w:rFonts w:ascii="Times New Roman" w:hAnsi="Times New Roman" w:cs="Times New Roman"/>
          <w:sz w:val="28"/>
          <w:szCs w:val="28"/>
        </w:rPr>
        <w:t>Таким образом, воспалительный процесс в пародонте может служить источником системного окислительного стресса.</w:t>
      </w:r>
    </w:p>
    <w:p w:rsidR="00AD2D31" w:rsidRPr="00327FFB" w:rsidRDefault="00AD2D31" w:rsidP="006846C3">
      <w:pPr>
        <w:pStyle w:val="3"/>
        <w:jc w:val="both"/>
      </w:pPr>
      <w:r w:rsidRPr="00327FFB">
        <w:t xml:space="preserve"> </w:t>
      </w:r>
      <w:bookmarkStart w:id="16" w:name="_Toc102234757"/>
      <w:r w:rsidRPr="00327FFB">
        <w:t>3.</w:t>
      </w:r>
      <w:r>
        <w:t>3</w:t>
      </w:r>
      <w:r w:rsidRPr="00327FFB">
        <w:t xml:space="preserve"> Иммунопатологические процессы</w:t>
      </w:r>
      <w:bookmarkEnd w:id="16"/>
    </w:p>
    <w:p w:rsidR="00AD2D31" w:rsidRPr="0075154C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Изменения, происходящие в общих и местных показателях иммунитета, могут служить одним из доказательств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коморбидной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связи между артериальной гипертензией и воспалит</w:t>
      </w:r>
      <w:r w:rsidR="0075154C">
        <w:rPr>
          <w:rFonts w:ascii="Times New Roman" w:hAnsi="Times New Roman" w:cs="Times New Roman"/>
          <w:sz w:val="28"/>
          <w:szCs w:val="28"/>
        </w:rPr>
        <w:t>ельными заболеваниями пародонта</w:t>
      </w:r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r w:rsidR="0075154C" w:rsidRPr="0075154C">
        <w:rPr>
          <w:rFonts w:ascii="Times New Roman" w:hAnsi="Times New Roman" w:cs="Times New Roman"/>
          <w:sz w:val="28"/>
          <w:szCs w:val="28"/>
        </w:rPr>
        <w:t>[</w:t>
      </w:r>
      <w:r w:rsidR="00741D6A">
        <w:rPr>
          <w:rFonts w:ascii="Times New Roman" w:hAnsi="Times New Roman" w:cs="Times New Roman"/>
          <w:sz w:val="28"/>
          <w:szCs w:val="28"/>
        </w:rPr>
        <w:t>31</w:t>
      </w:r>
      <w:r w:rsidR="0075154C" w:rsidRPr="0075154C">
        <w:rPr>
          <w:rFonts w:ascii="Times New Roman" w:hAnsi="Times New Roman" w:cs="Times New Roman"/>
          <w:sz w:val="28"/>
          <w:szCs w:val="28"/>
        </w:rPr>
        <w:t>].</w:t>
      </w:r>
    </w:p>
    <w:p w:rsidR="00AD2D31" w:rsidRPr="00327FFB" w:rsidRDefault="00AD2D31" w:rsidP="006846C3">
      <w:pPr>
        <w:pStyle w:val="4"/>
        <w:jc w:val="both"/>
      </w:pPr>
      <w:r>
        <w:t>3.</w:t>
      </w:r>
      <w:r w:rsidRPr="00327FFB">
        <w:t>3.1 Изменения местного иммунитета</w:t>
      </w:r>
    </w:p>
    <w:p w:rsidR="00AD2D31" w:rsidRPr="00327FFB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жидкости у больных </w:t>
      </w:r>
      <w:proofErr w:type="gramStart"/>
      <w:r w:rsidRPr="00327FFB">
        <w:rPr>
          <w:rFonts w:ascii="Times New Roman" w:hAnsi="Times New Roman" w:cs="Times New Roman"/>
          <w:sz w:val="28"/>
          <w:szCs w:val="28"/>
        </w:rPr>
        <w:t>хроническим</w:t>
      </w:r>
      <w:proofErr w:type="gramEnd"/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генерализованным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пародонтитом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регистрируются сдвиги показателей неспецифического иммунитета. Эпителиальных клеток значительно меньше, чем у здоровых людей, а содержание лимфоцитов и нейтрофилов наоборот выше. Эти сдвиги связаны с включением защитно-приспособительных механизмов неспецифического иммунитета, они являются наиболее чувствительными, поэтому и могут служить ранними маркерами воспалительных заболеваний пародонта. Изменяются также свойства клеток – значительно увеличивается фагоцитарная активность нейтрофилов (в 1,6 раз) и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адгезивные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свойства эпителиальных клеток (в 1,8 раз).</w:t>
      </w:r>
    </w:p>
    <w:p w:rsidR="00AD2D31" w:rsidRPr="00327FFB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>Уровень иммуноглобулина</w:t>
      </w:r>
      <w:proofErr w:type="gramStart"/>
      <w:r w:rsidRPr="00327F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27F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7FFB"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жидкости достоверно снижен примерно в полтора раза. Это следствие его разрушения бактериальными протеазами и оседания в условиях повышенной экссудации. Важность </w:t>
      </w:r>
      <w:proofErr w:type="spellStart"/>
      <w:r w:rsidRPr="00327FFB"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именно в секретах организма (в т.ч. и в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жидкости) обусловлена тем, что этот класс иммуноглобулинов не взаимодействует с системой комплемента, но принимает участие в нейтрализации бактериальных токсинов и снижает способность микроорганизмов к адгезии. Соответственно, из-за снижения </w:t>
      </w:r>
      <w:r w:rsidRPr="00327FFB">
        <w:rPr>
          <w:rFonts w:ascii="Times New Roman" w:hAnsi="Times New Roman" w:cs="Times New Roman"/>
          <w:sz w:val="28"/>
          <w:szCs w:val="28"/>
        </w:rPr>
        <w:lastRenderedPageBreak/>
        <w:t xml:space="preserve">концентрации </w:t>
      </w:r>
      <w:proofErr w:type="spellStart"/>
      <w:r w:rsidRPr="00327FFB"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жидкости, возрастает количество и агрессивность условно патогенной микрофлоры.</w:t>
      </w:r>
    </w:p>
    <w:p w:rsidR="00AD2D31" w:rsidRPr="0075154C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Так как первая линия защиты – </w:t>
      </w:r>
      <w:proofErr w:type="spellStart"/>
      <w:r w:rsidRPr="00327FFB"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– не справляется со своей задачей, создаются условия для взаимодействия антигенов с иммуноглобулинами </w:t>
      </w:r>
      <w:r w:rsidRPr="00327FF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27F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7FFB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>) и М (</w:t>
      </w:r>
      <w:proofErr w:type="spellStart"/>
      <w:r w:rsidRPr="00327FFB"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), их концентрация в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жидкости у больных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пародонтитом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значительно увеличена (в 1,5 – 4 раза). Увеличение содержания </w:t>
      </w:r>
      <w:proofErr w:type="spellStart"/>
      <w:r w:rsidRPr="00327FFB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7FFB"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получается вследствие повышенной проницаемости сосудистой стенки и говорит о наличии воспалительного очага. Образование комплексов антиген-антитело вызывает лизис антигена, а после вовлечения в процесс системы комплемента и повреждение окружающих тканей</w:t>
      </w:r>
      <w:r w:rsidR="0075154C">
        <w:rPr>
          <w:rFonts w:ascii="Times New Roman" w:hAnsi="Times New Roman" w:cs="Times New Roman"/>
          <w:sz w:val="28"/>
          <w:szCs w:val="28"/>
        </w:rPr>
        <w:t xml:space="preserve"> </w:t>
      </w:r>
      <w:r w:rsidR="0075154C" w:rsidRPr="0075154C">
        <w:rPr>
          <w:rFonts w:ascii="Times New Roman" w:hAnsi="Times New Roman" w:cs="Times New Roman"/>
          <w:sz w:val="28"/>
          <w:szCs w:val="28"/>
        </w:rPr>
        <w:t>[</w:t>
      </w:r>
      <w:r w:rsidR="001D5AB7" w:rsidRPr="0075154C">
        <w:rPr>
          <w:rFonts w:ascii="Times New Roman" w:hAnsi="Times New Roman" w:cs="Times New Roman"/>
          <w:sz w:val="28"/>
          <w:szCs w:val="28"/>
        </w:rPr>
        <w:t>8</w:t>
      </w:r>
      <w:r w:rsidRPr="0075154C">
        <w:rPr>
          <w:rFonts w:ascii="Times New Roman" w:hAnsi="Times New Roman" w:cs="Times New Roman"/>
          <w:sz w:val="28"/>
          <w:szCs w:val="28"/>
        </w:rPr>
        <w:t xml:space="preserve">, </w:t>
      </w:r>
      <w:r w:rsidR="00741D6A" w:rsidRPr="0075154C">
        <w:rPr>
          <w:rFonts w:ascii="Times New Roman" w:hAnsi="Times New Roman" w:cs="Times New Roman"/>
          <w:sz w:val="28"/>
          <w:szCs w:val="28"/>
        </w:rPr>
        <w:t>9</w:t>
      </w:r>
      <w:r w:rsidR="0075154C" w:rsidRPr="0075154C">
        <w:rPr>
          <w:rFonts w:ascii="Times New Roman" w:hAnsi="Times New Roman" w:cs="Times New Roman"/>
          <w:sz w:val="28"/>
          <w:szCs w:val="28"/>
        </w:rPr>
        <w:t>].</w:t>
      </w:r>
    </w:p>
    <w:p w:rsidR="00AD2D31" w:rsidRPr="00327FFB" w:rsidRDefault="00AD2D31" w:rsidP="006846C3">
      <w:pPr>
        <w:pStyle w:val="4"/>
        <w:jc w:val="both"/>
      </w:pPr>
      <w:r w:rsidRPr="00327FFB">
        <w:t>3.3</w:t>
      </w:r>
      <w:r>
        <w:t>.2</w:t>
      </w:r>
      <w:r w:rsidRPr="00327FFB">
        <w:t xml:space="preserve"> Вклад патологии пародонта в системное воспаление</w:t>
      </w:r>
    </w:p>
    <w:p w:rsidR="00AD2D31" w:rsidRPr="00527FC3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При хронических заболеваниях пародонта, таких как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пародонтит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>, в воспалительный процесс вовлечен значительный объем тканей. Вырабатываемые в очаге воспаления биологически активные вещества, поступая в кровоток, выз</w:t>
      </w:r>
      <w:r w:rsidR="00527FC3">
        <w:rPr>
          <w:rFonts w:ascii="Times New Roman" w:hAnsi="Times New Roman" w:cs="Times New Roman"/>
          <w:sz w:val="28"/>
          <w:szCs w:val="28"/>
        </w:rPr>
        <w:t>ывают системный иммунный ответ</w:t>
      </w:r>
      <w:r w:rsidR="00527FC3" w:rsidRPr="00527FC3">
        <w:rPr>
          <w:rFonts w:ascii="Times New Roman" w:hAnsi="Times New Roman" w:cs="Times New Roman"/>
          <w:sz w:val="28"/>
          <w:szCs w:val="28"/>
        </w:rPr>
        <w:t xml:space="preserve"> [</w:t>
      </w:r>
      <w:r w:rsidR="00741D6A" w:rsidRPr="00527FC3">
        <w:rPr>
          <w:rFonts w:ascii="Times New Roman" w:hAnsi="Times New Roman" w:cs="Times New Roman"/>
          <w:sz w:val="28"/>
          <w:szCs w:val="28"/>
        </w:rPr>
        <w:t>13</w:t>
      </w:r>
      <w:r w:rsidR="00527FC3" w:rsidRPr="00527FC3">
        <w:rPr>
          <w:rFonts w:ascii="Times New Roman" w:hAnsi="Times New Roman" w:cs="Times New Roman"/>
          <w:sz w:val="28"/>
          <w:szCs w:val="28"/>
        </w:rPr>
        <w:t>].</w:t>
      </w:r>
    </w:p>
    <w:p w:rsidR="00AD2D31" w:rsidRPr="00327FFB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В сыворотке крови больных </w:t>
      </w:r>
      <w:proofErr w:type="gramStart"/>
      <w:r w:rsidRPr="00327FFB">
        <w:rPr>
          <w:rFonts w:ascii="Times New Roman" w:hAnsi="Times New Roman" w:cs="Times New Roman"/>
          <w:sz w:val="28"/>
          <w:szCs w:val="28"/>
        </w:rPr>
        <w:t>агрессивным</w:t>
      </w:r>
      <w:proofErr w:type="gramEnd"/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пародонтитом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, не имеющих в анамнезе хронических соматических заболеваний, выше концентрация маркеров острой фазы воспаления и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, уровень противовоспалительных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медаторов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, в свою очередь, снижен </w:t>
      </w:r>
      <w:r w:rsidR="00527FC3" w:rsidRPr="00527FC3">
        <w:rPr>
          <w:rFonts w:ascii="Times New Roman" w:hAnsi="Times New Roman" w:cs="Times New Roman"/>
          <w:sz w:val="28"/>
          <w:szCs w:val="28"/>
        </w:rPr>
        <w:t>[</w:t>
      </w:r>
      <w:r w:rsidRPr="00527FC3">
        <w:rPr>
          <w:rFonts w:ascii="Times New Roman" w:hAnsi="Times New Roman" w:cs="Times New Roman"/>
          <w:sz w:val="28"/>
          <w:szCs w:val="28"/>
        </w:rPr>
        <w:t>3</w:t>
      </w:r>
      <w:r w:rsidR="00741D6A" w:rsidRPr="00527FC3">
        <w:rPr>
          <w:rFonts w:ascii="Times New Roman" w:hAnsi="Times New Roman" w:cs="Times New Roman"/>
          <w:sz w:val="28"/>
          <w:szCs w:val="28"/>
        </w:rPr>
        <w:t>5</w:t>
      </w:r>
      <w:r w:rsidR="00527FC3" w:rsidRPr="00527FC3">
        <w:rPr>
          <w:rFonts w:ascii="Times New Roman" w:hAnsi="Times New Roman" w:cs="Times New Roman"/>
          <w:sz w:val="28"/>
          <w:szCs w:val="28"/>
        </w:rPr>
        <w:t>]</w:t>
      </w:r>
      <w:r w:rsidRPr="00327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D31" w:rsidRPr="00327FFB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Например, известно, что у пациентов с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пародонтитом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в периферической крови достоверно повышено содержание фактора некроза опухоли и интерлейкина-10 и 6 </w:t>
      </w:r>
      <w:r w:rsidR="00527FC3" w:rsidRPr="00527FC3">
        <w:rPr>
          <w:rFonts w:ascii="Times New Roman" w:hAnsi="Times New Roman" w:cs="Times New Roman"/>
          <w:sz w:val="28"/>
          <w:szCs w:val="28"/>
        </w:rPr>
        <w:t>[</w:t>
      </w:r>
      <w:r w:rsidR="00741D6A" w:rsidRPr="00527FC3">
        <w:rPr>
          <w:rFonts w:ascii="Times New Roman" w:hAnsi="Times New Roman" w:cs="Times New Roman"/>
          <w:sz w:val="28"/>
          <w:szCs w:val="28"/>
        </w:rPr>
        <w:t>36</w:t>
      </w:r>
      <w:r w:rsidR="00527FC3" w:rsidRPr="00527FC3">
        <w:rPr>
          <w:rFonts w:ascii="Times New Roman" w:hAnsi="Times New Roman" w:cs="Times New Roman"/>
          <w:sz w:val="28"/>
          <w:szCs w:val="28"/>
        </w:rPr>
        <w:t xml:space="preserve">, </w:t>
      </w:r>
      <w:r w:rsidR="00741D6A" w:rsidRPr="00527FC3">
        <w:rPr>
          <w:rFonts w:ascii="Times New Roman" w:hAnsi="Times New Roman" w:cs="Times New Roman"/>
          <w:sz w:val="28"/>
          <w:szCs w:val="28"/>
        </w:rPr>
        <w:t>17</w:t>
      </w:r>
      <w:r w:rsidR="00527FC3" w:rsidRPr="00527FC3">
        <w:rPr>
          <w:rFonts w:ascii="Times New Roman" w:hAnsi="Times New Roman" w:cs="Times New Roman"/>
          <w:sz w:val="28"/>
          <w:szCs w:val="28"/>
        </w:rPr>
        <w:t>]</w:t>
      </w:r>
      <w:r w:rsidRPr="00327FFB">
        <w:rPr>
          <w:rFonts w:ascii="Times New Roman" w:hAnsi="Times New Roman" w:cs="Times New Roman"/>
          <w:sz w:val="28"/>
          <w:szCs w:val="28"/>
        </w:rPr>
        <w:t xml:space="preserve">, являющихся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провоспалительными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цитокинами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>.</w:t>
      </w:r>
    </w:p>
    <w:p w:rsidR="00AD2D31" w:rsidRPr="00327FFB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lastRenderedPageBreak/>
        <w:t xml:space="preserve">Также маркерами системного воспаления являются повышение скорости оседания эритроцитов (СОЭ) и содержание </w:t>
      </w:r>
      <w:proofErr w:type="spellStart"/>
      <w:proofErr w:type="gramStart"/>
      <w:r w:rsidRPr="00327FFB">
        <w:rPr>
          <w:rFonts w:ascii="Times New Roman" w:hAnsi="Times New Roman" w:cs="Times New Roman"/>
          <w:sz w:val="28"/>
          <w:szCs w:val="28"/>
        </w:rPr>
        <w:t>С-реактивного</w:t>
      </w:r>
      <w:proofErr w:type="spellEnd"/>
      <w:proofErr w:type="gramEnd"/>
      <w:r w:rsidRPr="00327FFB">
        <w:rPr>
          <w:rFonts w:ascii="Times New Roman" w:hAnsi="Times New Roman" w:cs="Times New Roman"/>
          <w:sz w:val="28"/>
          <w:szCs w:val="28"/>
        </w:rPr>
        <w:t xml:space="preserve"> белка (СРБ) в периферической крови, наблюдаемое у пациентов с воспалительными заболеваниями пародонта средней и тяжелой степени </w:t>
      </w:r>
      <w:r w:rsidR="00527FC3" w:rsidRPr="00527FC3">
        <w:rPr>
          <w:rFonts w:ascii="Times New Roman" w:hAnsi="Times New Roman" w:cs="Times New Roman"/>
          <w:sz w:val="28"/>
          <w:szCs w:val="28"/>
        </w:rPr>
        <w:t>[</w:t>
      </w:r>
      <w:r w:rsidR="00741D6A" w:rsidRPr="00527FC3">
        <w:rPr>
          <w:rFonts w:ascii="Times New Roman" w:hAnsi="Times New Roman" w:cs="Times New Roman"/>
          <w:sz w:val="28"/>
          <w:szCs w:val="28"/>
        </w:rPr>
        <w:t>17</w:t>
      </w:r>
      <w:r w:rsidRPr="00527FC3">
        <w:rPr>
          <w:rFonts w:ascii="Times New Roman" w:hAnsi="Times New Roman" w:cs="Times New Roman"/>
          <w:sz w:val="28"/>
          <w:szCs w:val="28"/>
        </w:rPr>
        <w:t>, 3</w:t>
      </w:r>
      <w:r w:rsidR="00741D6A" w:rsidRPr="00527FC3">
        <w:rPr>
          <w:rFonts w:ascii="Times New Roman" w:hAnsi="Times New Roman" w:cs="Times New Roman"/>
          <w:sz w:val="28"/>
          <w:szCs w:val="28"/>
        </w:rPr>
        <w:t>0</w:t>
      </w:r>
      <w:r w:rsidR="00527FC3" w:rsidRPr="00527FC3">
        <w:rPr>
          <w:rFonts w:ascii="Times New Roman" w:hAnsi="Times New Roman" w:cs="Times New Roman"/>
          <w:sz w:val="28"/>
          <w:szCs w:val="28"/>
        </w:rPr>
        <w:t>]</w:t>
      </w:r>
      <w:r w:rsidRPr="00327FFB">
        <w:rPr>
          <w:rFonts w:ascii="Times New Roman" w:hAnsi="Times New Roman" w:cs="Times New Roman"/>
          <w:sz w:val="28"/>
          <w:szCs w:val="28"/>
        </w:rPr>
        <w:t>.</w:t>
      </w:r>
    </w:p>
    <w:p w:rsidR="00AD2D31" w:rsidRPr="00327FFB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FB">
        <w:rPr>
          <w:rFonts w:ascii="Times New Roman" w:hAnsi="Times New Roman" w:cs="Times New Roman"/>
          <w:sz w:val="28"/>
          <w:szCs w:val="28"/>
        </w:rPr>
        <w:t>Матриксная</w:t>
      </w:r>
      <w:proofErr w:type="gramEnd"/>
      <w:r w:rsidRPr="00327FFB">
        <w:rPr>
          <w:rFonts w:ascii="Times New Roman" w:hAnsi="Times New Roman" w:cs="Times New Roman"/>
          <w:sz w:val="28"/>
          <w:szCs w:val="28"/>
        </w:rPr>
        <w:t xml:space="preserve"> металлопротеиназа-9 (ММП-9) и тканевый ингибитор матриксной металлопротеиназы-1 (ТИММП-1) считаются предикторами сердечнососудистых заболеваний, их повышенный уровень также зарегистрирован в плазме крови больных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пародонтитом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r w:rsidR="00527FC3" w:rsidRPr="00527FC3">
        <w:rPr>
          <w:rFonts w:ascii="Times New Roman" w:hAnsi="Times New Roman" w:cs="Times New Roman"/>
          <w:sz w:val="28"/>
          <w:szCs w:val="28"/>
        </w:rPr>
        <w:t>[</w:t>
      </w:r>
      <w:r w:rsidR="00741D6A" w:rsidRPr="00527FC3">
        <w:rPr>
          <w:rFonts w:ascii="Times New Roman" w:hAnsi="Times New Roman" w:cs="Times New Roman"/>
          <w:sz w:val="28"/>
          <w:szCs w:val="28"/>
        </w:rPr>
        <w:t>26</w:t>
      </w:r>
      <w:r w:rsidR="00527FC3" w:rsidRPr="00527FC3">
        <w:rPr>
          <w:rFonts w:ascii="Times New Roman" w:hAnsi="Times New Roman" w:cs="Times New Roman"/>
          <w:sz w:val="28"/>
          <w:szCs w:val="28"/>
        </w:rPr>
        <w:t>]</w:t>
      </w:r>
      <w:r w:rsidRPr="00527FC3">
        <w:rPr>
          <w:rFonts w:ascii="Times New Roman" w:hAnsi="Times New Roman" w:cs="Times New Roman"/>
          <w:sz w:val="28"/>
          <w:szCs w:val="28"/>
        </w:rPr>
        <w:t>.</w:t>
      </w:r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31" w:rsidRPr="00327FFB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 xml:space="preserve">Косвенным доказательством того, что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пародонтит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действительно негативно влияет на состояние </w:t>
      </w:r>
      <w:proofErr w:type="spellStart"/>
      <w:proofErr w:type="gramStart"/>
      <w:r w:rsidRPr="00327FF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327FFB">
        <w:rPr>
          <w:rFonts w:ascii="Times New Roman" w:hAnsi="Times New Roman" w:cs="Times New Roman"/>
          <w:sz w:val="28"/>
          <w:szCs w:val="28"/>
        </w:rPr>
        <w:t xml:space="preserve"> системы, могут служить исследования, которые показывают улучшение функций эндотелия, снижение артериального давления и концентрации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в периферической крови у пациентов, получающих активное </w:t>
      </w:r>
      <w:proofErr w:type="spellStart"/>
      <w:r w:rsidRPr="00327FFB">
        <w:rPr>
          <w:rFonts w:ascii="Times New Roman" w:hAnsi="Times New Roman" w:cs="Times New Roman"/>
          <w:sz w:val="28"/>
          <w:szCs w:val="28"/>
        </w:rPr>
        <w:t>пародонтологическое</w:t>
      </w:r>
      <w:proofErr w:type="spellEnd"/>
      <w:r w:rsidRPr="00327FFB">
        <w:rPr>
          <w:rFonts w:ascii="Times New Roman" w:hAnsi="Times New Roman" w:cs="Times New Roman"/>
          <w:sz w:val="28"/>
          <w:szCs w:val="28"/>
        </w:rPr>
        <w:t xml:space="preserve"> лечение </w:t>
      </w:r>
      <w:r w:rsidR="00527FC3" w:rsidRPr="00527FC3">
        <w:rPr>
          <w:rFonts w:ascii="Times New Roman" w:hAnsi="Times New Roman" w:cs="Times New Roman"/>
          <w:sz w:val="28"/>
          <w:szCs w:val="28"/>
        </w:rPr>
        <w:t>[</w:t>
      </w:r>
      <w:r w:rsidRPr="00527FC3">
        <w:rPr>
          <w:rFonts w:ascii="Times New Roman" w:hAnsi="Times New Roman" w:cs="Times New Roman"/>
          <w:sz w:val="28"/>
          <w:szCs w:val="28"/>
        </w:rPr>
        <w:t>3</w:t>
      </w:r>
      <w:r w:rsidR="00741D6A" w:rsidRPr="00527FC3">
        <w:rPr>
          <w:rFonts w:ascii="Times New Roman" w:hAnsi="Times New Roman" w:cs="Times New Roman"/>
          <w:sz w:val="28"/>
          <w:szCs w:val="28"/>
        </w:rPr>
        <w:t>9</w:t>
      </w:r>
      <w:r w:rsidR="00527FC3" w:rsidRPr="00527FC3">
        <w:rPr>
          <w:rFonts w:ascii="Times New Roman" w:hAnsi="Times New Roman" w:cs="Times New Roman"/>
          <w:sz w:val="28"/>
          <w:szCs w:val="28"/>
        </w:rPr>
        <w:t>]</w:t>
      </w:r>
      <w:r w:rsidRPr="00327FFB">
        <w:rPr>
          <w:rFonts w:ascii="Times New Roman" w:hAnsi="Times New Roman" w:cs="Times New Roman"/>
          <w:sz w:val="28"/>
          <w:szCs w:val="28"/>
        </w:rPr>
        <w:t>.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FB">
        <w:rPr>
          <w:rFonts w:ascii="Times New Roman" w:hAnsi="Times New Roman" w:cs="Times New Roman"/>
          <w:sz w:val="28"/>
          <w:szCs w:val="28"/>
        </w:rPr>
        <w:t>Учитывая вышесказанное, хронический очаг инфекции, существующий у больных с воспалительными заболеваниями пародонта, можно рассматривать как фактор риска возникновения или прогрессирования артериальной гипертензии и других сердечнососудистых заболеваний</w:t>
      </w:r>
      <w:r w:rsidR="00527FC3" w:rsidRPr="00527FC3">
        <w:rPr>
          <w:rFonts w:ascii="Times New Roman" w:hAnsi="Times New Roman" w:cs="Times New Roman"/>
          <w:sz w:val="28"/>
          <w:szCs w:val="28"/>
        </w:rPr>
        <w:t xml:space="preserve"> [</w:t>
      </w:r>
      <w:r w:rsidR="00741D6A">
        <w:rPr>
          <w:rFonts w:ascii="Times New Roman" w:hAnsi="Times New Roman" w:cs="Times New Roman"/>
          <w:sz w:val="28"/>
          <w:szCs w:val="28"/>
        </w:rPr>
        <w:t>21</w:t>
      </w:r>
      <w:r w:rsidR="00527FC3" w:rsidRPr="00527FC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D31" w:rsidRDefault="00AD2D31" w:rsidP="006846C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2D31" w:rsidRDefault="00AD2D31" w:rsidP="00202908">
      <w:pPr>
        <w:pStyle w:val="1"/>
      </w:pPr>
      <w:bookmarkStart w:id="17" w:name="_Toc102234758"/>
      <w:r w:rsidRPr="00CD1E02">
        <w:lastRenderedPageBreak/>
        <w:t>Глава</w:t>
      </w:r>
      <w:r>
        <w:t xml:space="preserve"> </w:t>
      </w:r>
      <w:r w:rsidRPr="00CD1E02">
        <w:t xml:space="preserve">2. </w:t>
      </w:r>
      <w:r>
        <w:t>МАТЕРИАЛЫ И МЕТОДЫ ИССЛЕДОВАНИЯ</w:t>
      </w:r>
      <w:bookmarkEnd w:id="17"/>
    </w:p>
    <w:p w:rsidR="00AD2D31" w:rsidRPr="00CD1E02" w:rsidRDefault="00AD2D31" w:rsidP="006846C3">
      <w:pPr>
        <w:pStyle w:val="2"/>
        <w:jc w:val="both"/>
      </w:pPr>
      <w:bookmarkStart w:id="18" w:name="_Toc102234759"/>
      <w:r w:rsidRPr="00CD1E02">
        <w:t>2.1 Характер</w:t>
      </w:r>
      <w:r>
        <w:t>истика обследованных пациентов</w:t>
      </w:r>
      <w:bookmarkEnd w:id="18"/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проводилось на базе стоматологического отделения «МНЦ ИЭМ». В качестве объекта исследования были выбраны пациенты, страдающие артериальной гипертензией разной степени тяжести. 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обследованы 46 пациентов, из них 36 относились к основной группе, а 10 к контрольной. Средний возраст пациентов – </w:t>
      </w:r>
      <w:r w:rsidRPr="003F639C">
        <w:rPr>
          <w:rFonts w:ascii="Times New Roman" w:hAnsi="Times New Roman" w:cs="Times New Roman"/>
          <w:sz w:val="28"/>
          <w:szCs w:val="28"/>
        </w:rPr>
        <w:t>54,35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основную группу отбирались пациенты с артериальной гипертензией различной степени тяжести.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контрольную группу входили пациенты, не страдающие артериальной гипертензией.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критерием для обеих групп было отсутствие в анамнезе:</w:t>
      </w:r>
    </w:p>
    <w:p w:rsidR="00AD2D31" w:rsidRPr="00F74F8E" w:rsidRDefault="00AD2D31" w:rsidP="006846C3">
      <w:pPr>
        <w:pStyle w:val="a7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F8E">
        <w:rPr>
          <w:rFonts w:ascii="Times New Roman" w:hAnsi="Times New Roman" w:cs="Times New Roman"/>
          <w:sz w:val="28"/>
          <w:szCs w:val="28"/>
        </w:rPr>
        <w:t>сахарного диабета 1 и 2 типа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2D31" w:rsidRPr="00F74F8E" w:rsidRDefault="00AD2D31" w:rsidP="006846C3">
      <w:pPr>
        <w:pStyle w:val="a7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F8E">
        <w:rPr>
          <w:rFonts w:ascii="Times New Roman" w:hAnsi="Times New Roman" w:cs="Times New Roman"/>
          <w:sz w:val="28"/>
          <w:szCs w:val="28"/>
        </w:rPr>
        <w:t xml:space="preserve">хронической почечной </w:t>
      </w:r>
      <w:r>
        <w:rPr>
          <w:rFonts w:ascii="Times New Roman" w:hAnsi="Times New Roman" w:cs="Times New Roman"/>
          <w:sz w:val="28"/>
          <w:szCs w:val="28"/>
        </w:rPr>
        <w:t xml:space="preserve">и сердечной </w:t>
      </w:r>
      <w:r w:rsidRPr="00F74F8E">
        <w:rPr>
          <w:rFonts w:ascii="Times New Roman" w:hAnsi="Times New Roman" w:cs="Times New Roman"/>
          <w:sz w:val="28"/>
          <w:szCs w:val="28"/>
        </w:rPr>
        <w:t>недостаточности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Pr="00F74F8E" w:rsidRDefault="00AD2D31" w:rsidP="006846C3">
      <w:pPr>
        <w:pStyle w:val="a7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F8E">
        <w:rPr>
          <w:rFonts w:ascii="Times New Roman" w:hAnsi="Times New Roman" w:cs="Times New Roman"/>
          <w:sz w:val="28"/>
          <w:szCs w:val="28"/>
        </w:rPr>
        <w:t>ВИЧ-инфекции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2D31" w:rsidRPr="00F74F8E" w:rsidRDefault="00AD2D31" w:rsidP="006846C3">
      <w:pPr>
        <w:pStyle w:val="a7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F8E">
        <w:rPr>
          <w:rFonts w:ascii="Times New Roman" w:hAnsi="Times New Roman" w:cs="Times New Roman"/>
          <w:sz w:val="28"/>
          <w:szCs w:val="28"/>
        </w:rPr>
        <w:t>дыхательной недостаточности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2D31" w:rsidRDefault="00AD2D31" w:rsidP="006846C3">
      <w:pPr>
        <w:pStyle w:val="a7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F8E">
        <w:rPr>
          <w:rFonts w:ascii="Times New Roman" w:hAnsi="Times New Roman" w:cs="Times New Roman"/>
          <w:sz w:val="28"/>
          <w:szCs w:val="28"/>
        </w:rPr>
        <w:t>онкологических заболеваний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2D31" w:rsidRDefault="00AD2D31" w:rsidP="006846C3">
      <w:pPr>
        <w:pStyle w:val="a7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эпилепсии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2D31" w:rsidRDefault="00AD2D31" w:rsidP="006846C3">
      <w:pPr>
        <w:pStyle w:val="a7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системного приема антибиотиков или противовоспалительных препаратов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процессе исследования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Default="00AD2D31" w:rsidP="006846C3">
      <w:pPr>
        <w:pStyle w:val="a7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препаратов, способных повлиять на состояние пародонта</w:t>
      </w:r>
      <w:r w:rsidRPr="00757AC6">
        <w:rPr>
          <w:rFonts w:ascii="Times New Roman" w:hAnsi="Times New Roman" w:cs="Times New Roman"/>
          <w:sz w:val="28"/>
          <w:szCs w:val="28"/>
        </w:rPr>
        <w:t>.</w:t>
      </w:r>
    </w:p>
    <w:p w:rsidR="00AD2D31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основной группы:</w:t>
      </w:r>
    </w:p>
    <w:p w:rsidR="00AD2D31" w:rsidRPr="000E616E" w:rsidRDefault="00AD2D31" w:rsidP="006846C3">
      <w:pPr>
        <w:pStyle w:val="a7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6E">
        <w:rPr>
          <w:rFonts w:ascii="Times New Roman" w:hAnsi="Times New Roman" w:cs="Times New Roman"/>
          <w:sz w:val="28"/>
          <w:szCs w:val="28"/>
        </w:rPr>
        <w:t xml:space="preserve">подгруппа 1 – 11 пациентов с ГБ </w:t>
      </w:r>
      <w:r w:rsidRPr="000E61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616E">
        <w:rPr>
          <w:rFonts w:ascii="Times New Roman" w:hAnsi="Times New Roman" w:cs="Times New Roman"/>
          <w:sz w:val="28"/>
          <w:szCs w:val="28"/>
        </w:rPr>
        <w:t xml:space="preserve"> степени тяжести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Pr="000E616E" w:rsidRDefault="00AD2D31" w:rsidP="006846C3">
      <w:pPr>
        <w:pStyle w:val="a7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6E">
        <w:rPr>
          <w:rFonts w:ascii="Times New Roman" w:hAnsi="Times New Roman" w:cs="Times New Roman"/>
          <w:sz w:val="28"/>
          <w:szCs w:val="28"/>
        </w:rPr>
        <w:t>подгруппа 2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616E">
        <w:rPr>
          <w:rFonts w:ascii="Times New Roman" w:hAnsi="Times New Roman" w:cs="Times New Roman"/>
          <w:sz w:val="28"/>
          <w:szCs w:val="28"/>
        </w:rPr>
        <w:t xml:space="preserve"> пациентов с ГБ </w:t>
      </w:r>
      <w:r w:rsidRPr="000E61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616E">
        <w:rPr>
          <w:rFonts w:ascii="Times New Roman" w:hAnsi="Times New Roman" w:cs="Times New Roman"/>
          <w:sz w:val="28"/>
          <w:szCs w:val="28"/>
        </w:rPr>
        <w:t xml:space="preserve"> степени тяжести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Pr="005E0A26" w:rsidRDefault="00AD2D31" w:rsidP="005E0A26">
      <w:pPr>
        <w:pStyle w:val="a7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6E">
        <w:rPr>
          <w:rFonts w:ascii="Times New Roman" w:hAnsi="Times New Roman" w:cs="Times New Roman"/>
          <w:sz w:val="28"/>
          <w:szCs w:val="28"/>
        </w:rPr>
        <w:t xml:space="preserve">подгруппа 3 – 9 пациентов с ГБ </w:t>
      </w:r>
      <w:r w:rsidRPr="000E61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616E">
        <w:rPr>
          <w:rFonts w:ascii="Times New Roman" w:hAnsi="Times New Roman" w:cs="Times New Roman"/>
          <w:sz w:val="28"/>
          <w:szCs w:val="28"/>
        </w:rPr>
        <w:t xml:space="preserve"> степени тяжести</w:t>
      </w:r>
      <w:r w:rsidRPr="00757AC6">
        <w:rPr>
          <w:rFonts w:ascii="Times New Roman" w:hAnsi="Times New Roman" w:cs="Times New Roman"/>
          <w:sz w:val="28"/>
          <w:szCs w:val="28"/>
        </w:rPr>
        <w:t>.</w:t>
      </w:r>
    </w:p>
    <w:p w:rsidR="00AD2D31" w:rsidRDefault="00AD2D31" w:rsidP="006846C3">
      <w:pPr>
        <w:pStyle w:val="2"/>
        <w:jc w:val="both"/>
      </w:pPr>
      <w:bookmarkStart w:id="19" w:name="_Toc102234760"/>
      <w:r w:rsidRPr="0095703F">
        <w:lastRenderedPageBreak/>
        <w:t xml:space="preserve">2.2 </w:t>
      </w:r>
      <w:r>
        <w:t>Методы обследования пациентов</w:t>
      </w:r>
      <w:bookmarkEnd w:id="19"/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состояния тканей пародонта использовались опрос и визуальное исследование, а также пальпация и зондирование десны. Были изучены наличие и свойства зубных отложений, уровень общей гигиены у пациента, наличие и характер кровоточивости десен, величина рецессий и глубина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карманов. При обследовании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карманов обращали особое внимание на экссудат - на его количество и свойства. Была проведена оценка подвижности зубов. Результаты осмотра интерпретировались с помощью различных индексов и классификаций.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дополнительного метода обследования использовалась рентгенография – прицельные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внутриротовые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снимки,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ортопантомография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компьютерная томография.</w:t>
      </w:r>
    </w:p>
    <w:p w:rsidR="00AD2D31" w:rsidRDefault="00AD2D31" w:rsidP="006846C3">
      <w:pPr>
        <w:pStyle w:val="3"/>
        <w:jc w:val="both"/>
      </w:pPr>
      <w:bookmarkStart w:id="20" w:name="_Toc102234761"/>
      <w:r w:rsidRPr="003E3793">
        <w:t>2.2.1 Опрос</w:t>
      </w:r>
      <w:bookmarkEnd w:id="20"/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опроса определялись основные жалобы пациента и их характер (давность, обстоятельства обострения и улучшения, постоянство), особое внимание было уделено жалобам, связанным с состоянием пародонта, – кровоточивости, болезненности при чистке и жевании, убыли тканей десны и оголению шеек зубов, гиперестезии зубов, неприятному запаху изо рта и прочим. </w:t>
      </w:r>
    </w:p>
    <w:p w:rsidR="00AD2D31" w:rsidRPr="00490102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выяснены детали анамнеза заболеваний сердца – давность появления и степень тяжести гипертонической болезни, семейный анамнез по данному заболеванию, проведенное ранее и текущее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результаты – стойкое или временное улучшение, усугубление симптомов или течение без изменений.</w:t>
      </w:r>
    </w:p>
    <w:p w:rsidR="00AD2D31" w:rsidRDefault="00AD2D31" w:rsidP="006846C3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2D31" w:rsidRPr="003E3793" w:rsidRDefault="00AD2D31" w:rsidP="006846C3">
      <w:pPr>
        <w:pStyle w:val="3"/>
        <w:jc w:val="both"/>
      </w:pPr>
      <w:bookmarkStart w:id="21" w:name="_Toc102234762"/>
      <w:r>
        <w:lastRenderedPageBreak/>
        <w:t>2.2.2 Осмотр</w:t>
      </w:r>
      <w:bookmarkEnd w:id="21"/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осмотре были обследованы зубные ряды пациентов, записана зубная формула, определен тип прикуса. 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исследовании пародонта обращали внимание на наличие зубного налета, цвет десен и межзубных сосочков, степень их отечности, состояние и расположение естественных тяжей слизистой оболочки полости рта.</w:t>
      </w:r>
    </w:p>
    <w:p w:rsidR="00AD2D31" w:rsidRPr="005467E8" w:rsidRDefault="00AD2D31" w:rsidP="006846C3">
      <w:pPr>
        <w:pStyle w:val="3"/>
        <w:jc w:val="both"/>
      </w:pPr>
      <w:bookmarkStart w:id="22" w:name="_Toc102234763"/>
      <w:r>
        <w:t>2.2.3 Определение и</w:t>
      </w:r>
      <w:r w:rsidRPr="005467E8">
        <w:t>ндекс</w:t>
      </w:r>
      <w:r>
        <w:t>а</w:t>
      </w:r>
      <w:r w:rsidRPr="005467E8">
        <w:t xml:space="preserve"> </w:t>
      </w:r>
      <w:proofErr w:type="spellStart"/>
      <w:r w:rsidRPr="005467E8">
        <w:t>Грина-Вермиллиона</w:t>
      </w:r>
      <w:proofErr w:type="spellEnd"/>
      <w:r>
        <w:t xml:space="preserve"> </w:t>
      </w:r>
      <w:r w:rsidRPr="009A0B42">
        <w:t>(OHI-S)</w:t>
      </w:r>
      <w:bookmarkEnd w:id="22"/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Упрощенный индекс гигиены (УИГ) </w:t>
      </w:r>
      <w:r>
        <w:rPr>
          <w:rFonts w:ascii="Times New Roman" w:hAnsi="Times New Roman" w:cs="Times New Roman"/>
          <w:sz w:val="28"/>
          <w:szCs w:val="28"/>
          <w:lang w:val="en-US"/>
        </w:rPr>
        <w:t>Greene</w:t>
      </w:r>
      <w:r w:rsidRPr="00E84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Wermillion</w:t>
      </w:r>
      <w:proofErr w:type="spellEnd"/>
      <w:r w:rsidRPr="00E84077">
        <w:rPr>
          <w:rFonts w:ascii="Times New Roman" w:hAnsi="Times New Roman" w:cs="Times New Roman"/>
          <w:sz w:val="28"/>
          <w:szCs w:val="28"/>
        </w:rPr>
        <w:t xml:space="preserve"> (1964)</w:t>
      </w:r>
      <w:r>
        <w:rPr>
          <w:rFonts w:ascii="Times New Roman" w:hAnsi="Times New Roman" w:cs="Times New Roman"/>
          <w:sz w:val="28"/>
          <w:szCs w:val="28"/>
        </w:rPr>
        <w:t>. Индекс позволяет определить количественные показатели налета и зубного камня.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Зондом исследуются вестибулярные поверхности 11, 16, 26, 31 и язычные поверхности 36, 46 зубов. </w:t>
      </w:r>
    </w:p>
    <w:p w:rsidR="00AD2D31" w:rsidRPr="005467E8" w:rsidRDefault="00AD2D31" w:rsidP="00684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 зубного налета (ИЗН)</w:t>
      </w:r>
    </w:p>
    <w:p w:rsidR="00AD2D31" w:rsidRPr="005E0A26" w:rsidRDefault="00AD2D31" w:rsidP="005E0A26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0 – налета нет;</w:t>
      </w:r>
    </w:p>
    <w:p w:rsidR="00AD2D31" w:rsidRPr="005E0A26" w:rsidRDefault="00AD2D31" w:rsidP="005E0A26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1 – налет покрывает не более 1</w:t>
      </w:r>
      <w:r w:rsidR="00190CA2" w:rsidRPr="00190CA2">
        <w:rPr>
          <w:rFonts w:ascii="Times New Roman" w:hAnsi="Times New Roman" w:cs="Times New Roman"/>
          <w:sz w:val="28"/>
          <w:szCs w:val="28"/>
        </w:rPr>
        <w:t>/</w:t>
      </w:r>
      <w:r w:rsidRPr="005E0A26">
        <w:rPr>
          <w:rFonts w:ascii="Times New Roman" w:hAnsi="Times New Roman" w:cs="Times New Roman"/>
          <w:sz w:val="28"/>
          <w:szCs w:val="28"/>
        </w:rPr>
        <w:t>3 поверхности зуба;</w:t>
      </w:r>
    </w:p>
    <w:p w:rsidR="00AD2D31" w:rsidRPr="005E0A26" w:rsidRDefault="00AD2D31" w:rsidP="005E0A26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2 – налет покрывает до 2</w:t>
      </w:r>
      <w:r w:rsidR="00190CA2" w:rsidRPr="00190CA2">
        <w:rPr>
          <w:rFonts w:ascii="Times New Roman" w:hAnsi="Times New Roman" w:cs="Times New Roman"/>
          <w:sz w:val="28"/>
          <w:szCs w:val="28"/>
        </w:rPr>
        <w:t>/</w:t>
      </w:r>
      <w:r w:rsidRPr="005E0A26">
        <w:rPr>
          <w:rFonts w:ascii="Times New Roman" w:hAnsi="Times New Roman" w:cs="Times New Roman"/>
          <w:sz w:val="28"/>
          <w:szCs w:val="28"/>
        </w:rPr>
        <w:t>3 поверхности зуба;</w:t>
      </w:r>
    </w:p>
    <w:p w:rsidR="00AD2D31" w:rsidRPr="005E0A26" w:rsidRDefault="00AD2D31" w:rsidP="005E0A26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3 – налет покрывает более 2</w:t>
      </w:r>
      <w:r w:rsidR="00190CA2" w:rsidRPr="00190CA2">
        <w:rPr>
          <w:rFonts w:ascii="Times New Roman" w:hAnsi="Times New Roman" w:cs="Times New Roman"/>
          <w:sz w:val="28"/>
          <w:szCs w:val="28"/>
        </w:rPr>
        <w:t>/</w:t>
      </w:r>
      <w:r w:rsidRPr="005E0A26">
        <w:rPr>
          <w:rFonts w:ascii="Times New Roman" w:hAnsi="Times New Roman" w:cs="Times New Roman"/>
          <w:sz w:val="28"/>
          <w:szCs w:val="28"/>
        </w:rPr>
        <w:t>3 поверхности зуба.</w:t>
      </w:r>
    </w:p>
    <w:p w:rsidR="00AD2D31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 = сумма показателей каждого исследуемого зуба </w:t>
      </w:r>
      <w:r w:rsidR="00190CA2" w:rsidRPr="00190C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D2D31" w:rsidRPr="005467E8" w:rsidRDefault="00AD2D31" w:rsidP="00684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7E8">
        <w:rPr>
          <w:rFonts w:ascii="Times New Roman" w:hAnsi="Times New Roman" w:cs="Times New Roman"/>
          <w:b/>
          <w:sz w:val="28"/>
          <w:szCs w:val="28"/>
        </w:rPr>
        <w:t>Индекс зубного камня (ИЗК)</w:t>
      </w:r>
    </w:p>
    <w:p w:rsidR="00AD2D31" w:rsidRPr="005E0A26" w:rsidRDefault="00AD2D31" w:rsidP="005E0A26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0 – камня нет;</w:t>
      </w:r>
    </w:p>
    <w:p w:rsidR="00AD2D31" w:rsidRPr="005E0A26" w:rsidRDefault="00AD2D31" w:rsidP="005E0A26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5E0A26">
        <w:rPr>
          <w:rFonts w:ascii="Times New Roman" w:hAnsi="Times New Roman" w:cs="Times New Roman"/>
          <w:sz w:val="28"/>
          <w:szCs w:val="28"/>
        </w:rPr>
        <w:t>наддесневой</w:t>
      </w:r>
      <w:proofErr w:type="spellEnd"/>
      <w:r w:rsidRPr="005E0A26">
        <w:rPr>
          <w:rFonts w:ascii="Times New Roman" w:hAnsi="Times New Roman" w:cs="Times New Roman"/>
          <w:sz w:val="28"/>
          <w:szCs w:val="28"/>
        </w:rPr>
        <w:t xml:space="preserve"> зубной камень на 1</w:t>
      </w:r>
      <w:r w:rsidR="00190CA2" w:rsidRPr="00190CA2">
        <w:rPr>
          <w:rFonts w:ascii="Times New Roman" w:hAnsi="Times New Roman" w:cs="Times New Roman"/>
          <w:sz w:val="28"/>
          <w:szCs w:val="28"/>
        </w:rPr>
        <w:t>/</w:t>
      </w:r>
      <w:r w:rsidRPr="005E0A26">
        <w:rPr>
          <w:rFonts w:ascii="Times New Roman" w:hAnsi="Times New Roman" w:cs="Times New Roman"/>
          <w:sz w:val="28"/>
          <w:szCs w:val="28"/>
        </w:rPr>
        <w:t>3 поверхности зуба;</w:t>
      </w:r>
    </w:p>
    <w:p w:rsidR="00AD2D31" w:rsidRPr="005E0A26" w:rsidRDefault="00AD2D31" w:rsidP="005E0A26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5E0A26">
        <w:rPr>
          <w:rFonts w:ascii="Times New Roman" w:hAnsi="Times New Roman" w:cs="Times New Roman"/>
          <w:sz w:val="28"/>
          <w:szCs w:val="28"/>
        </w:rPr>
        <w:t>наддесневой</w:t>
      </w:r>
      <w:proofErr w:type="spellEnd"/>
      <w:r w:rsidRPr="005E0A26">
        <w:rPr>
          <w:rFonts w:ascii="Times New Roman" w:hAnsi="Times New Roman" w:cs="Times New Roman"/>
          <w:sz w:val="28"/>
          <w:szCs w:val="28"/>
        </w:rPr>
        <w:t xml:space="preserve"> зубной камень до 2</w:t>
      </w:r>
      <w:r w:rsidR="00190CA2" w:rsidRPr="00190CA2">
        <w:rPr>
          <w:rFonts w:ascii="Times New Roman" w:hAnsi="Times New Roman" w:cs="Times New Roman"/>
          <w:sz w:val="28"/>
          <w:szCs w:val="28"/>
        </w:rPr>
        <w:t>/</w:t>
      </w:r>
      <w:r w:rsidRPr="005E0A26">
        <w:rPr>
          <w:rFonts w:ascii="Times New Roman" w:hAnsi="Times New Roman" w:cs="Times New Roman"/>
          <w:sz w:val="28"/>
          <w:szCs w:val="28"/>
        </w:rPr>
        <w:t>3 поверхности зуба;</w:t>
      </w:r>
    </w:p>
    <w:p w:rsidR="00AD2D31" w:rsidRPr="005E0A26" w:rsidRDefault="00AD2D31" w:rsidP="005E0A26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5E0A26">
        <w:rPr>
          <w:rFonts w:ascii="Times New Roman" w:hAnsi="Times New Roman" w:cs="Times New Roman"/>
          <w:sz w:val="28"/>
          <w:szCs w:val="28"/>
        </w:rPr>
        <w:t>наддесневой</w:t>
      </w:r>
      <w:proofErr w:type="spellEnd"/>
      <w:r w:rsidRPr="005E0A26">
        <w:rPr>
          <w:rFonts w:ascii="Times New Roman" w:hAnsi="Times New Roman" w:cs="Times New Roman"/>
          <w:sz w:val="28"/>
          <w:szCs w:val="28"/>
        </w:rPr>
        <w:t xml:space="preserve"> зубной камень более 2</w:t>
      </w:r>
      <w:r w:rsidR="00190CA2" w:rsidRPr="00190CA2">
        <w:rPr>
          <w:rFonts w:ascii="Times New Roman" w:hAnsi="Times New Roman" w:cs="Times New Roman"/>
          <w:sz w:val="28"/>
          <w:szCs w:val="28"/>
        </w:rPr>
        <w:t>/</w:t>
      </w:r>
      <w:r w:rsidRPr="005E0A26">
        <w:rPr>
          <w:rFonts w:ascii="Times New Roman" w:hAnsi="Times New Roman" w:cs="Times New Roman"/>
          <w:sz w:val="28"/>
          <w:szCs w:val="28"/>
        </w:rPr>
        <w:t>3 поверхности зуба.</w:t>
      </w:r>
    </w:p>
    <w:p w:rsidR="00AD2D31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ИЗК = сумма показателей каждого исследуемого зуба </w:t>
      </w:r>
      <w:r w:rsidR="00190CA2" w:rsidRPr="00190C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D2D31" w:rsidRDefault="00AD2D31" w:rsidP="006846C3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D31" w:rsidRDefault="00AD2D31" w:rsidP="006846C3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Значения индекса</w:t>
      </w:r>
      <w:r w:rsidRPr="005467E8">
        <w:rPr>
          <w:rFonts w:ascii="Times New Roman" w:hAnsi="Times New Roman" w:cs="Times New Roman"/>
          <w:b/>
          <w:sz w:val="28"/>
          <w:szCs w:val="28"/>
        </w:rPr>
        <w:t>:</w:t>
      </w:r>
    </w:p>
    <w:p w:rsidR="00AD2D31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 + ИЗК =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ИГР-У</w:t>
      </w:r>
      <w:proofErr w:type="gramEnd"/>
    </w:p>
    <w:p w:rsidR="00AD2D31" w:rsidRPr="005E0A26" w:rsidRDefault="00AD2D31" w:rsidP="005E0A2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0 – 0,6 – хороший уровень гигиены;</w:t>
      </w:r>
    </w:p>
    <w:p w:rsidR="00AD2D31" w:rsidRPr="005E0A26" w:rsidRDefault="00AD2D31" w:rsidP="005E0A2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0,7 – 1,6 – средний уровень гигиены;</w:t>
      </w:r>
    </w:p>
    <w:p w:rsidR="00AD2D31" w:rsidRPr="005E0A26" w:rsidRDefault="00AD2D31" w:rsidP="005E0A2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1,7 – 2,5 – плохой уровень гигиены;</w:t>
      </w:r>
    </w:p>
    <w:p w:rsidR="00AD2D31" w:rsidRPr="005E0A26" w:rsidRDefault="00AD2D31" w:rsidP="005E0A2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2,6 и более – очень плохой уровень гигиены.</w:t>
      </w:r>
    </w:p>
    <w:p w:rsidR="00AD2D31" w:rsidRPr="005467E8" w:rsidRDefault="00AD2D31" w:rsidP="006846C3">
      <w:pPr>
        <w:pStyle w:val="3"/>
        <w:jc w:val="both"/>
      </w:pPr>
      <w:bookmarkStart w:id="23" w:name="_Toc102234764"/>
      <w:r w:rsidRPr="005467E8">
        <w:t>2.</w:t>
      </w:r>
      <w:r>
        <w:t>2.4 Определение</w:t>
      </w:r>
      <w:r w:rsidRPr="005467E8">
        <w:t xml:space="preserve"> </w:t>
      </w:r>
      <w:r>
        <w:t>папиллярного</w:t>
      </w:r>
      <w:r w:rsidRPr="005467E8">
        <w:t xml:space="preserve"> индекс</w:t>
      </w:r>
      <w:r>
        <w:t>а</w:t>
      </w:r>
      <w:r w:rsidRPr="005467E8">
        <w:t xml:space="preserve"> кровоточивости (</w:t>
      </w:r>
      <w:r w:rsidRPr="005467E8">
        <w:rPr>
          <w:lang w:val="en-US"/>
        </w:rPr>
        <w:t>papilla</w:t>
      </w:r>
      <w:r w:rsidRPr="005467E8">
        <w:t xml:space="preserve"> </w:t>
      </w:r>
      <w:r w:rsidRPr="005467E8">
        <w:rPr>
          <w:lang w:val="en-US"/>
        </w:rPr>
        <w:t>bleeding</w:t>
      </w:r>
      <w:r w:rsidRPr="005467E8">
        <w:t xml:space="preserve"> </w:t>
      </w:r>
      <w:r w:rsidRPr="005467E8">
        <w:rPr>
          <w:lang w:val="en-US"/>
        </w:rPr>
        <w:t>index</w:t>
      </w:r>
      <w:r w:rsidRPr="005467E8">
        <w:t xml:space="preserve">, </w:t>
      </w:r>
      <w:r w:rsidRPr="005467E8">
        <w:rPr>
          <w:lang w:val="en-US"/>
        </w:rPr>
        <w:t>PBI</w:t>
      </w:r>
      <w:r w:rsidRPr="005467E8">
        <w:t>)</w:t>
      </w:r>
      <w:bookmarkEnd w:id="23"/>
      <w:r w:rsidRPr="005467E8">
        <w:t xml:space="preserve"> 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определения данного индекса оценивается тяжесть воспаления десны. Оцениваем индекс в течение 30 секунд после зондирование межзубного промежутка:</w:t>
      </w:r>
    </w:p>
    <w:p w:rsidR="00AD2D31" w:rsidRPr="005E0A26" w:rsidRDefault="00AD2D31" w:rsidP="005E0A26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1 степень – единичное точечное кровотечение;</w:t>
      </w:r>
    </w:p>
    <w:p w:rsidR="00AD2D31" w:rsidRPr="005E0A26" w:rsidRDefault="00AD2D31" w:rsidP="005E0A26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2 степень – линейное или точечное кровотечение по краю вершины сосочка;</w:t>
      </w:r>
    </w:p>
    <w:p w:rsidR="00AD2D31" w:rsidRPr="005E0A26" w:rsidRDefault="00AD2D31" w:rsidP="005E0A26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 xml:space="preserve">3 степень – умеренное кровотечение из </w:t>
      </w:r>
      <w:proofErr w:type="spellStart"/>
      <w:r w:rsidRPr="005E0A26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5E0A26">
        <w:rPr>
          <w:rFonts w:ascii="Times New Roman" w:hAnsi="Times New Roman" w:cs="Times New Roman"/>
          <w:sz w:val="28"/>
          <w:szCs w:val="28"/>
        </w:rPr>
        <w:t xml:space="preserve"> сосочка (треугольником);</w:t>
      </w:r>
    </w:p>
    <w:p w:rsidR="00AD2D31" w:rsidRPr="005E0A26" w:rsidRDefault="00AD2D31" w:rsidP="005E0A26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 xml:space="preserve">4 степень – </w:t>
      </w:r>
      <w:proofErr w:type="spellStart"/>
      <w:r w:rsidRPr="005E0A26">
        <w:rPr>
          <w:rFonts w:ascii="Times New Roman" w:hAnsi="Times New Roman" w:cs="Times New Roman"/>
          <w:sz w:val="28"/>
          <w:szCs w:val="28"/>
        </w:rPr>
        <w:t>профузное</w:t>
      </w:r>
      <w:proofErr w:type="spellEnd"/>
      <w:r w:rsidRPr="005E0A26">
        <w:rPr>
          <w:rFonts w:ascii="Times New Roman" w:hAnsi="Times New Roman" w:cs="Times New Roman"/>
          <w:sz w:val="28"/>
          <w:szCs w:val="28"/>
        </w:rPr>
        <w:t xml:space="preserve"> кровотечение немедленно после зондирования.</w:t>
      </w:r>
    </w:p>
    <w:p w:rsidR="00AD2D31" w:rsidRPr="00FC2682" w:rsidRDefault="00AD2D31" w:rsidP="006846C3">
      <w:pPr>
        <w:pStyle w:val="3"/>
        <w:jc w:val="both"/>
      </w:pPr>
      <w:bookmarkStart w:id="24" w:name="_Toc102234765"/>
      <w:r>
        <w:t>2</w:t>
      </w:r>
      <w:r w:rsidRPr="00FC2682">
        <w:t>.</w:t>
      </w:r>
      <w:r>
        <w:t>2.5 Определение</w:t>
      </w:r>
      <w:r w:rsidRPr="00FC2682">
        <w:t xml:space="preserve"> </w:t>
      </w:r>
      <w:r>
        <w:t>па</w:t>
      </w:r>
      <w:r w:rsidRPr="00FC2682">
        <w:t>пил</w:t>
      </w:r>
      <w:r>
        <w:t>л</w:t>
      </w:r>
      <w:r w:rsidRPr="00FC2682">
        <w:t>ярно-маргинально-альвеолярн</w:t>
      </w:r>
      <w:r>
        <w:t>ого</w:t>
      </w:r>
      <w:r w:rsidRPr="00FC2682">
        <w:t xml:space="preserve"> индекс</w:t>
      </w:r>
      <w:r>
        <w:t xml:space="preserve">а </w:t>
      </w:r>
      <w:r w:rsidRPr="00FC2682">
        <w:t>гингивита (</w:t>
      </w:r>
      <w:r w:rsidRPr="00FC2682">
        <w:rPr>
          <w:lang w:val="en-US"/>
        </w:rPr>
        <w:t>PMA</w:t>
      </w:r>
      <w:r w:rsidRPr="00FC2682">
        <w:t xml:space="preserve">, </w:t>
      </w:r>
      <w:proofErr w:type="spellStart"/>
      <w:r w:rsidRPr="00FC2682">
        <w:rPr>
          <w:lang w:val="en-US"/>
        </w:rPr>
        <w:t>Massler</w:t>
      </w:r>
      <w:proofErr w:type="spellEnd"/>
      <w:r w:rsidRPr="00FC2682">
        <w:t xml:space="preserve">, </w:t>
      </w:r>
      <w:proofErr w:type="spellStart"/>
      <w:r w:rsidRPr="00FC2682">
        <w:rPr>
          <w:lang w:val="en-US"/>
        </w:rPr>
        <w:t>Shour</w:t>
      </w:r>
      <w:proofErr w:type="spellEnd"/>
      <w:r w:rsidRPr="00FC2682">
        <w:t>, 1947)</w:t>
      </w:r>
      <w:bookmarkEnd w:id="24"/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индекс также помогает оценить тяжесть воспалительного процесса в десне. Он определяется после пробы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Шилера-Писарева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(проводилась с помощью «КОЛОР-ТЕСТ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ВладМиВа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D2D31" w:rsidRPr="005E0A26" w:rsidRDefault="00AD2D31" w:rsidP="005E0A26">
      <w:pPr>
        <w:pStyle w:val="a7"/>
        <w:numPr>
          <w:ilvl w:val="0"/>
          <w:numId w:val="12"/>
        </w:numPr>
        <w:spacing w:line="360" w:lineRule="auto"/>
        <w:ind w:left="10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0 баллов – нет воспаления;</w:t>
      </w:r>
    </w:p>
    <w:p w:rsidR="00AD2D31" w:rsidRPr="005E0A26" w:rsidRDefault="00AD2D31" w:rsidP="005E0A26">
      <w:pPr>
        <w:pStyle w:val="a7"/>
        <w:numPr>
          <w:ilvl w:val="0"/>
          <w:numId w:val="12"/>
        </w:numPr>
        <w:spacing w:line="360" w:lineRule="auto"/>
        <w:ind w:left="10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lastRenderedPageBreak/>
        <w:t>1 балл – воспаление сосочка (</w:t>
      </w:r>
      <w:r w:rsidRPr="005E0A2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0A26">
        <w:rPr>
          <w:rFonts w:ascii="Times New Roman" w:hAnsi="Times New Roman" w:cs="Times New Roman"/>
          <w:sz w:val="28"/>
          <w:szCs w:val="28"/>
        </w:rPr>
        <w:t>);</w:t>
      </w:r>
    </w:p>
    <w:p w:rsidR="00AD2D31" w:rsidRPr="005E0A26" w:rsidRDefault="00AD2D31" w:rsidP="005E0A26">
      <w:pPr>
        <w:pStyle w:val="a7"/>
        <w:numPr>
          <w:ilvl w:val="0"/>
          <w:numId w:val="12"/>
        </w:numPr>
        <w:spacing w:line="360" w:lineRule="auto"/>
        <w:ind w:left="10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2 балла – воспаление сосочка (</w:t>
      </w:r>
      <w:r w:rsidRPr="005E0A2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0A26">
        <w:rPr>
          <w:rFonts w:ascii="Times New Roman" w:hAnsi="Times New Roman" w:cs="Times New Roman"/>
          <w:sz w:val="28"/>
          <w:szCs w:val="28"/>
        </w:rPr>
        <w:t>) и края десны (</w:t>
      </w:r>
      <w:r w:rsidRPr="005E0A2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0A26">
        <w:rPr>
          <w:rFonts w:ascii="Times New Roman" w:hAnsi="Times New Roman" w:cs="Times New Roman"/>
          <w:sz w:val="28"/>
          <w:szCs w:val="28"/>
        </w:rPr>
        <w:t>);</w:t>
      </w:r>
    </w:p>
    <w:p w:rsidR="00AD2D31" w:rsidRPr="005E0A26" w:rsidRDefault="00AD2D31" w:rsidP="005E0A26">
      <w:pPr>
        <w:pStyle w:val="a7"/>
        <w:numPr>
          <w:ilvl w:val="0"/>
          <w:numId w:val="12"/>
        </w:numPr>
        <w:spacing w:line="360" w:lineRule="auto"/>
        <w:ind w:left="10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3 балла – воспаление маргинальной (М) и альвеолярной десны (А).</w:t>
      </w:r>
    </w:p>
    <w:p w:rsidR="00AD2D31" w:rsidRPr="001603E6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Pr="001603E6">
        <w:rPr>
          <w:rFonts w:ascii="Times New Roman" w:hAnsi="Times New Roman" w:cs="Times New Roman"/>
          <w:sz w:val="28"/>
          <w:szCs w:val="28"/>
        </w:rPr>
        <w:t xml:space="preserve"> чтобы выразить степень воспаления десны в процентах используется модификация индекса (</w:t>
      </w:r>
      <w:proofErr w:type="spellStart"/>
      <w:r w:rsidRPr="001603E6">
        <w:rPr>
          <w:rFonts w:ascii="Times New Roman" w:hAnsi="Times New Roman" w:cs="Times New Roman"/>
          <w:sz w:val="28"/>
          <w:szCs w:val="28"/>
          <w:lang w:val="en-US"/>
        </w:rPr>
        <w:t>Pharma</w:t>
      </w:r>
      <w:proofErr w:type="spellEnd"/>
      <w:r w:rsidRPr="001603E6">
        <w:rPr>
          <w:rFonts w:ascii="Times New Roman" w:hAnsi="Times New Roman" w:cs="Times New Roman"/>
          <w:sz w:val="28"/>
          <w:szCs w:val="28"/>
        </w:rPr>
        <w:t>, 1960):</w:t>
      </w:r>
    </w:p>
    <w:p w:rsidR="00AD2D31" w:rsidRPr="00FC2682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РМА = (сумма показателей в баллах </w:t>
      </w:r>
      <w:r w:rsidR="00190CA2" w:rsidRPr="00190C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наивысший балл воспаления десны*число зубов обследуемого)*100%</w:t>
      </w:r>
    </w:p>
    <w:p w:rsidR="00AD2D31" w:rsidRPr="005E0A26" w:rsidRDefault="00AD2D31" w:rsidP="005E0A26">
      <w:pPr>
        <w:pStyle w:val="a7"/>
        <w:numPr>
          <w:ilvl w:val="0"/>
          <w:numId w:val="13"/>
        </w:numPr>
        <w:spacing w:line="360" w:lineRule="auto"/>
        <w:ind w:left="10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30% и менее – легкая степень гингивита;</w:t>
      </w:r>
    </w:p>
    <w:p w:rsidR="00AD2D31" w:rsidRPr="005E0A26" w:rsidRDefault="00AD2D31" w:rsidP="005E0A26">
      <w:pPr>
        <w:pStyle w:val="a7"/>
        <w:numPr>
          <w:ilvl w:val="0"/>
          <w:numId w:val="13"/>
        </w:numPr>
        <w:spacing w:line="360" w:lineRule="auto"/>
        <w:ind w:left="10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31 – 60% – средняя степень гингивита;</w:t>
      </w:r>
    </w:p>
    <w:p w:rsidR="00AD2D31" w:rsidRPr="005E0A26" w:rsidRDefault="00AD2D31" w:rsidP="005E0A26">
      <w:pPr>
        <w:pStyle w:val="a7"/>
        <w:numPr>
          <w:ilvl w:val="0"/>
          <w:numId w:val="13"/>
        </w:numPr>
        <w:spacing w:line="360" w:lineRule="auto"/>
        <w:ind w:left="10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A26">
        <w:rPr>
          <w:rFonts w:ascii="Times New Roman" w:hAnsi="Times New Roman" w:cs="Times New Roman"/>
          <w:sz w:val="28"/>
          <w:szCs w:val="28"/>
        </w:rPr>
        <w:t>61% и выше – тяжелая степень.</w:t>
      </w:r>
    </w:p>
    <w:p w:rsidR="00AD2D31" w:rsidRPr="00A37D1B" w:rsidRDefault="00AD2D31" w:rsidP="006846C3">
      <w:pPr>
        <w:pStyle w:val="3"/>
        <w:jc w:val="both"/>
      </w:pPr>
      <w:bookmarkStart w:id="25" w:name="_Toc102234766"/>
      <w:r>
        <w:t>2.2.6</w:t>
      </w:r>
      <w:r w:rsidRPr="00A37D1B">
        <w:t xml:space="preserve"> Определение величины рецессии десны</w:t>
      </w:r>
      <w:bookmarkEnd w:id="25"/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рецессии – расстояние от эмалево-цементной границы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в миллиметрах. Измеряем величину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зондом с вестибулярной, язычной и проксимальных поверхностей каждого зуба.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полученных результатов используется классификация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гингивальных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рецессий по Миллеру (1985):</w:t>
      </w:r>
    </w:p>
    <w:p w:rsidR="00AD2D31" w:rsidRPr="00757AC6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– рецессия в пределах прикрепленной десны (потеря десны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и\или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костной ткани в межзубных промежутках отсутствует)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Pr="00A37D1B" w:rsidRDefault="00AD2D31" w:rsidP="006846C3">
      <w:pPr>
        <w:pStyle w:val="a7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1B">
        <w:rPr>
          <w:rFonts w:ascii="Times New Roman" w:hAnsi="Times New Roman" w:cs="Times New Roman"/>
          <w:sz w:val="28"/>
          <w:szCs w:val="28"/>
        </w:rPr>
        <w:t>1 класс</w:t>
      </w:r>
      <w:proofErr w:type="gramStart"/>
      <w:r w:rsidRPr="00A37D1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37D1B">
        <w:rPr>
          <w:rFonts w:ascii="Times New Roman" w:hAnsi="Times New Roman" w:cs="Times New Roman"/>
          <w:sz w:val="28"/>
          <w:szCs w:val="28"/>
        </w:rPr>
        <w:t xml:space="preserve"> подкласс – узкий тип рецессии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Pr="00A37D1B" w:rsidRDefault="00AD2D31" w:rsidP="006846C3">
      <w:pPr>
        <w:pStyle w:val="a7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1B">
        <w:rPr>
          <w:rFonts w:ascii="Times New Roman" w:hAnsi="Times New Roman" w:cs="Times New Roman"/>
          <w:sz w:val="28"/>
          <w:szCs w:val="28"/>
        </w:rPr>
        <w:t>1 класс</w:t>
      </w:r>
      <w:proofErr w:type="gramStart"/>
      <w:r w:rsidRPr="00A37D1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37D1B">
        <w:rPr>
          <w:rFonts w:ascii="Times New Roman" w:hAnsi="Times New Roman" w:cs="Times New Roman"/>
          <w:sz w:val="28"/>
          <w:szCs w:val="28"/>
        </w:rPr>
        <w:t xml:space="preserve"> подкласс – широкий тип рецессии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Pr="00757AC6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рецессия в пределах свободной десны (потеря десны и</w:t>
      </w:r>
      <w:r w:rsidR="00190CA2" w:rsidRPr="00190C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костной ткани в межзубных промежутках отсутствует)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Pr="00A37D1B" w:rsidRDefault="00AD2D31" w:rsidP="006846C3">
      <w:pPr>
        <w:pStyle w:val="a7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1B">
        <w:rPr>
          <w:rFonts w:ascii="Times New Roman" w:hAnsi="Times New Roman" w:cs="Times New Roman"/>
          <w:sz w:val="28"/>
          <w:szCs w:val="28"/>
        </w:rPr>
        <w:t>2 класс</w:t>
      </w:r>
      <w:proofErr w:type="gramStart"/>
      <w:r w:rsidRPr="00A37D1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37D1B">
        <w:rPr>
          <w:rFonts w:ascii="Times New Roman" w:hAnsi="Times New Roman" w:cs="Times New Roman"/>
          <w:sz w:val="28"/>
          <w:szCs w:val="28"/>
        </w:rPr>
        <w:t xml:space="preserve"> подкласс – узкий тип рецессии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Pr="00A37D1B" w:rsidRDefault="00AD2D31" w:rsidP="006846C3">
      <w:pPr>
        <w:pStyle w:val="a7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1B">
        <w:rPr>
          <w:rFonts w:ascii="Times New Roman" w:hAnsi="Times New Roman" w:cs="Times New Roman"/>
          <w:sz w:val="28"/>
          <w:szCs w:val="28"/>
        </w:rPr>
        <w:lastRenderedPageBreak/>
        <w:t>2 класс</w:t>
      </w:r>
      <w:proofErr w:type="gramStart"/>
      <w:r w:rsidRPr="00A37D1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37D1B">
        <w:rPr>
          <w:rFonts w:ascii="Times New Roman" w:hAnsi="Times New Roman" w:cs="Times New Roman"/>
          <w:sz w:val="28"/>
          <w:szCs w:val="28"/>
        </w:rPr>
        <w:t xml:space="preserve"> подкласс – широкий тип рецессии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Pr="00757AC6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– 2 класс в сочетании с поражением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апроксимальных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поверхностей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Pr="00A37D1B" w:rsidRDefault="00AD2D31" w:rsidP="006846C3">
      <w:pPr>
        <w:pStyle w:val="a7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1B">
        <w:rPr>
          <w:rFonts w:ascii="Times New Roman" w:hAnsi="Times New Roman" w:cs="Times New Roman"/>
          <w:sz w:val="28"/>
          <w:szCs w:val="28"/>
        </w:rPr>
        <w:t>3 класс</w:t>
      </w:r>
      <w:proofErr w:type="gramStart"/>
      <w:r w:rsidRPr="00A37D1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37D1B">
        <w:rPr>
          <w:rFonts w:ascii="Times New Roman" w:hAnsi="Times New Roman" w:cs="Times New Roman"/>
          <w:sz w:val="28"/>
          <w:szCs w:val="28"/>
        </w:rPr>
        <w:t xml:space="preserve"> подкласс – без вовлечения соседних зубов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Pr="00A37D1B" w:rsidRDefault="00AD2D31" w:rsidP="006846C3">
      <w:pPr>
        <w:pStyle w:val="a7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1B">
        <w:rPr>
          <w:rFonts w:ascii="Times New Roman" w:hAnsi="Times New Roman" w:cs="Times New Roman"/>
          <w:sz w:val="28"/>
          <w:szCs w:val="28"/>
        </w:rPr>
        <w:t>3 класс</w:t>
      </w:r>
      <w:proofErr w:type="gramStart"/>
      <w:r w:rsidRPr="00A37D1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37D1B">
        <w:rPr>
          <w:rFonts w:ascii="Times New Roman" w:hAnsi="Times New Roman" w:cs="Times New Roman"/>
          <w:sz w:val="28"/>
          <w:szCs w:val="28"/>
        </w:rPr>
        <w:t xml:space="preserve"> подкласс – с вовлечением соседних зубов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Pr="00757AC6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циркулярная рецессия, убыль десны и кости в межзубных промежутках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Pr="00A37D1B" w:rsidRDefault="00AD2D31" w:rsidP="006846C3">
      <w:pPr>
        <w:pStyle w:val="a7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1B">
        <w:rPr>
          <w:rFonts w:ascii="Times New Roman" w:hAnsi="Times New Roman" w:cs="Times New Roman"/>
          <w:sz w:val="28"/>
          <w:szCs w:val="28"/>
        </w:rPr>
        <w:t>4 класс</w:t>
      </w:r>
      <w:proofErr w:type="gramStart"/>
      <w:r w:rsidRPr="00A37D1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37D1B">
        <w:rPr>
          <w:rFonts w:ascii="Times New Roman" w:hAnsi="Times New Roman" w:cs="Times New Roman"/>
          <w:sz w:val="28"/>
          <w:szCs w:val="28"/>
        </w:rPr>
        <w:t xml:space="preserve"> подкласс – у ограниченного количества зубов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Pr="00835A46" w:rsidRDefault="00AD2D31" w:rsidP="006846C3">
      <w:pPr>
        <w:pStyle w:val="a7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1B">
        <w:rPr>
          <w:rFonts w:ascii="Times New Roman" w:hAnsi="Times New Roman" w:cs="Times New Roman"/>
          <w:sz w:val="28"/>
          <w:szCs w:val="28"/>
        </w:rPr>
        <w:t>4 класс</w:t>
      </w:r>
      <w:proofErr w:type="gramStart"/>
      <w:r w:rsidRPr="00A37D1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37D1B">
        <w:rPr>
          <w:rFonts w:ascii="Times New Roman" w:hAnsi="Times New Roman" w:cs="Times New Roman"/>
          <w:sz w:val="28"/>
          <w:szCs w:val="28"/>
        </w:rPr>
        <w:t xml:space="preserve"> подкласс – </w:t>
      </w:r>
      <w:proofErr w:type="spellStart"/>
      <w:r w:rsidRPr="00A37D1B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A37D1B">
        <w:rPr>
          <w:rFonts w:ascii="Times New Roman" w:hAnsi="Times New Roman" w:cs="Times New Roman"/>
          <w:sz w:val="28"/>
          <w:szCs w:val="28"/>
        </w:rPr>
        <w:t xml:space="preserve"> горизонтальная рецессия</w:t>
      </w:r>
      <w:r w:rsidRPr="00757AC6">
        <w:rPr>
          <w:rFonts w:ascii="Times New Roman" w:hAnsi="Times New Roman" w:cs="Times New Roman"/>
          <w:sz w:val="28"/>
          <w:szCs w:val="28"/>
        </w:rPr>
        <w:t>.</w:t>
      </w:r>
    </w:p>
    <w:p w:rsidR="00AD2D31" w:rsidRPr="00BF5CDA" w:rsidRDefault="00AD2D31" w:rsidP="006846C3">
      <w:pPr>
        <w:pStyle w:val="3"/>
        <w:jc w:val="both"/>
      </w:pPr>
      <w:bookmarkStart w:id="26" w:name="_Toc102234767"/>
      <w:r w:rsidRPr="00BF5CDA">
        <w:t xml:space="preserve">2.2.7 </w:t>
      </w:r>
      <w:proofErr w:type="spellStart"/>
      <w:r w:rsidRPr="00BF5CDA">
        <w:t>Пародонтальный</w:t>
      </w:r>
      <w:proofErr w:type="spellEnd"/>
      <w:r w:rsidRPr="00BF5CDA">
        <w:t xml:space="preserve"> индекс Рассела (</w:t>
      </w:r>
      <w:r w:rsidRPr="00BF5CDA">
        <w:rPr>
          <w:lang w:val="en-US"/>
        </w:rPr>
        <w:t>PI</w:t>
      </w:r>
      <w:r w:rsidRPr="00BF5CDA">
        <w:t xml:space="preserve">, </w:t>
      </w:r>
      <w:proofErr w:type="spellStart"/>
      <w:r w:rsidRPr="00BF5CDA">
        <w:rPr>
          <w:lang w:val="en-US"/>
        </w:rPr>
        <w:t>Russel</w:t>
      </w:r>
      <w:proofErr w:type="spellEnd"/>
      <w:r w:rsidRPr="00BF5CDA">
        <w:t xml:space="preserve"> 1956)</w:t>
      </w:r>
      <w:bookmarkEnd w:id="26"/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позволяет оценить наличие симптомов гингивита и других патологий пародонта, учитывает воспалительные явления в тканях десны, наличие и выраженность разрушения зубодесневого прикрепления и подвижности зубов.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индекса используются следующие критерии:</w:t>
      </w:r>
    </w:p>
    <w:p w:rsidR="00AD2D31" w:rsidRPr="00190CA2" w:rsidRDefault="00AD2D31" w:rsidP="00190CA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CA2">
        <w:rPr>
          <w:rFonts w:ascii="Times New Roman" w:hAnsi="Times New Roman" w:cs="Times New Roman"/>
          <w:sz w:val="28"/>
          <w:szCs w:val="28"/>
        </w:rPr>
        <w:t>0 – Воспалительных изменений нет</w:t>
      </w:r>
      <w:r w:rsidRPr="00190CA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2D31" w:rsidRPr="00190CA2" w:rsidRDefault="00AD2D31" w:rsidP="00190CA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CA2">
        <w:rPr>
          <w:rFonts w:ascii="Times New Roman" w:hAnsi="Times New Roman" w:cs="Times New Roman"/>
          <w:sz w:val="28"/>
          <w:szCs w:val="28"/>
        </w:rPr>
        <w:t>1 – Воспаление десны не охватывает зуб (легкий гингивит);</w:t>
      </w:r>
    </w:p>
    <w:p w:rsidR="00AD2D31" w:rsidRPr="00190CA2" w:rsidRDefault="00AD2D31" w:rsidP="00190CA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CA2">
        <w:rPr>
          <w:rFonts w:ascii="Times New Roman" w:hAnsi="Times New Roman" w:cs="Times New Roman"/>
          <w:sz w:val="28"/>
          <w:szCs w:val="28"/>
        </w:rPr>
        <w:t>2 – Гингивит без повреждения прикрепленного зубодесневого прикрепления (</w:t>
      </w:r>
      <w:proofErr w:type="spellStart"/>
      <w:r w:rsidRPr="00190CA2"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 w:rsidRPr="00190CA2">
        <w:rPr>
          <w:rFonts w:ascii="Times New Roman" w:hAnsi="Times New Roman" w:cs="Times New Roman"/>
          <w:sz w:val="28"/>
          <w:szCs w:val="28"/>
        </w:rPr>
        <w:t xml:space="preserve"> карман не определяется);</w:t>
      </w:r>
    </w:p>
    <w:p w:rsidR="00AD2D31" w:rsidRPr="00190CA2" w:rsidRDefault="00AD2D31" w:rsidP="00190CA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CA2">
        <w:rPr>
          <w:rFonts w:ascii="Times New Roman" w:hAnsi="Times New Roman" w:cs="Times New Roman"/>
          <w:sz w:val="28"/>
          <w:szCs w:val="28"/>
        </w:rPr>
        <w:t>4 – Разрушение замыкающих кортикальных пластинок на вершинах альвеолярного отростка на рентгенограмме;</w:t>
      </w:r>
    </w:p>
    <w:p w:rsidR="00AD2D31" w:rsidRPr="00190CA2" w:rsidRDefault="00AD2D31" w:rsidP="00190CA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CA2">
        <w:rPr>
          <w:rFonts w:ascii="Times New Roman" w:hAnsi="Times New Roman" w:cs="Times New Roman"/>
          <w:sz w:val="28"/>
          <w:szCs w:val="28"/>
        </w:rPr>
        <w:t xml:space="preserve">6 – Определяется </w:t>
      </w:r>
      <w:proofErr w:type="spellStart"/>
      <w:r w:rsidRPr="00190CA2"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 w:rsidRPr="00190CA2">
        <w:rPr>
          <w:rFonts w:ascii="Times New Roman" w:hAnsi="Times New Roman" w:cs="Times New Roman"/>
          <w:sz w:val="28"/>
          <w:szCs w:val="28"/>
        </w:rPr>
        <w:t xml:space="preserve"> карман, функция не нарушена, зуб не подвижен;</w:t>
      </w:r>
    </w:p>
    <w:p w:rsidR="00AD2D31" w:rsidRPr="00190CA2" w:rsidRDefault="00AD2D31" w:rsidP="00190CA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CA2">
        <w:rPr>
          <w:rFonts w:ascii="Times New Roman" w:hAnsi="Times New Roman" w:cs="Times New Roman"/>
          <w:sz w:val="28"/>
          <w:szCs w:val="28"/>
        </w:rPr>
        <w:t xml:space="preserve">8 – Выраженное разрушение тканей пародонта, зуб подвижен. 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выставляется для каждого имеющегося зуба, а полученные оценки подставляют в следующую формулу: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8A415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сумма оценок у каждого зуба </w:t>
      </w:r>
      <w:r w:rsidR="00190CA2" w:rsidRPr="00190C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количество зубов у пациента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индекса:</w:t>
      </w:r>
    </w:p>
    <w:p w:rsidR="00AD2D31" w:rsidRPr="008A415D" w:rsidRDefault="00AD2D31" w:rsidP="006846C3">
      <w:pPr>
        <w:pStyle w:val="a7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5D">
        <w:rPr>
          <w:rFonts w:ascii="Times New Roman" w:hAnsi="Times New Roman" w:cs="Times New Roman"/>
          <w:sz w:val="28"/>
          <w:szCs w:val="28"/>
        </w:rPr>
        <w:t>0,1 – 1,0 – легкая степень патологии пародонта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2D31" w:rsidRPr="008A415D" w:rsidRDefault="00AD2D31" w:rsidP="006846C3">
      <w:pPr>
        <w:pStyle w:val="a7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5D">
        <w:rPr>
          <w:rFonts w:ascii="Times New Roman" w:hAnsi="Times New Roman" w:cs="Times New Roman"/>
          <w:sz w:val="28"/>
          <w:szCs w:val="28"/>
        </w:rPr>
        <w:t>1,5</w:t>
      </w:r>
      <w:r w:rsidR="00E22B23">
        <w:rPr>
          <w:rFonts w:ascii="Times New Roman" w:hAnsi="Times New Roman" w:cs="Times New Roman"/>
          <w:sz w:val="28"/>
          <w:szCs w:val="28"/>
        </w:rPr>
        <w:t xml:space="preserve"> – </w:t>
      </w:r>
      <w:r w:rsidRPr="008A415D">
        <w:rPr>
          <w:rFonts w:ascii="Times New Roman" w:hAnsi="Times New Roman" w:cs="Times New Roman"/>
          <w:sz w:val="28"/>
          <w:szCs w:val="28"/>
        </w:rPr>
        <w:t>4,0 – средняя степень патологии пародонта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C7099" w:rsidRPr="000C7099" w:rsidRDefault="00AD2D31" w:rsidP="006846C3">
      <w:pPr>
        <w:pStyle w:val="a7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5D">
        <w:rPr>
          <w:rFonts w:ascii="Times New Roman" w:hAnsi="Times New Roman" w:cs="Times New Roman"/>
          <w:sz w:val="28"/>
          <w:szCs w:val="28"/>
        </w:rPr>
        <w:t>4,0 – 8,0 – тяжелая степень патологии пародонта</w:t>
      </w:r>
      <w:r w:rsidRPr="000C7099">
        <w:rPr>
          <w:rFonts w:ascii="Times New Roman" w:hAnsi="Times New Roman" w:cs="Times New Roman"/>
          <w:sz w:val="28"/>
          <w:szCs w:val="28"/>
        </w:rPr>
        <w:t>.</w:t>
      </w:r>
      <w:bookmarkStart w:id="27" w:name="_Toc102234768"/>
    </w:p>
    <w:p w:rsidR="00AD2D31" w:rsidRPr="000C7099" w:rsidRDefault="00AD2D31" w:rsidP="006846C3">
      <w:pPr>
        <w:pStyle w:val="3"/>
        <w:jc w:val="both"/>
        <w:rPr>
          <w:rFonts w:cs="Times New Roman"/>
          <w:szCs w:val="28"/>
        </w:rPr>
      </w:pPr>
      <w:r>
        <w:t>2.2.8</w:t>
      </w:r>
      <w:r w:rsidRPr="00111955">
        <w:t xml:space="preserve"> Оценка </w:t>
      </w:r>
      <w:r>
        <w:t xml:space="preserve">глубины </w:t>
      </w:r>
      <w:proofErr w:type="spellStart"/>
      <w:r>
        <w:t>пародонтальных</w:t>
      </w:r>
      <w:proofErr w:type="spellEnd"/>
      <w:r>
        <w:t xml:space="preserve"> карманов</w:t>
      </w:r>
      <w:bookmarkEnd w:id="27"/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зубодесневого прикрепления – расстояние в миллиметрах от эмалево-цементной границы до 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кармана по длинной оси зуба.</w:t>
      </w:r>
    </w:p>
    <w:p w:rsidR="00AD2D31" w:rsidRPr="00343D18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кармана измеряли с помощью градуированного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зонда с четырех поверхностей каждого зуба, учитывали наибольшие показатели.</w:t>
      </w:r>
    </w:p>
    <w:p w:rsidR="00AD2D31" w:rsidRPr="00A37D1B" w:rsidRDefault="00AD2D31" w:rsidP="006846C3">
      <w:pPr>
        <w:pStyle w:val="3"/>
        <w:jc w:val="both"/>
      </w:pPr>
      <w:bookmarkStart w:id="28" w:name="_Toc102234769"/>
      <w:r w:rsidRPr="00111955">
        <w:t>2.2.</w:t>
      </w:r>
      <w:r>
        <w:t>9</w:t>
      </w:r>
      <w:r w:rsidRPr="00111955">
        <w:t xml:space="preserve"> Оценка степени подвижности зубов</w:t>
      </w:r>
      <w:r>
        <w:t xml:space="preserve"> по шкале Миллера</w:t>
      </w:r>
      <w:bookmarkEnd w:id="28"/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диагностики определяется состояние поддерживающих структур зуба. Для оценки подвижности зуба поочередно надавливают на вестибулярную и язычную его поверхности нерабочими концами ручных инструментов.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интерпретируем по шкале Миллера в модификации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Fleszar</w:t>
      </w:r>
      <w:proofErr w:type="spellEnd"/>
      <w:r w:rsidRPr="003C1CC4">
        <w:rPr>
          <w:rFonts w:ascii="Times New Roman" w:hAnsi="Times New Roman" w:cs="Times New Roman"/>
          <w:sz w:val="28"/>
          <w:szCs w:val="28"/>
        </w:rPr>
        <w:t xml:space="preserve"> (1980)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2D31" w:rsidRPr="00757AC6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степень – зуб устойчив, только физиологическая подвижность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Pr="00757AC6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степень – зуб смещается относительно вертикальной оси до 1 мм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Pr="00757AC6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степень – зуб смещается в щечно-язычном направлении на 1-2 мм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степень – зуб смещается в щечно-язычном направлении и по вертикали, резко выраженная подвижность.</w:t>
      </w:r>
      <w:proofErr w:type="gramEnd"/>
    </w:p>
    <w:p w:rsidR="00AD2D31" w:rsidRPr="00527FC3" w:rsidRDefault="00AD2D31" w:rsidP="00527FC3">
      <w:pPr>
        <w:pStyle w:val="2"/>
        <w:rPr>
          <w:rFonts w:cs="Times New Roman"/>
          <w:szCs w:val="28"/>
        </w:rPr>
      </w:pPr>
      <w:bookmarkStart w:id="29" w:name="_Toc102234770"/>
      <w:r w:rsidRPr="001603E6">
        <w:t>2.3 Рентгенологическое исследование</w:t>
      </w:r>
      <w:bookmarkEnd w:id="29"/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Рентгенологическое исследование проводилось с использованием прицельных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внутриротовых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рентгеновских снимков,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ортопантомограмм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КТ. 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рентгенограмм изучали анатомические особенности зубных рядов и отдельно стоящих зубов, наличие и характер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поддесневых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зубных отложений, наличие нависающих краев пломб, оценивали расположение краев искусственных коронок по отношению к зубодесневой борозде и эмалево-цементной границе.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уделяли свойствам тканей пародонта:</w:t>
      </w:r>
    </w:p>
    <w:p w:rsidR="00AD2D31" w:rsidRDefault="00AD2D31" w:rsidP="005E0A26">
      <w:pPr>
        <w:pStyle w:val="a7"/>
        <w:numPr>
          <w:ilvl w:val="0"/>
          <w:numId w:val="8"/>
        </w:numPr>
        <w:spacing w:after="16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периодонтальной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щели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31" w:rsidRDefault="00AD2D31" w:rsidP="005E0A26">
      <w:pPr>
        <w:pStyle w:val="a7"/>
        <w:numPr>
          <w:ilvl w:val="0"/>
          <w:numId w:val="8"/>
        </w:numPr>
        <w:spacing w:after="16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структуре костной ткани альвеолярных отростков челюстей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Default="00AD2D31" w:rsidP="005E0A26">
      <w:pPr>
        <w:pStyle w:val="a7"/>
        <w:numPr>
          <w:ilvl w:val="0"/>
          <w:numId w:val="8"/>
        </w:numPr>
        <w:spacing w:after="16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наличию, размеру и особенностям зон резорбции костной ткани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Default="00AD2D31" w:rsidP="005E0A26">
      <w:pPr>
        <w:pStyle w:val="a7"/>
        <w:numPr>
          <w:ilvl w:val="0"/>
          <w:numId w:val="8"/>
        </w:numPr>
        <w:spacing w:after="16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убыли костной ткани по отношению к корням зубов</w:t>
      </w:r>
      <w:r w:rsidRPr="00757AC6">
        <w:rPr>
          <w:rFonts w:ascii="Times New Roman" w:hAnsi="Times New Roman" w:cs="Times New Roman"/>
          <w:sz w:val="28"/>
          <w:szCs w:val="28"/>
        </w:rPr>
        <w:t>;</w:t>
      </w:r>
    </w:p>
    <w:p w:rsidR="00AD2D31" w:rsidRDefault="00AD2D31" w:rsidP="005E0A26">
      <w:pPr>
        <w:pStyle w:val="a7"/>
        <w:numPr>
          <w:ilvl w:val="0"/>
          <w:numId w:val="8"/>
        </w:numPr>
        <w:spacing w:after="16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степени убыли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межальвеолярных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перегородок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2D31" w:rsidRDefault="00AD2D31" w:rsidP="006846C3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2D31" w:rsidRPr="009A0B42" w:rsidRDefault="00AD2D31" w:rsidP="00202908">
      <w:pPr>
        <w:pStyle w:val="1"/>
      </w:pPr>
      <w:bookmarkStart w:id="30" w:name="_Toc102234771"/>
      <w:r>
        <w:lastRenderedPageBreak/>
        <w:t>Глава 3. РЕЗУЛЬТАТЫ ИССЛЕДОВАНИЯ</w:t>
      </w:r>
      <w:bookmarkEnd w:id="30"/>
    </w:p>
    <w:p w:rsidR="00AD2D31" w:rsidRPr="009A0B42" w:rsidRDefault="00AD2D31" w:rsidP="006846C3">
      <w:pPr>
        <w:pStyle w:val="2"/>
        <w:jc w:val="both"/>
      </w:pPr>
      <w:bookmarkStart w:id="31" w:name="_Toc102234772"/>
      <w:r>
        <w:t>3.1</w:t>
      </w:r>
      <w:r w:rsidRPr="009A0B42">
        <w:t xml:space="preserve"> Соотношение основной и контрольной групп пациентов по возрасту</w:t>
      </w:r>
      <w:bookmarkEnd w:id="31"/>
    </w:p>
    <w:p w:rsidR="00AD2D31" w:rsidRPr="00202908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B2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527FC3" w:rsidRPr="00E22B23">
        <w:rPr>
          <w:rFonts w:ascii="Times New Roman" w:hAnsi="Times New Roman" w:cs="Times New Roman"/>
          <w:b/>
          <w:sz w:val="28"/>
          <w:szCs w:val="28"/>
        </w:rPr>
        <w:t>5.</w:t>
      </w:r>
      <w:r w:rsidR="0020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908" w:rsidRPr="00202908">
        <w:rPr>
          <w:rFonts w:ascii="Times New Roman" w:hAnsi="Times New Roman" w:cs="Times New Roman"/>
          <w:sz w:val="28"/>
          <w:szCs w:val="28"/>
        </w:rPr>
        <w:t>Средний возраст пациентов обеих групп</w:t>
      </w:r>
    </w:p>
    <w:tbl>
      <w:tblPr>
        <w:tblStyle w:val="a6"/>
        <w:tblW w:w="0" w:type="auto"/>
        <w:tblLook w:val="04A0"/>
      </w:tblPr>
      <w:tblGrid>
        <w:gridCol w:w="4502"/>
        <w:gridCol w:w="4785"/>
      </w:tblGrid>
      <w:tr w:rsidR="00AD2D31" w:rsidTr="00AD2D31">
        <w:tc>
          <w:tcPr>
            <w:tcW w:w="464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возраст пациентов основной группы</w:t>
            </w:r>
          </w:p>
        </w:tc>
        <w:tc>
          <w:tcPr>
            <w:tcW w:w="4927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возраст пациентов контрольной группы</w:t>
            </w:r>
          </w:p>
        </w:tc>
      </w:tr>
      <w:tr w:rsidR="00AD2D31" w:rsidTr="00AD2D31">
        <w:tc>
          <w:tcPr>
            <w:tcW w:w="464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4927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AD2D31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31" w:rsidRDefault="00AD2D31" w:rsidP="006846C3">
      <w:pPr>
        <w:pStyle w:val="2"/>
        <w:jc w:val="both"/>
      </w:pPr>
      <w:bookmarkStart w:id="32" w:name="_Toc102234773"/>
      <w:r>
        <w:t>3.2 Соотношение пациентов основной группы по степени тяжести артериальной гипертензии</w:t>
      </w:r>
      <w:bookmarkEnd w:id="32"/>
    </w:p>
    <w:p w:rsidR="00AD2D31" w:rsidRPr="00E22B23" w:rsidRDefault="00AD2D31" w:rsidP="00684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B2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527FC3" w:rsidRPr="00E22B23">
        <w:rPr>
          <w:rFonts w:ascii="Times New Roman" w:hAnsi="Times New Roman" w:cs="Times New Roman"/>
          <w:b/>
          <w:sz w:val="28"/>
          <w:szCs w:val="28"/>
        </w:rPr>
        <w:t>6.</w:t>
      </w:r>
      <w:r w:rsidR="0020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908" w:rsidRPr="00202908">
        <w:rPr>
          <w:rFonts w:ascii="Times New Roman" w:hAnsi="Times New Roman" w:cs="Times New Roman"/>
          <w:sz w:val="28"/>
          <w:szCs w:val="28"/>
        </w:rPr>
        <w:t>Состав подгрупп основной группы</w:t>
      </w:r>
    </w:p>
    <w:tbl>
      <w:tblPr>
        <w:tblStyle w:val="a6"/>
        <w:tblW w:w="0" w:type="auto"/>
        <w:tblLook w:val="04A0"/>
      </w:tblPr>
      <w:tblGrid>
        <w:gridCol w:w="1519"/>
        <w:gridCol w:w="1581"/>
        <w:gridCol w:w="1519"/>
        <w:gridCol w:w="1581"/>
        <w:gridCol w:w="1505"/>
        <w:gridCol w:w="1582"/>
      </w:tblGrid>
      <w:tr w:rsidR="00AD2D31" w:rsidTr="00AD2D31">
        <w:tc>
          <w:tcPr>
            <w:tcW w:w="3190" w:type="dxa"/>
            <w:gridSpan w:val="2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90" w:type="dxa"/>
            <w:gridSpan w:val="2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91" w:type="dxa"/>
            <w:gridSpan w:val="2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93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D2D31" w:rsidTr="00AD2D31">
        <w:tc>
          <w:tcPr>
            <w:tcW w:w="1595" w:type="dxa"/>
          </w:tcPr>
          <w:p w:rsidR="00AD2D31" w:rsidRPr="00B45A2C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AD2D31" w:rsidRPr="00B45A2C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2C">
              <w:rPr>
                <w:rFonts w:ascii="Times New Roman" w:hAnsi="Times New Roman" w:cs="Times New Roman"/>
                <w:sz w:val="28"/>
                <w:szCs w:val="28"/>
              </w:rPr>
              <w:t>Кол-во пациентов</w:t>
            </w:r>
          </w:p>
        </w:tc>
        <w:tc>
          <w:tcPr>
            <w:tcW w:w="1595" w:type="dxa"/>
          </w:tcPr>
          <w:p w:rsidR="00AD2D31" w:rsidRPr="00B45A2C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AD2D31" w:rsidRPr="00B45A2C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2C">
              <w:rPr>
                <w:rFonts w:ascii="Times New Roman" w:hAnsi="Times New Roman" w:cs="Times New Roman"/>
                <w:sz w:val="28"/>
                <w:szCs w:val="28"/>
              </w:rPr>
              <w:t>Кол-во пациентов</w:t>
            </w:r>
          </w:p>
        </w:tc>
        <w:tc>
          <w:tcPr>
            <w:tcW w:w="1595" w:type="dxa"/>
          </w:tcPr>
          <w:p w:rsidR="00AD2D31" w:rsidRPr="00B45A2C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6" w:type="dxa"/>
          </w:tcPr>
          <w:p w:rsidR="00AD2D31" w:rsidRPr="00B45A2C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2C">
              <w:rPr>
                <w:rFonts w:ascii="Times New Roman" w:hAnsi="Times New Roman" w:cs="Times New Roman"/>
                <w:sz w:val="28"/>
                <w:szCs w:val="28"/>
              </w:rPr>
              <w:t>Кол-во пациентов</w:t>
            </w:r>
          </w:p>
        </w:tc>
      </w:tr>
      <w:tr w:rsidR="00AD2D31" w:rsidTr="00AD2D31">
        <w:tc>
          <w:tcPr>
            <w:tcW w:w="1595" w:type="dxa"/>
          </w:tcPr>
          <w:p w:rsidR="00AD2D31" w:rsidRPr="00B45A2C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2C">
              <w:rPr>
                <w:rFonts w:ascii="Times New Roman" w:hAnsi="Times New Roman" w:cs="Times New Roman"/>
                <w:sz w:val="28"/>
                <w:szCs w:val="28"/>
              </w:rPr>
              <w:t>30,56 %</w:t>
            </w:r>
          </w:p>
        </w:tc>
        <w:tc>
          <w:tcPr>
            <w:tcW w:w="1595" w:type="dxa"/>
          </w:tcPr>
          <w:p w:rsidR="00AD2D31" w:rsidRPr="00B45A2C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AD2D31" w:rsidRPr="00B45A2C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2C">
              <w:rPr>
                <w:rFonts w:ascii="Times New Roman" w:hAnsi="Times New Roman" w:cs="Times New Roman"/>
                <w:sz w:val="28"/>
                <w:szCs w:val="28"/>
              </w:rPr>
              <w:t>44,44 %</w:t>
            </w:r>
          </w:p>
        </w:tc>
        <w:tc>
          <w:tcPr>
            <w:tcW w:w="1595" w:type="dxa"/>
          </w:tcPr>
          <w:p w:rsidR="00AD2D31" w:rsidRPr="00B45A2C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AD2D31" w:rsidRPr="00B45A2C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2C">
              <w:rPr>
                <w:rFonts w:ascii="Times New Roman" w:hAnsi="Times New Roman" w:cs="Times New Roman"/>
                <w:sz w:val="28"/>
                <w:szCs w:val="28"/>
              </w:rPr>
              <w:t>25,0 %</w:t>
            </w:r>
          </w:p>
        </w:tc>
        <w:tc>
          <w:tcPr>
            <w:tcW w:w="1596" w:type="dxa"/>
          </w:tcPr>
          <w:p w:rsidR="00AD2D31" w:rsidRPr="00B45A2C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D2D31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31" w:rsidRDefault="00AD2D31" w:rsidP="006846C3">
      <w:pPr>
        <w:pStyle w:val="2"/>
        <w:jc w:val="both"/>
      </w:pPr>
      <w:bookmarkStart w:id="33" w:name="_Toc102234774"/>
      <w:r>
        <w:t xml:space="preserve">3.3 Соотношение пациентов основной и контрольной групп по состоянию гигиены полости рта (Индекс </w:t>
      </w:r>
      <w:proofErr w:type="spellStart"/>
      <w:r>
        <w:t>Грина-Вермиллиона</w:t>
      </w:r>
      <w:proofErr w:type="spellEnd"/>
      <w:r>
        <w:t>)</w:t>
      </w:r>
      <w:bookmarkEnd w:id="33"/>
    </w:p>
    <w:p w:rsidR="00AD2D31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у пациентов обеих групп наблюдался плохой уровень гигиены.</w:t>
      </w:r>
    </w:p>
    <w:p w:rsidR="00AD2D31" w:rsidRPr="00E22B23" w:rsidRDefault="00AD2D31" w:rsidP="00684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B2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527FC3" w:rsidRPr="00E22B23">
        <w:rPr>
          <w:rFonts w:ascii="Times New Roman" w:hAnsi="Times New Roman" w:cs="Times New Roman"/>
          <w:b/>
          <w:sz w:val="28"/>
          <w:szCs w:val="28"/>
        </w:rPr>
        <w:t>7.</w:t>
      </w:r>
      <w:r w:rsidR="0020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908" w:rsidRPr="00202908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="00202908" w:rsidRPr="00202908">
        <w:rPr>
          <w:rFonts w:ascii="Times New Roman" w:hAnsi="Times New Roman" w:cs="Times New Roman"/>
          <w:sz w:val="28"/>
          <w:szCs w:val="28"/>
        </w:rPr>
        <w:t>Грина-Вермиллиона</w:t>
      </w:r>
      <w:proofErr w:type="spellEnd"/>
      <w:r w:rsidR="00202908" w:rsidRPr="00202908">
        <w:rPr>
          <w:rFonts w:ascii="Times New Roman" w:hAnsi="Times New Roman" w:cs="Times New Roman"/>
          <w:sz w:val="28"/>
          <w:szCs w:val="28"/>
        </w:rPr>
        <w:t xml:space="preserve"> у пациентов </w:t>
      </w:r>
      <w:r w:rsidR="00762554">
        <w:rPr>
          <w:rFonts w:ascii="Times New Roman" w:hAnsi="Times New Roman" w:cs="Times New Roman"/>
          <w:sz w:val="28"/>
          <w:szCs w:val="28"/>
        </w:rPr>
        <w:t xml:space="preserve">из </w:t>
      </w:r>
      <w:r w:rsidR="00202908" w:rsidRPr="00202908">
        <w:rPr>
          <w:rFonts w:ascii="Times New Roman" w:hAnsi="Times New Roman" w:cs="Times New Roman"/>
          <w:sz w:val="28"/>
          <w:szCs w:val="28"/>
        </w:rPr>
        <w:t>обеих групп</w:t>
      </w:r>
    </w:p>
    <w:tbl>
      <w:tblPr>
        <w:tblStyle w:val="a6"/>
        <w:tblW w:w="0" w:type="auto"/>
        <w:tblLook w:val="04A0"/>
      </w:tblPr>
      <w:tblGrid>
        <w:gridCol w:w="3086"/>
        <w:gridCol w:w="3089"/>
        <w:gridCol w:w="3112"/>
      </w:tblGrid>
      <w:tr w:rsidR="00AD2D31" w:rsidTr="00AD2D31">
        <w:tc>
          <w:tcPr>
            <w:tcW w:w="3190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D2D31" w:rsidRPr="007B74B6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4B6">
              <w:rPr>
                <w:rFonts w:ascii="Times New Roman" w:hAnsi="Times New Roman" w:cs="Times New Roman"/>
                <w:sz w:val="28"/>
                <w:szCs w:val="28"/>
              </w:rPr>
              <w:t>Основная группа</w:t>
            </w:r>
          </w:p>
        </w:tc>
        <w:tc>
          <w:tcPr>
            <w:tcW w:w="3191" w:type="dxa"/>
          </w:tcPr>
          <w:p w:rsidR="00AD2D31" w:rsidRPr="007B74B6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4B6">
              <w:rPr>
                <w:rFonts w:ascii="Times New Roman" w:hAnsi="Times New Roman" w:cs="Times New Roman"/>
                <w:sz w:val="28"/>
                <w:szCs w:val="28"/>
              </w:rPr>
              <w:t>Контрольная группа</w:t>
            </w:r>
          </w:p>
        </w:tc>
      </w:tr>
      <w:tr w:rsidR="00AD2D31" w:rsidTr="00AD2D31">
        <w:tc>
          <w:tcPr>
            <w:tcW w:w="3190" w:type="dxa"/>
          </w:tcPr>
          <w:p w:rsidR="00AD2D31" w:rsidRPr="007B74B6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4B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B74B6">
              <w:rPr>
                <w:rFonts w:ascii="Times New Roman" w:hAnsi="Times New Roman" w:cs="Times New Roman"/>
                <w:bCs/>
                <w:sz w:val="28"/>
                <w:szCs w:val="28"/>
              </w:rPr>
              <w:t>OHI-S</w:t>
            </w:r>
          </w:p>
        </w:tc>
        <w:tc>
          <w:tcPr>
            <w:tcW w:w="3190" w:type="dxa"/>
          </w:tcPr>
          <w:p w:rsidR="00AD2D31" w:rsidRPr="007B74B6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4B6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191" w:type="dxa"/>
          </w:tcPr>
          <w:p w:rsidR="00AD2D31" w:rsidRPr="007B74B6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4B6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:rsidR="00AD2D31" w:rsidRDefault="00AD2D31" w:rsidP="006846C3">
      <w:pPr>
        <w:pStyle w:val="2"/>
        <w:jc w:val="both"/>
      </w:pPr>
      <w:bookmarkStart w:id="34" w:name="_Toc102234775"/>
      <w:r>
        <w:lastRenderedPageBreak/>
        <w:t>3.4 Результаты определения папиллярного</w:t>
      </w:r>
      <w:r w:rsidRPr="005467E8">
        <w:t xml:space="preserve"> индекс</w:t>
      </w:r>
      <w:r>
        <w:t>а</w:t>
      </w:r>
      <w:r w:rsidRPr="005467E8">
        <w:t xml:space="preserve"> кровоточивости (</w:t>
      </w:r>
      <w:r w:rsidRPr="00B45A2C">
        <w:t>PBI</w:t>
      </w:r>
      <w:r w:rsidRPr="005467E8">
        <w:t>)</w:t>
      </w:r>
      <w:bookmarkEnd w:id="34"/>
      <w:r w:rsidRPr="005467E8">
        <w:t xml:space="preserve"> 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42">
        <w:rPr>
          <w:rFonts w:ascii="Times New Roman" w:hAnsi="Times New Roman" w:cs="Times New Roman"/>
          <w:sz w:val="28"/>
          <w:szCs w:val="28"/>
        </w:rPr>
        <w:t xml:space="preserve">Кровоточивость десен разной степени тяжести была выявлена у 100% </w:t>
      </w:r>
      <w:r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Pr="009A0B42">
        <w:rPr>
          <w:rFonts w:ascii="Times New Roman" w:hAnsi="Times New Roman" w:cs="Times New Roman"/>
          <w:sz w:val="28"/>
          <w:szCs w:val="28"/>
        </w:rPr>
        <w:t>основной и</w:t>
      </w:r>
      <w:r>
        <w:rPr>
          <w:rFonts w:ascii="Times New Roman" w:hAnsi="Times New Roman" w:cs="Times New Roman"/>
          <w:sz w:val="28"/>
          <w:szCs w:val="28"/>
        </w:rPr>
        <w:t xml:space="preserve"> 90,0%</w:t>
      </w:r>
      <w:r w:rsidRPr="009A0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пациентов контрольной групп</w:t>
      </w:r>
      <w:r w:rsidRPr="009A0B42">
        <w:rPr>
          <w:rFonts w:ascii="Times New Roman" w:hAnsi="Times New Roman" w:cs="Times New Roman"/>
          <w:sz w:val="28"/>
          <w:szCs w:val="28"/>
        </w:rPr>
        <w:t>.</w:t>
      </w:r>
    </w:p>
    <w:p w:rsidR="00AD2D31" w:rsidRPr="00202908" w:rsidRDefault="00AD2D31" w:rsidP="00684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527FC3" w:rsidRPr="00C667FB">
        <w:rPr>
          <w:rFonts w:ascii="Times New Roman" w:hAnsi="Times New Roman" w:cs="Times New Roman"/>
          <w:b/>
          <w:sz w:val="28"/>
          <w:szCs w:val="28"/>
        </w:rPr>
        <w:t>8.</w:t>
      </w:r>
      <w:r w:rsidR="00202908" w:rsidRPr="0020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908" w:rsidRPr="00202908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202908" w:rsidRPr="00202908">
        <w:rPr>
          <w:rFonts w:ascii="Times New Roman" w:hAnsi="Times New Roman" w:cs="Times New Roman"/>
          <w:sz w:val="28"/>
          <w:szCs w:val="28"/>
          <w:lang w:val="en-US"/>
        </w:rPr>
        <w:t>PBI</w:t>
      </w:r>
      <w:r w:rsidR="00202908" w:rsidRPr="00202908">
        <w:rPr>
          <w:rFonts w:ascii="Times New Roman" w:hAnsi="Times New Roman" w:cs="Times New Roman"/>
          <w:sz w:val="28"/>
          <w:szCs w:val="28"/>
        </w:rPr>
        <w:t xml:space="preserve"> пациентов из обеих групп</w:t>
      </w:r>
    </w:p>
    <w:tbl>
      <w:tblPr>
        <w:tblStyle w:val="a6"/>
        <w:tblW w:w="0" w:type="auto"/>
        <w:tblLook w:val="04A0"/>
      </w:tblPr>
      <w:tblGrid>
        <w:gridCol w:w="1626"/>
        <w:gridCol w:w="1119"/>
        <w:gridCol w:w="2597"/>
        <w:gridCol w:w="988"/>
        <w:gridCol w:w="2957"/>
      </w:tblGrid>
      <w:tr w:rsidR="00AD2D31" w:rsidTr="00AD2D31">
        <w:trPr>
          <w:trHeight w:val="433"/>
        </w:trPr>
        <w:tc>
          <w:tcPr>
            <w:tcW w:w="1668" w:type="dxa"/>
            <w:vMerge w:val="restart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группа (ОГ)</w:t>
            </w:r>
          </w:p>
        </w:tc>
        <w:tc>
          <w:tcPr>
            <w:tcW w:w="4076" w:type="dxa"/>
            <w:gridSpan w:val="2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группа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2D31" w:rsidTr="00AD2D31">
        <w:trPr>
          <w:trHeight w:val="433"/>
        </w:trPr>
        <w:tc>
          <w:tcPr>
            <w:tcW w:w="1668" w:type="dxa"/>
            <w:vMerge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пациентов</w:t>
            </w:r>
          </w:p>
        </w:tc>
        <w:tc>
          <w:tcPr>
            <w:tcW w:w="99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8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пациентов</w:t>
            </w:r>
          </w:p>
        </w:tc>
      </w:tr>
      <w:tr w:rsidR="00AD2D31" w:rsidTr="00AD2D31">
        <w:tc>
          <w:tcPr>
            <w:tcW w:w="1668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степень</w:t>
            </w:r>
          </w:p>
        </w:tc>
        <w:tc>
          <w:tcPr>
            <w:tcW w:w="113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  <w:tc>
          <w:tcPr>
            <w:tcW w:w="2693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20,0%</w:t>
            </w:r>
          </w:p>
        </w:tc>
        <w:tc>
          <w:tcPr>
            <w:tcW w:w="308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2D31" w:rsidTr="00AD2D31">
        <w:tc>
          <w:tcPr>
            <w:tcW w:w="1668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  <w:tc>
          <w:tcPr>
            <w:tcW w:w="113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16,6%</w:t>
            </w:r>
          </w:p>
        </w:tc>
        <w:tc>
          <w:tcPr>
            <w:tcW w:w="2693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50,0%</w:t>
            </w:r>
          </w:p>
        </w:tc>
        <w:tc>
          <w:tcPr>
            <w:tcW w:w="308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2D31" w:rsidTr="00AD2D31">
        <w:tc>
          <w:tcPr>
            <w:tcW w:w="1668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113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61,1%</w:t>
            </w:r>
          </w:p>
        </w:tc>
        <w:tc>
          <w:tcPr>
            <w:tcW w:w="2693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20,0%</w:t>
            </w:r>
          </w:p>
        </w:tc>
        <w:tc>
          <w:tcPr>
            <w:tcW w:w="308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2D31" w:rsidTr="00AD2D31">
        <w:tc>
          <w:tcPr>
            <w:tcW w:w="1668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степень</w:t>
            </w:r>
          </w:p>
        </w:tc>
        <w:tc>
          <w:tcPr>
            <w:tcW w:w="113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13,9%</w:t>
            </w:r>
          </w:p>
        </w:tc>
        <w:tc>
          <w:tcPr>
            <w:tcW w:w="2693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308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2D31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31" w:rsidRPr="00C667FB" w:rsidRDefault="00B8309D" w:rsidP="00684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509905</wp:posOffset>
            </wp:positionV>
            <wp:extent cx="6172200" cy="3200400"/>
            <wp:effectExtent l="19050" t="0" r="1905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AD2D31" w:rsidRPr="00C667FB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C667FB" w:rsidRPr="00C667FB">
        <w:rPr>
          <w:rFonts w:ascii="Times New Roman" w:hAnsi="Times New Roman" w:cs="Times New Roman"/>
          <w:b/>
          <w:sz w:val="28"/>
          <w:szCs w:val="28"/>
        </w:rPr>
        <w:t>1.</w:t>
      </w:r>
      <w:r w:rsidR="00762554" w:rsidRPr="00762554">
        <w:rPr>
          <w:rFonts w:ascii="Times New Roman" w:hAnsi="Times New Roman" w:cs="Times New Roman"/>
          <w:sz w:val="28"/>
          <w:szCs w:val="28"/>
        </w:rPr>
        <w:t xml:space="preserve"> </w:t>
      </w:r>
      <w:r w:rsidR="00762554" w:rsidRPr="00202908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762554" w:rsidRPr="00202908">
        <w:rPr>
          <w:rFonts w:ascii="Times New Roman" w:hAnsi="Times New Roman" w:cs="Times New Roman"/>
          <w:sz w:val="28"/>
          <w:szCs w:val="28"/>
          <w:lang w:val="en-US"/>
        </w:rPr>
        <w:t>PBI</w:t>
      </w:r>
      <w:r w:rsidR="00762554" w:rsidRPr="00202908">
        <w:rPr>
          <w:rFonts w:ascii="Times New Roman" w:hAnsi="Times New Roman" w:cs="Times New Roman"/>
          <w:sz w:val="28"/>
          <w:szCs w:val="28"/>
        </w:rPr>
        <w:t xml:space="preserve"> пациентов из обеих групп</w:t>
      </w:r>
    </w:p>
    <w:p w:rsidR="00AD2D31" w:rsidRDefault="00AD2D31" w:rsidP="00C667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D31" w:rsidRPr="006D6CDC" w:rsidRDefault="00AD2D31" w:rsidP="006846C3">
      <w:pPr>
        <w:pStyle w:val="2"/>
        <w:jc w:val="both"/>
      </w:pPr>
      <w:bookmarkStart w:id="35" w:name="_Toc102234776"/>
      <w:r>
        <w:lastRenderedPageBreak/>
        <w:t>3.5 Определение степени тяжести гингивита с помощью па</w:t>
      </w:r>
      <w:r w:rsidRPr="00FC2682">
        <w:t>пил</w:t>
      </w:r>
      <w:r>
        <w:t>л</w:t>
      </w:r>
      <w:r w:rsidRPr="00FC2682">
        <w:t>ярно-маргинально-альвеолярн</w:t>
      </w:r>
      <w:r>
        <w:t>ого</w:t>
      </w:r>
      <w:r w:rsidRPr="00FC2682">
        <w:t xml:space="preserve"> индекс</w:t>
      </w:r>
      <w:r>
        <w:t xml:space="preserve">а </w:t>
      </w:r>
      <w:r w:rsidRPr="00FC2682">
        <w:t>гингивита (</w:t>
      </w:r>
      <w:r w:rsidRPr="00FC2682">
        <w:rPr>
          <w:lang w:val="en-US"/>
        </w:rPr>
        <w:t>PMA</w:t>
      </w:r>
      <w:r>
        <w:t>)</w:t>
      </w:r>
      <w:bookmarkEnd w:id="35"/>
    </w:p>
    <w:p w:rsidR="00AD2D31" w:rsidRPr="00C057AA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определения индекса </w:t>
      </w:r>
      <w:r>
        <w:rPr>
          <w:rFonts w:ascii="Times New Roman" w:hAnsi="Times New Roman" w:cs="Times New Roman"/>
          <w:sz w:val="28"/>
          <w:szCs w:val="28"/>
          <w:lang w:val="en-US"/>
        </w:rPr>
        <w:t>PMA</w:t>
      </w:r>
      <w:r w:rsidRPr="00C05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воспалительный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тк</w:t>
      </w:r>
      <w:proofErr w:type="gramEnd"/>
      <w:r>
        <w:rPr>
          <w:rFonts w:ascii="Times New Roman" w:hAnsi="Times New Roman" w:cs="Times New Roman"/>
          <w:sz w:val="28"/>
          <w:szCs w:val="28"/>
        </w:rPr>
        <w:t>анях десны наблюдается у 100% пациентов основной группы и у 90,0% контрольной группы.</w:t>
      </w:r>
    </w:p>
    <w:p w:rsidR="00AD2D31" w:rsidRPr="00762554" w:rsidRDefault="00AD2D31" w:rsidP="00684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C667FB" w:rsidRPr="00C667FB">
        <w:rPr>
          <w:rFonts w:ascii="Times New Roman" w:hAnsi="Times New Roman" w:cs="Times New Roman"/>
          <w:b/>
          <w:sz w:val="28"/>
          <w:szCs w:val="28"/>
        </w:rPr>
        <w:t>9.</w:t>
      </w:r>
      <w:r w:rsidR="00762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554" w:rsidRPr="00762554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762554" w:rsidRPr="00762554">
        <w:rPr>
          <w:rFonts w:ascii="Times New Roman" w:hAnsi="Times New Roman" w:cs="Times New Roman"/>
          <w:sz w:val="28"/>
          <w:szCs w:val="28"/>
          <w:lang w:val="en-US"/>
        </w:rPr>
        <w:t>PMA</w:t>
      </w:r>
      <w:r w:rsidR="00762554" w:rsidRPr="00762554">
        <w:rPr>
          <w:rFonts w:ascii="Times New Roman" w:hAnsi="Times New Roman" w:cs="Times New Roman"/>
          <w:sz w:val="28"/>
          <w:szCs w:val="28"/>
        </w:rPr>
        <w:t xml:space="preserve"> у пациентов обеих групп</w:t>
      </w:r>
    </w:p>
    <w:tbl>
      <w:tblPr>
        <w:tblStyle w:val="a6"/>
        <w:tblW w:w="0" w:type="auto"/>
        <w:tblLook w:val="04A0"/>
      </w:tblPr>
      <w:tblGrid>
        <w:gridCol w:w="2415"/>
        <w:gridCol w:w="1118"/>
        <w:gridCol w:w="2334"/>
        <w:gridCol w:w="1118"/>
        <w:gridCol w:w="2302"/>
      </w:tblGrid>
      <w:tr w:rsidR="00AD2D31" w:rsidTr="00AD2D31">
        <w:trPr>
          <w:trHeight w:val="433"/>
        </w:trPr>
        <w:tc>
          <w:tcPr>
            <w:tcW w:w="2518" w:type="dxa"/>
            <w:vMerge w:val="restart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группа (ОГ)</w:t>
            </w:r>
          </w:p>
        </w:tc>
        <w:tc>
          <w:tcPr>
            <w:tcW w:w="3509" w:type="dxa"/>
            <w:gridSpan w:val="2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группа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2D31" w:rsidTr="00AD2D31">
        <w:trPr>
          <w:trHeight w:val="433"/>
        </w:trPr>
        <w:tc>
          <w:tcPr>
            <w:tcW w:w="2518" w:type="dxa"/>
            <w:vMerge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пациентов</w:t>
            </w:r>
          </w:p>
        </w:tc>
        <w:tc>
          <w:tcPr>
            <w:tcW w:w="113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75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пациентов</w:t>
            </w:r>
          </w:p>
        </w:tc>
      </w:tr>
      <w:tr w:rsidR="00AD2D31" w:rsidTr="00AD2D31">
        <w:tc>
          <w:tcPr>
            <w:tcW w:w="2518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степень</w:t>
            </w:r>
          </w:p>
        </w:tc>
        <w:tc>
          <w:tcPr>
            <w:tcW w:w="1134" w:type="dxa"/>
          </w:tcPr>
          <w:p w:rsidR="00AD2D31" w:rsidRPr="007779C3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9C3">
              <w:rPr>
                <w:rFonts w:ascii="Times New Roman" w:hAnsi="Times New Roman" w:cs="Times New Roman"/>
                <w:sz w:val="28"/>
                <w:szCs w:val="28"/>
              </w:rPr>
              <w:t>13,9%</w:t>
            </w:r>
          </w:p>
        </w:tc>
        <w:tc>
          <w:tcPr>
            <w:tcW w:w="2410" w:type="dxa"/>
          </w:tcPr>
          <w:p w:rsidR="00AD2D31" w:rsidRPr="007779C3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30,0%</w:t>
            </w:r>
          </w:p>
        </w:tc>
        <w:tc>
          <w:tcPr>
            <w:tcW w:w="2375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2D31" w:rsidTr="00AD2D31">
        <w:tc>
          <w:tcPr>
            <w:tcW w:w="2518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степень</w:t>
            </w:r>
          </w:p>
        </w:tc>
        <w:tc>
          <w:tcPr>
            <w:tcW w:w="113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52,8%</w:t>
            </w:r>
          </w:p>
        </w:tc>
        <w:tc>
          <w:tcPr>
            <w:tcW w:w="2410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60,0%</w:t>
            </w:r>
          </w:p>
        </w:tc>
        <w:tc>
          <w:tcPr>
            <w:tcW w:w="2375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2D31" w:rsidTr="00AD2D31">
        <w:tc>
          <w:tcPr>
            <w:tcW w:w="2518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степень</w:t>
            </w:r>
          </w:p>
        </w:tc>
        <w:tc>
          <w:tcPr>
            <w:tcW w:w="113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2410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10,0%</w:t>
            </w:r>
          </w:p>
        </w:tc>
        <w:tc>
          <w:tcPr>
            <w:tcW w:w="2375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D2D31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31" w:rsidRPr="00C667FB" w:rsidRDefault="00AD2D31" w:rsidP="00684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C667FB" w:rsidRPr="00C667FB">
        <w:rPr>
          <w:rFonts w:ascii="Times New Roman" w:hAnsi="Times New Roman" w:cs="Times New Roman"/>
          <w:b/>
          <w:sz w:val="28"/>
          <w:szCs w:val="28"/>
        </w:rPr>
        <w:t>2.</w:t>
      </w:r>
      <w:r w:rsidR="00762554" w:rsidRPr="00762554">
        <w:rPr>
          <w:rFonts w:ascii="Times New Roman" w:hAnsi="Times New Roman" w:cs="Times New Roman"/>
          <w:sz w:val="28"/>
          <w:szCs w:val="28"/>
        </w:rPr>
        <w:t xml:space="preserve"> Индекс </w:t>
      </w:r>
      <w:r w:rsidR="00762554" w:rsidRPr="00762554">
        <w:rPr>
          <w:rFonts w:ascii="Times New Roman" w:hAnsi="Times New Roman" w:cs="Times New Roman"/>
          <w:sz w:val="28"/>
          <w:szCs w:val="28"/>
          <w:lang w:val="en-US"/>
        </w:rPr>
        <w:t>PMA</w:t>
      </w:r>
      <w:r w:rsidR="00762554" w:rsidRPr="00762554">
        <w:rPr>
          <w:rFonts w:ascii="Times New Roman" w:hAnsi="Times New Roman" w:cs="Times New Roman"/>
          <w:sz w:val="28"/>
          <w:szCs w:val="28"/>
        </w:rPr>
        <w:t xml:space="preserve"> у пациентов обеих групп</w:t>
      </w:r>
    </w:p>
    <w:p w:rsidR="00AD2D31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2927" cy="3200400"/>
            <wp:effectExtent l="19050" t="0" r="16873" b="0"/>
            <wp:docPr id="4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2D31" w:rsidRDefault="00AD2D31" w:rsidP="006846C3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2D31" w:rsidRPr="00A561FC" w:rsidRDefault="00AD2D31" w:rsidP="006846C3">
      <w:pPr>
        <w:pStyle w:val="2"/>
        <w:jc w:val="both"/>
      </w:pPr>
      <w:bookmarkStart w:id="36" w:name="_Toc102234777"/>
      <w:r>
        <w:lastRenderedPageBreak/>
        <w:t>3.6 Результаты оценки степеней рецессии десны по шкале Миллера</w:t>
      </w:r>
      <w:bookmarkEnd w:id="36"/>
      <w:r>
        <w:t xml:space="preserve"> 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Рецессии десны разных степеней тяжести были выявлены у 97,2% пациентов основной группы и у 80,0% контрольной группы.</w:t>
      </w:r>
    </w:p>
    <w:p w:rsidR="00AD2D31" w:rsidRPr="00762554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C667FB" w:rsidRPr="00C667FB">
        <w:rPr>
          <w:rFonts w:ascii="Times New Roman" w:hAnsi="Times New Roman" w:cs="Times New Roman"/>
          <w:b/>
          <w:sz w:val="28"/>
          <w:szCs w:val="28"/>
        </w:rPr>
        <w:t>10.</w:t>
      </w:r>
      <w:r w:rsidR="00762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554" w:rsidRPr="00762554">
        <w:rPr>
          <w:rFonts w:ascii="Times New Roman" w:hAnsi="Times New Roman" w:cs="Times New Roman"/>
          <w:sz w:val="28"/>
          <w:szCs w:val="28"/>
        </w:rPr>
        <w:t>Рецессии десны у пациентов обеих групп</w:t>
      </w:r>
    </w:p>
    <w:tbl>
      <w:tblPr>
        <w:tblStyle w:val="a6"/>
        <w:tblW w:w="0" w:type="auto"/>
        <w:tblLook w:val="04A0"/>
      </w:tblPr>
      <w:tblGrid>
        <w:gridCol w:w="1625"/>
        <w:gridCol w:w="1121"/>
        <w:gridCol w:w="2727"/>
        <w:gridCol w:w="988"/>
        <w:gridCol w:w="2826"/>
      </w:tblGrid>
      <w:tr w:rsidR="00AD2D31" w:rsidTr="00AD2D31">
        <w:trPr>
          <w:trHeight w:val="433"/>
        </w:trPr>
        <w:tc>
          <w:tcPr>
            <w:tcW w:w="1666" w:type="dxa"/>
            <w:vMerge w:val="restart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A1">
              <w:rPr>
                <w:rFonts w:ascii="Times New Roman" w:hAnsi="Times New Roman" w:cs="Times New Roman"/>
                <w:sz w:val="28"/>
                <w:szCs w:val="28"/>
              </w:rPr>
              <w:t>Основная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(ОГ)</w:t>
            </w:r>
          </w:p>
        </w:tc>
        <w:tc>
          <w:tcPr>
            <w:tcW w:w="3934" w:type="dxa"/>
            <w:gridSpan w:val="2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A1">
              <w:rPr>
                <w:rFonts w:ascii="Times New Roman" w:hAnsi="Times New Roman" w:cs="Times New Roman"/>
                <w:sz w:val="28"/>
                <w:szCs w:val="28"/>
              </w:rPr>
              <w:t>Контрольная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2D31" w:rsidTr="00AD2D31">
        <w:trPr>
          <w:trHeight w:val="433"/>
        </w:trPr>
        <w:tc>
          <w:tcPr>
            <w:tcW w:w="1666" w:type="dxa"/>
            <w:vMerge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пациентов</w:t>
            </w:r>
          </w:p>
        </w:tc>
        <w:tc>
          <w:tcPr>
            <w:tcW w:w="992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пациентов</w:t>
            </w:r>
          </w:p>
        </w:tc>
      </w:tr>
      <w:tr w:rsidR="00AD2D31" w:rsidTr="00AD2D31">
        <w:tc>
          <w:tcPr>
            <w:tcW w:w="1666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A1">
              <w:rPr>
                <w:rFonts w:ascii="Times New Roman" w:hAnsi="Times New Roman" w:cs="Times New Roman"/>
                <w:sz w:val="28"/>
                <w:szCs w:val="28"/>
              </w:rPr>
              <w:t>1 степень</w:t>
            </w:r>
          </w:p>
        </w:tc>
        <w:tc>
          <w:tcPr>
            <w:tcW w:w="1136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A1">
              <w:rPr>
                <w:rFonts w:ascii="Times New Roman" w:hAnsi="Times New Roman" w:cs="Times New Roman"/>
                <w:sz w:val="28"/>
                <w:szCs w:val="28"/>
              </w:rPr>
              <w:t>5,6%</w:t>
            </w:r>
          </w:p>
        </w:tc>
        <w:tc>
          <w:tcPr>
            <w:tcW w:w="2835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50,0%</w:t>
            </w:r>
          </w:p>
        </w:tc>
        <w:tc>
          <w:tcPr>
            <w:tcW w:w="2942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2D31" w:rsidTr="00AD2D31">
        <w:tc>
          <w:tcPr>
            <w:tcW w:w="1666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A1"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  <w:tc>
          <w:tcPr>
            <w:tcW w:w="1136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A1">
              <w:rPr>
                <w:rFonts w:ascii="Times New Roman" w:hAnsi="Times New Roman" w:cs="Times New Roman"/>
                <w:sz w:val="28"/>
                <w:szCs w:val="28"/>
              </w:rPr>
              <w:t>30,6%</w:t>
            </w:r>
          </w:p>
        </w:tc>
        <w:tc>
          <w:tcPr>
            <w:tcW w:w="2835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20,0%</w:t>
            </w:r>
          </w:p>
        </w:tc>
        <w:tc>
          <w:tcPr>
            <w:tcW w:w="2942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2D31" w:rsidTr="00AD2D31">
        <w:tc>
          <w:tcPr>
            <w:tcW w:w="1666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A1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1136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A1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10,0%</w:t>
            </w:r>
          </w:p>
        </w:tc>
        <w:tc>
          <w:tcPr>
            <w:tcW w:w="2942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2D31" w:rsidTr="00AD2D31">
        <w:tc>
          <w:tcPr>
            <w:tcW w:w="1666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A1">
              <w:rPr>
                <w:rFonts w:ascii="Times New Roman" w:hAnsi="Times New Roman" w:cs="Times New Roman"/>
                <w:sz w:val="28"/>
                <w:szCs w:val="28"/>
              </w:rPr>
              <w:t>4 степень</w:t>
            </w:r>
          </w:p>
        </w:tc>
        <w:tc>
          <w:tcPr>
            <w:tcW w:w="1136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19,4%</w:t>
            </w:r>
          </w:p>
        </w:tc>
        <w:tc>
          <w:tcPr>
            <w:tcW w:w="2835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942" w:type="dxa"/>
          </w:tcPr>
          <w:p w:rsidR="00AD2D31" w:rsidRPr="00D24FA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2D31" w:rsidRPr="00C667FB" w:rsidRDefault="00AD2D31" w:rsidP="00684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D31" w:rsidRPr="00762554" w:rsidRDefault="00C667FB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t>Рисунок 3.</w:t>
      </w:r>
      <w:r w:rsidR="00762554" w:rsidRPr="00762554">
        <w:rPr>
          <w:rFonts w:ascii="Times New Roman" w:hAnsi="Times New Roman" w:cs="Times New Roman"/>
          <w:sz w:val="28"/>
          <w:szCs w:val="28"/>
        </w:rPr>
        <w:t xml:space="preserve"> Рецессии десны у пациентов обеих групп</w:t>
      </w:r>
    </w:p>
    <w:p w:rsidR="00AD2D31" w:rsidRDefault="00AD2D31" w:rsidP="006846C3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9480" cy="3200400"/>
            <wp:effectExtent l="19050" t="0" r="20320" b="0"/>
            <wp:docPr id="5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2D31" w:rsidRDefault="00AD2D31" w:rsidP="006846C3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2D31" w:rsidRDefault="00AD2D31" w:rsidP="006846C3">
      <w:pPr>
        <w:pStyle w:val="3"/>
        <w:jc w:val="both"/>
      </w:pPr>
      <w:bookmarkStart w:id="37" w:name="_Toc102234778"/>
      <w:r>
        <w:lastRenderedPageBreak/>
        <w:t>3.6.1 Анализ распределения степеней тяжести рецессий среди пациентов основной группы</w:t>
      </w:r>
      <w:bookmarkEnd w:id="37"/>
    </w:p>
    <w:p w:rsidR="00AD2D31" w:rsidRPr="00C057AA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Рецессии обнаружены у 90,9% пациентов с артериальной гипертензией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тяжести и у 100% пациентов с артериальной гипертензией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5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степеней тяжести.</w:t>
      </w:r>
    </w:p>
    <w:p w:rsidR="00AD2D31" w:rsidRPr="00C667FB" w:rsidRDefault="00AD2D31" w:rsidP="00684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C667FB" w:rsidRPr="00C667FB">
        <w:rPr>
          <w:rFonts w:ascii="Times New Roman" w:hAnsi="Times New Roman" w:cs="Times New Roman"/>
          <w:b/>
          <w:sz w:val="28"/>
          <w:szCs w:val="28"/>
        </w:rPr>
        <w:t>11.</w:t>
      </w:r>
      <w:r w:rsidR="00762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554" w:rsidRPr="00762554">
        <w:rPr>
          <w:rFonts w:ascii="Times New Roman" w:hAnsi="Times New Roman" w:cs="Times New Roman"/>
          <w:sz w:val="28"/>
          <w:szCs w:val="28"/>
        </w:rPr>
        <w:t>Рецессии десны у пациентов основной группы</w:t>
      </w:r>
    </w:p>
    <w:tbl>
      <w:tblPr>
        <w:tblStyle w:val="a6"/>
        <w:tblW w:w="0" w:type="auto"/>
        <w:tblLook w:val="04A0"/>
      </w:tblPr>
      <w:tblGrid>
        <w:gridCol w:w="2330"/>
        <w:gridCol w:w="2319"/>
        <w:gridCol w:w="2319"/>
        <w:gridCol w:w="2319"/>
      </w:tblGrid>
      <w:tr w:rsidR="00AD2D31" w:rsidTr="00AD2D31">
        <w:tc>
          <w:tcPr>
            <w:tcW w:w="239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2D31" w:rsidRPr="0021039D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AD2D31" w:rsidRPr="0021039D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Pr="00210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</w:tcPr>
          <w:p w:rsidR="00AD2D31" w:rsidRPr="0021039D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Pr="00210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D2D31" w:rsidTr="00AD2D31">
        <w:tc>
          <w:tcPr>
            <w:tcW w:w="2392" w:type="dxa"/>
          </w:tcPr>
          <w:p w:rsidR="00AD2D31" w:rsidRPr="0021039D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степень</w:t>
            </w:r>
          </w:p>
        </w:tc>
        <w:tc>
          <w:tcPr>
            <w:tcW w:w="2393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18,2%</w:t>
            </w:r>
          </w:p>
        </w:tc>
        <w:tc>
          <w:tcPr>
            <w:tcW w:w="2393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18,8%</w:t>
            </w:r>
          </w:p>
        </w:tc>
        <w:tc>
          <w:tcPr>
            <w:tcW w:w="2393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</w:tr>
      <w:tr w:rsidR="00AD2D31" w:rsidTr="00AD2D31">
        <w:tc>
          <w:tcPr>
            <w:tcW w:w="239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  <w:tc>
          <w:tcPr>
            <w:tcW w:w="2393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63,6%</w:t>
            </w:r>
          </w:p>
        </w:tc>
        <w:tc>
          <w:tcPr>
            <w:tcW w:w="2393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25,0%</w:t>
            </w:r>
          </w:p>
        </w:tc>
        <w:tc>
          <w:tcPr>
            <w:tcW w:w="2393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</w:tr>
      <w:tr w:rsidR="00AD2D31" w:rsidTr="00AD2D31">
        <w:tc>
          <w:tcPr>
            <w:tcW w:w="239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2393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9,1%</w:t>
            </w:r>
          </w:p>
        </w:tc>
        <w:tc>
          <w:tcPr>
            <w:tcW w:w="2393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43,8%</w:t>
            </w:r>
          </w:p>
        </w:tc>
        <w:tc>
          <w:tcPr>
            <w:tcW w:w="2393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</w:tr>
      <w:tr w:rsidR="00AD2D31" w:rsidTr="00AD2D31">
        <w:tc>
          <w:tcPr>
            <w:tcW w:w="239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степень</w:t>
            </w:r>
          </w:p>
        </w:tc>
        <w:tc>
          <w:tcPr>
            <w:tcW w:w="2393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93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2393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</w:tr>
    </w:tbl>
    <w:p w:rsidR="00AD2D31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31" w:rsidRPr="005A5C12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C667FB" w:rsidRPr="00C667FB">
        <w:rPr>
          <w:rFonts w:ascii="Times New Roman" w:hAnsi="Times New Roman" w:cs="Times New Roman"/>
          <w:b/>
          <w:sz w:val="28"/>
          <w:szCs w:val="28"/>
        </w:rPr>
        <w:t>4.</w:t>
      </w:r>
      <w:r w:rsidR="005A5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554" w:rsidRPr="00762554">
        <w:rPr>
          <w:rFonts w:ascii="Times New Roman" w:hAnsi="Times New Roman" w:cs="Times New Roman"/>
          <w:sz w:val="28"/>
          <w:szCs w:val="28"/>
        </w:rPr>
        <w:t>Рецессии десны у пациентов основной группы</w:t>
      </w:r>
    </w:p>
    <w:p w:rsidR="00AD2D31" w:rsidRDefault="00AD2D31" w:rsidP="006846C3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3226" cy="3200400"/>
            <wp:effectExtent l="19050" t="0" r="24674" b="0"/>
            <wp:docPr id="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2D31" w:rsidRDefault="00AD2D31" w:rsidP="006846C3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2D31" w:rsidRDefault="00AD2D31" w:rsidP="006846C3">
      <w:pPr>
        <w:pStyle w:val="2"/>
        <w:jc w:val="both"/>
      </w:pPr>
      <w:bookmarkStart w:id="38" w:name="_Toc102234779"/>
      <w:r>
        <w:lastRenderedPageBreak/>
        <w:t>3.7</w:t>
      </w:r>
      <w:r w:rsidRPr="008A415D">
        <w:t xml:space="preserve"> </w:t>
      </w:r>
      <w:r>
        <w:t xml:space="preserve">Результаты оценки </w:t>
      </w:r>
      <w:proofErr w:type="spellStart"/>
      <w:r>
        <w:t>пародонтального</w:t>
      </w:r>
      <w:proofErr w:type="spellEnd"/>
      <w:r>
        <w:t xml:space="preserve"> индекса Рассела (</w:t>
      </w:r>
      <w:r>
        <w:rPr>
          <w:lang w:val="en-US"/>
        </w:rPr>
        <w:t>PI</w:t>
      </w:r>
      <w:r w:rsidRPr="00C057AA">
        <w:t>)</w:t>
      </w:r>
      <w:r>
        <w:t xml:space="preserve"> у пациентов двух групп</w:t>
      </w:r>
      <w:bookmarkEnd w:id="38"/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индекса Рассела показало наличие воспалительного процесса в пародонте у 100% пациентов основной группы и у 90,0% пациентов контрольной группы.</w:t>
      </w:r>
    </w:p>
    <w:p w:rsidR="00AD2D31" w:rsidRPr="00762554" w:rsidRDefault="00AD2D31" w:rsidP="00684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C667FB" w:rsidRPr="00C667FB">
        <w:rPr>
          <w:rFonts w:ascii="Times New Roman" w:hAnsi="Times New Roman" w:cs="Times New Roman"/>
          <w:b/>
          <w:sz w:val="28"/>
          <w:szCs w:val="28"/>
        </w:rPr>
        <w:t>12.</w:t>
      </w:r>
      <w:r w:rsidR="00762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554" w:rsidRPr="00762554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762554" w:rsidRPr="00762554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762554" w:rsidRPr="00762554">
        <w:rPr>
          <w:rFonts w:ascii="Times New Roman" w:hAnsi="Times New Roman" w:cs="Times New Roman"/>
          <w:sz w:val="28"/>
          <w:szCs w:val="28"/>
        </w:rPr>
        <w:t xml:space="preserve"> у пациентов из обеих групп</w:t>
      </w:r>
    </w:p>
    <w:tbl>
      <w:tblPr>
        <w:tblStyle w:val="a6"/>
        <w:tblW w:w="9432" w:type="dxa"/>
        <w:tblLook w:val="04A0"/>
      </w:tblPr>
      <w:tblGrid>
        <w:gridCol w:w="1524"/>
        <w:gridCol w:w="1401"/>
        <w:gridCol w:w="2370"/>
        <w:gridCol w:w="1402"/>
        <w:gridCol w:w="2735"/>
      </w:tblGrid>
      <w:tr w:rsidR="00AD2D31" w:rsidTr="00C667FB">
        <w:trPr>
          <w:trHeight w:val="588"/>
        </w:trPr>
        <w:tc>
          <w:tcPr>
            <w:tcW w:w="1524" w:type="dxa"/>
            <w:vMerge w:val="restart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gridSpan w:val="2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группа (ОГ)</w:t>
            </w:r>
          </w:p>
        </w:tc>
        <w:tc>
          <w:tcPr>
            <w:tcW w:w="4137" w:type="dxa"/>
            <w:gridSpan w:val="2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группа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2D31" w:rsidTr="00C667FB">
        <w:trPr>
          <w:trHeight w:val="133"/>
        </w:trPr>
        <w:tc>
          <w:tcPr>
            <w:tcW w:w="1524" w:type="dxa"/>
            <w:vMerge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70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пациентов</w:t>
            </w:r>
          </w:p>
        </w:tc>
        <w:tc>
          <w:tcPr>
            <w:tcW w:w="140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35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пациентов</w:t>
            </w:r>
          </w:p>
        </w:tc>
      </w:tr>
      <w:tr w:rsidR="00AD2D31" w:rsidTr="00C667FB">
        <w:trPr>
          <w:trHeight w:val="1025"/>
        </w:trPr>
        <w:tc>
          <w:tcPr>
            <w:tcW w:w="152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степень</w:t>
            </w:r>
          </w:p>
        </w:tc>
        <w:tc>
          <w:tcPr>
            <w:tcW w:w="1401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5,6%</w:t>
            </w:r>
          </w:p>
        </w:tc>
        <w:tc>
          <w:tcPr>
            <w:tcW w:w="2370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30,0%</w:t>
            </w:r>
          </w:p>
        </w:tc>
        <w:tc>
          <w:tcPr>
            <w:tcW w:w="2735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2D31" w:rsidTr="00C667FB">
        <w:trPr>
          <w:trHeight w:val="1025"/>
        </w:trPr>
        <w:tc>
          <w:tcPr>
            <w:tcW w:w="152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степень</w:t>
            </w:r>
          </w:p>
        </w:tc>
        <w:tc>
          <w:tcPr>
            <w:tcW w:w="1401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69,4%</w:t>
            </w:r>
          </w:p>
        </w:tc>
        <w:tc>
          <w:tcPr>
            <w:tcW w:w="2370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50,0%</w:t>
            </w:r>
          </w:p>
        </w:tc>
        <w:tc>
          <w:tcPr>
            <w:tcW w:w="2735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2D31" w:rsidTr="00C667FB">
        <w:trPr>
          <w:trHeight w:val="781"/>
        </w:trPr>
        <w:tc>
          <w:tcPr>
            <w:tcW w:w="152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степень</w:t>
            </w:r>
          </w:p>
        </w:tc>
        <w:tc>
          <w:tcPr>
            <w:tcW w:w="1401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25,0%</w:t>
            </w:r>
          </w:p>
        </w:tc>
        <w:tc>
          <w:tcPr>
            <w:tcW w:w="2370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10,0%</w:t>
            </w:r>
          </w:p>
        </w:tc>
        <w:tc>
          <w:tcPr>
            <w:tcW w:w="2735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D2D31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31" w:rsidRPr="00C667FB" w:rsidRDefault="00AD2D31" w:rsidP="00684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C667FB" w:rsidRPr="00C667FB">
        <w:rPr>
          <w:rFonts w:ascii="Times New Roman" w:hAnsi="Times New Roman" w:cs="Times New Roman"/>
          <w:b/>
          <w:sz w:val="28"/>
          <w:szCs w:val="28"/>
        </w:rPr>
        <w:t>5.</w:t>
      </w:r>
      <w:r w:rsidR="00762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554" w:rsidRPr="00762554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762554" w:rsidRPr="00762554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762554" w:rsidRPr="00762554">
        <w:rPr>
          <w:rFonts w:ascii="Times New Roman" w:hAnsi="Times New Roman" w:cs="Times New Roman"/>
          <w:sz w:val="28"/>
          <w:szCs w:val="28"/>
        </w:rPr>
        <w:t xml:space="preserve"> у пациентов из обеих групп</w:t>
      </w:r>
    </w:p>
    <w:p w:rsidR="00AD2D31" w:rsidRDefault="00AD2D31" w:rsidP="006846C3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7046" cy="3091912"/>
            <wp:effectExtent l="19050" t="0" r="18404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2D31" w:rsidRPr="00A561FC" w:rsidRDefault="00AD2D31" w:rsidP="006846C3">
      <w:pPr>
        <w:pStyle w:val="2"/>
        <w:jc w:val="both"/>
      </w:pPr>
      <w:bookmarkStart w:id="39" w:name="_Toc102234780"/>
      <w:r>
        <w:lastRenderedPageBreak/>
        <w:t>3.</w:t>
      </w:r>
      <w:r w:rsidRPr="008A415D">
        <w:t>8</w:t>
      </w:r>
      <w:r w:rsidRPr="0064155E">
        <w:t xml:space="preserve"> </w:t>
      </w:r>
      <w:r>
        <w:t xml:space="preserve">Результаты оценки глубины </w:t>
      </w:r>
      <w:proofErr w:type="spellStart"/>
      <w:r>
        <w:t>пародонтальных</w:t>
      </w:r>
      <w:proofErr w:type="spellEnd"/>
      <w:r>
        <w:t xml:space="preserve"> карманов у пациентов двух групп</w:t>
      </w:r>
      <w:bookmarkEnd w:id="39"/>
      <w:r w:rsidRPr="0021039D">
        <w:t xml:space="preserve"> 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Пародонтальные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карманы были выявлены у 90,9% пациентов основной группы с артериальной гипертензией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4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степени, у 100% пациентов основной группы с артериальной гипертензией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4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степеней, а также у 80,0% пациентов контрольной группы.</w:t>
      </w:r>
    </w:p>
    <w:p w:rsidR="00AD2D31" w:rsidRPr="00762554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C667FB" w:rsidRPr="00C667FB">
        <w:rPr>
          <w:rFonts w:ascii="Times New Roman" w:hAnsi="Times New Roman" w:cs="Times New Roman"/>
          <w:b/>
          <w:sz w:val="28"/>
          <w:szCs w:val="28"/>
        </w:rPr>
        <w:t>13.</w:t>
      </w:r>
      <w:r w:rsidR="007625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2554" w:rsidRPr="00762554">
        <w:rPr>
          <w:rFonts w:ascii="Times New Roman" w:hAnsi="Times New Roman" w:cs="Times New Roman"/>
          <w:sz w:val="28"/>
          <w:szCs w:val="28"/>
        </w:rPr>
        <w:t>Пародонтальные</w:t>
      </w:r>
      <w:proofErr w:type="spellEnd"/>
      <w:r w:rsidR="00762554" w:rsidRPr="00762554">
        <w:rPr>
          <w:rFonts w:ascii="Times New Roman" w:hAnsi="Times New Roman" w:cs="Times New Roman"/>
          <w:sz w:val="28"/>
          <w:szCs w:val="28"/>
        </w:rPr>
        <w:t xml:space="preserve"> карманы у пациентов из обеих групп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992"/>
        <w:gridCol w:w="1113"/>
        <w:gridCol w:w="1013"/>
        <w:gridCol w:w="1220"/>
        <w:gridCol w:w="1048"/>
        <w:gridCol w:w="1185"/>
        <w:gridCol w:w="942"/>
        <w:gridCol w:w="1099"/>
      </w:tblGrid>
      <w:tr w:rsidR="00AD2D31" w:rsidTr="00AD2D31">
        <w:trPr>
          <w:trHeight w:val="257"/>
        </w:trPr>
        <w:tc>
          <w:tcPr>
            <w:tcW w:w="959" w:type="dxa"/>
            <w:vMerge w:val="restart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:rsidR="00AD2D31" w:rsidRPr="00434609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Pr="008A4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33" w:type="dxa"/>
            <w:gridSpan w:val="2"/>
          </w:tcPr>
          <w:p w:rsidR="00AD2D31" w:rsidRPr="008A415D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Pr="008A4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33" w:type="dxa"/>
            <w:gridSpan w:val="2"/>
          </w:tcPr>
          <w:p w:rsidR="00AD2D31" w:rsidRPr="008A415D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Pr="008A4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041" w:type="dxa"/>
            <w:gridSpan w:val="2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AD2D31" w:rsidTr="00AD2D31">
        <w:trPr>
          <w:trHeight w:val="256"/>
        </w:trPr>
        <w:tc>
          <w:tcPr>
            <w:tcW w:w="959" w:type="dxa"/>
            <w:vMerge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3" w:type="dxa"/>
          </w:tcPr>
          <w:p w:rsidR="00AD2D31" w:rsidRPr="008A415D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3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0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5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2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9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2D31" w:rsidTr="00AD2D31">
        <w:tc>
          <w:tcPr>
            <w:tcW w:w="959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мм</w:t>
            </w:r>
          </w:p>
        </w:tc>
        <w:tc>
          <w:tcPr>
            <w:tcW w:w="992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36,4%</w:t>
            </w:r>
          </w:p>
        </w:tc>
        <w:tc>
          <w:tcPr>
            <w:tcW w:w="1113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  <w:tc>
          <w:tcPr>
            <w:tcW w:w="1220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8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  <w:tc>
          <w:tcPr>
            <w:tcW w:w="1185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40,0%</w:t>
            </w:r>
          </w:p>
        </w:tc>
        <w:tc>
          <w:tcPr>
            <w:tcW w:w="1099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2D31" w:rsidTr="00AD2D31">
        <w:tc>
          <w:tcPr>
            <w:tcW w:w="959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мм</w:t>
            </w:r>
          </w:p>
        </w:tc>
        <w:tc>
          <w:tcPr>
            <w:tcW w:w="992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45,5%</w:t>
            </w:r>
          </w:p>
        </w:tc>
        <w:tc>
          <w:tcPr>
            <w:tcW w:w="1113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43,8%</w:t>
            </w:r>
          </w:p>
        </w:tc>
        <w:tc>
          <w:tcPr>
            <w:tcW w:w="1220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8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55,6%</w:t>
            </w:r>
          </w:p>
        </w:tc>
        <w:tc>
          <w:tcPr>
            <w:tcW w:w="1185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2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30,0%</w:t>
            </w:r>
          </w:p>
        </w:tc>
        <w:tc>
          <w:tcPr>
            <w:tcW w:w="1099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2D31" w:rsidTr="00AD2D31">
        <w:tc>
          <w:tcPr>
            <w:tcW w:w="959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мм и более</w:t>
            </w:r>
          </w:p>
        </w:tc>
        <w:tc>
          <w:tcPr>
            <w:tcW w:w="992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9,1%</w:t>
            </w:r>
          </w:p>
        </w:tc>
        <w:tc>
          <w:tcPr>
            <w:tcW w:w="1113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18,8%</w:t>
            </w:r>
          </w:p>
        </w:tc>
        <w:tc>
          <w:tcPr>
            <w:tcW w:w="1220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185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10,0%</w:t>
            </w:r>
          </w:p>
        </w:tc>
        <w:tc>
          <w:tcPr>
            <w:tcW w:w="1099" w:type="dxa"/>
          </w:tcPr>
          <w:p w:rsidR="00AD2D31" w:rsidRDefault="00AD2D31" w:rsidP="006846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667FB" w:rsidRDefault="00C667FB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31" w:rsidRPr="00762554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C667FB" w:rsidRPr="00C667FB">
        <w:rPr>
          <w:rFonts w:ascii="Times New Roman" w:hAnsi="Times New Roman" w:cs="Times New Roman"/>
          <w:b/>
          <w:sz w:val="28"/>
          <w:szCs w:val="28"/>
        </w:rPr>
        <w:t>6.</w:t>
      </w:r>
      <w:r w:rsidR="00762554" w:rsidRPr="00762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554" w:rsidRPr="00762554">
        <w:rPr>
          <w:rFonts w:ascii="Times New Roman" w:hAnsi="Times New Roman" w:cs="Times New Roman"/>
          <w:sz w:val="28"/>
          <w:szCs w:val="28"/>
        </w:rPr>
        <w:t>Пародонтальные</w:t>
      </w:r>
      <w:proofErr w:type="spellEnd"/>
      <w:r w:rsidR="00762554" w:rsidRPr="00762554">
        <w:rPr>
          <w:rFonts w:ascii="Times New Roman" w:hAnsi="Times New Roman" w:cs="Times New Roman"/>
          <w:sz w:val="28"/>
          <w:szCs w:val="28"/>
        </w:rPr>
        <w:t xml:space="preserve"> карманы у пациентов из обеих групп</w:t>
      </w:r>
    </w:p>
    <w:p w:rsidR="00AD2D31" w:rsidRDefault="00AD2D31" w:rsidP="006846C3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2808" cy="2898183"/>
            <wp:effectExtent l="19050" t="0" r="25992" b="0"/>
            <wp:docPr id="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2D31" w:rsidRDefault="00AD2D31" w:rsidP="006846C3">
      <w:pPr>
        <w:pStyle w:val="2"/>
        <w:jc w:val="both"/>
      </w:pPr>
      <w:bookmarkStart w:id="40" w:name="_Toc102234781"/>
      <w:r>
        <w:lastRenderedPageBreak/>
        <w:t>3.</w:t>
      </w:r>
      <w:r w:rsidRPr="009A0B42">
        <w:t>9</w:t>
      </w:r>
      <w:r>
        <w:t xml:space="preserve"> Результаты оценки степени подвижности зубов по шкале Миллера</w:t>
      </w:r>
      <w:bookmarkEnd w:id="40"/>
    </w:p>
    <w:p w:rsidR="00AD2D31" w:rsidRPr="00B242BC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2BC">
        <w:rPr>
          <w:rFonts w:ascii="Times New Roman" w:hAnsi="Times New Roman" w:cs="Times New Roman"/>
          <w:sz w:val="28"/>
          <w:szCs w:val="28"/>
        </w:rPr>
        <w:t>Подвижность зубов 0 степени (физиологическая подвижность) выявлена у 44,4% пациентов основной группы и у 60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242BC">
        <w:rPr>
          <w:rFonts w:ascii="Times New Roman" w:hAnsi="Times New Roman" w:cs="Times New Roman"/>
          <w:sz w:val="28"/>
          <w:szCs w:val="28"/>
        </w:rPr>
        <w:t>% пациентов контрольной группы.</w:t>
      </w:r>
    </w:p>
    <w:p w:rsidR="00AD2D31" w:rsidRPr="00C667FB" w:rsidRDefault="00AD2D31" w:rsidP="00684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C667FB" w:rsidRPr="00C667FB">
        <w:rPr>
          <w:rFonts w:ascii="Times New Roman" w:hAnsi="Times New Roman" w:cs="Times New Roman"/>
          <w:b/>
          <w:sz w:val="28"/>
          <w:szCs w:val="28"/>
        </w:rPr>
        <w:t>14.</w:t>
      </w:r>
      <w:r w:rsidR="00762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554" w:rsidRPr="00762554">
        <w:rPr>
          <w:rFonts w:ascii="Times New Roman" w:hAnsi="Times New Roman" w:cs="Times New Roman"/>
          <w:sz w:val="28"/>
          <w:szCs w:val="28"/>
        </w:rPr>
        <w:t>Степень подвижности зубов у пациентов из обеих групп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418"/>
        <w:gridCol w:w="993"/>
        <w:gridCol w:w="1134"/>
        <w:gridCol w:w="992"/>
        <w:gridCol w:w="1134"/>
        <w:gridCol w:w="992"/>
        <w:gridCol w:w="1134"/>
        <w:gridCol w:w="992"/>
        <w:gridCol w:w="1134"/>
      </w:tblGrid>
      <w:tr w:rsidR="00AD2D31" w:rsidTr="00AD2D31">
        <w:trPr>
          <w:trHeight w:val="257"/>
        </w:trPr>
        <w:tc>
          <w:tcPr>
            <w:tcW w:w="1418" w:type="dxa"/>
            <w:vMerge w:val="restart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D2D31" w:rsidRPr="00434609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2126" w:type="dxa"/>
            <w:gridSpan w:val="2"/>
          </w:tcPr>
          <w:p w:rsidR="00AD2D31" w:rsidRPr="00434609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6" w:type="dxa"/>
            <w:gridSpan w:val="2"/>
          </w:tcPr>
          <w:p w:rsidR="00AD2D31" w:rsidRPr="00434609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2126" w:type="dxa"/>
            <w:gridSpan w:val="2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AD2D31" w:rsidTr="00AD2D31">
        <w:trPr>
          <w:trHeight w:val="256"/>
        </w:trPr>
        <w:tc>
          <w:tcPr>
            <w:tcW w:w="1418" w:type="dxa"/>
            <w:vMerge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2D31" w:rsidTr="00AD2D31">
        <w:tc>
          <w:tcPr>
            <w:tcW w:w="1418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</w:rPr>
              <w:t>0 степень</w:t>
            </w:r>
          </w:p>
        </w:tc>
        <w:tc>
          <w:tcPr>
            <w:tcW w:w="993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  <w:r w:rsidRPr="00250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</w:rPr>
              <w:t>43,8%</w:t>
            </w:r>
          </w:p>
        </w:tc>
        <w:tc>
          <w:tcPr>
            <w:tcW w:w="1134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  <w:tc>
          <w:tcPr>
            <w:tcW w:w="1134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134" w:type="dxa"/>
          </w:tcPr>
          <w:p w:rsidR="00AD2D31" w:rsidRPr="009D775A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D2D31" w:rsidTr="00AD2D31">
        <w:tc>
          <w:tcPr>
            <w:tcW w:w="1418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</w:rPr>
              <w:t>1 степень</w:t>
            </w:r>
          </w:p>
        </w:tc>
        <w:tc>
          <w:tcPr>
            <w:tcW w:w="993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</w:rPr>
              <w:t>27,3%</w:t>
            </w:r>
          </w:p>
        </w:tc>
        <w:tc>
          <w:tcPr>
            <w:tcW w:w="1134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</w:rPr>
              <w:t>31,3%</w:t>
            </w:r>
          </w:p>
        </w:tc>
        <w:tc>
          <w:tcPr>
            <w:tcW w:w="1134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134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134" w:type="dxa"/>
          </w:tcPr>
          <w:p w:rsidR="00AD2D31" w:rsidRPr="009D775A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D2D31" w:rsidTr="00AD2D31">
        <w:tc>
          <w:tcPr>
            <w:tcW w:w="1418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  <w:tc>
          <w:tcPr>
            <w:tcW w:w="993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</w:rPr>
              <w:t>9,1%</w:t>
            </w:r>
          </w:p>
        </w:tc>
        <w:tc>
          <w:tcPr>
            <w:tcW w:w="1134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</w:rPr>
              <w:t>18,8%</w:t>
            </w:r>
          </w:p>
        </w:tc>
        <w:tc>
          <w:tcPr>
            <w:tcW w:w="1134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  <w:tc>
          <w:tcPr>
            <w:tcW w:w="1134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10,0%</w:t>
            </w:r>
          </w:p>
        </w:tc>
        <w:tc>
          <w:tcPr>
            <w:tcW w:w="1134" w:type="dxa"/>
          </w:tcPr>
          <w:p w:rsidR="00AD2D31" w:rsidRPr="009D775A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D2D31" w:rsidTr="00AD2D31">
        <w:tc>
          <w:tcPr>
            <w:tcW w:w="1418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993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134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</w:rPr>
              <w:t>6,3%</w:t>
            </w:r>
          </w:p>
        </w:tc>
        <w:tc>
          <w:tcPr>
            <w:tcW w:w="1134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  <w:tc>
          <w:tcPr>
            <w:tcW w:w="1134" w:type="dxa"/>
          </w:tcPr>
          <w:p w:rsidR="00AD2D31" w:rsidRPr="002501C2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2D31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134" w:type="dxa"/>
          </w:tcPr>
          <w:p w:rsidR="00AD2D31" w:rsidRPr="009D775A" w:rsidRDefault="00AD2D31" w:rsidP="00684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AD2D31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31" w:rsidRPr="00C667FB" w:rsidRDefault="00AD2D31" w:rsidP="00684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C667FB" w:rsidRPr="00C667FB">
        <w:rPr>
          <w:rFonts w:ascii="Times New Roman" w:hAnsi="Times New Roman" w:cs="Times New Roman"/>
          <w:b/>
          <w:sz w:val="28"/>
          <w:szCs w:val="28"/>
        </w:rPr>
        <w:t>7.</w:t>
      </w:r>
      <w:r w:rsidR="00762554" w:rsidRPr="00762554">
        <w:rPr>
          <w:rFonts w:ascii="Times New Roman" w:hAnsi="Times New Roman" w:cs="Times New Roman"/>
          <w:sz w:val="28"/>
          <w:szCs w:val="28"/>
        </w:rPr>
        <w:t xml:space="preserve"> Степень подвижности зубов у пациентов из обеих групп</w:t>
      </w:r>
    </w:p>
    <w:p w:rsidR="00AD2D31" w:rsidRDefault="00AD2D31" w:rsidP="006846C3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1199" cy="3088256"/>
            <wp:effectExtent l="19050" t="0" r="24801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2D31" w:rsidRDefault="00AD2D31" w:rsidP="006846C3">
      <w:pPr>
        <w:pStyle w:val="2"/>
        <w:jc w:val="both"/>
      </w:pPr>
      <w:bookmarkStart w:id="41" w:name="_Toc102234782"/>
      <w:r>
        <w:lastRenderedPageBreak/>
        <w:t>3.</w:t>
      </w:r>
      <w:r w:rsidRPr="006217CA">
        <w:t>10</w:t>
      </w:r>
      <w:r>
        <w:t xml:space="preserve"> Анализ результатов рентгенологического исследования</w:t>
      </w:r>
      <w:bookmarkEnd w:id="41"/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рентгенологического исследования был проведен анализ состояния костной ткани челюстей и тканей пародонта у пациентов обеих групп.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Разрушение кортикальной пластинки и резорбция костной ткани были определены у 97,2% пациентов основной группы и у 80,0% контрольной группы. 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63,9% пациентов основной группы были обнаружены костные карманы, тогда как в контрольной группе процент пациентов с костными карманами был в разы ниже – всего 10,0%.</w:t>
      </w:r>
    </w:p>
    <w:p w:rsidR="00AD2D31" w:rsidRPr="00C667FB" w:rsidRDefault="00AD2D31" w:rsidP="006846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C667FB" w:rsidRPr="00C667FB">
        <w:rPr>
          <w:rFonts w:ascii="Times New Roman" w:hAnsi="Times New Roman" w:cs="Times New Roman"/>
          <w:b/>
          <w:sz w:val="28"/>
          <w:szCs w:val="28"/>
        </w:rPr>
        <w:t>15.</w:t>
      </w:r>
      <w:r w:rsidR="00762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554" w:rsidRPr="00762554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3047F1">
        <w:rPr>
          <w:rFonts w:ascii="Times New Roman" w:hAnsi="Times New Roman" w:cs="Times New Roman"/>
          <w:sz w:val="28"/>
          <w:szCs w:val="28"/>
        </w:rPr>
        <w:t>рентгенологического исследования</w:t>
      </w:r>
      <w:r w:rsidR="00762554" w:rsidRPr="00762554">
        <w:rPr>
          <w:rFonts w:ascii="Times New Roman" w:hAnsi="Times New Roman" w:cs="Times New Roman"/>
          <w:sz w:val="28"/>
          <w:szCs w:val="28"/>
        </w:rPr>
        <w:t xml:space="preserve"> пациентов из обеих групп</w:t>
      </w:r>
    </w:p>
    <w:tbl>
      <w:tblPr>
        <w:tblStyle w:val="a6"/>
        <w:tblW w:w="0" w:type="auto"/>
        <w:tblLook w:val="04A0"/>
      </w:tblPr>
      <w:tblGrid>
        <w:gridCol w:w="2018"/>
        <w:gridCol w:w="1221"/>
        <w:gridCol w:w="1495"/>
        <w:gridCol w:w="1498"/>
        <w:gridCol w:w="1665"/>
        <w:gridCol w:w="1390"/>
      </w:tblGrid>
      <w:tr w:rsidR="00AD2D31" w:rsidTr="00AD2D31">
        <w:tc>
          <w:tcPr>
            <w:tcW w:w="3342" w:type="dxa"/>
            <w:gridSpan w:val="2"/>
          </w:tcPr>
          <w:p w:rsidR="00AD2D31" w:rsidRPr="00D24FA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D31" w:rsidRPr="00BE0CB3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546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AD2D31" w:rsidRPr="00F552BE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716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AD2D31" w:rsidRPr="00F552BE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424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AD2D31" w:rsidRPr="004F1B8F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(%)</w:t>
            </w:r>
            <w:proofErr w:type="gramEnd"/>
          </w:p>
        </w:tc>
      </w:tr>
      <w:tr w:rsidR="00AD2D31" w:rsidTr="00AD2D31">
        <w:tc>
          <w:tcPr>
            <w:tcW w:w="3342" w:type="dxa"/>
            <w:gridSpan w:val="2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Разрушена кортикальная пластинка</w:t>
            </w:r>
          </w:p>
        </w:tc>
        <w:tc>
          <w:tcPr>
            <w:tcW w:w="1543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(90,9%)</w:t>
            </w:r>
          </w:p>
        </w:tc>
        <w:tc>
          <w:tcPr>
            <w:tcW w:w="1546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(100%)</w:t>
            </w:r>
          </w:p>
        </w:tc>
        <w:tc>
          <w:tcPr>
            <w:tcW w:w="1716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(100,0%)</w:t>
            </w:r>
          </w:p>
        </w:tc>
        <w:tc>
          <w:tcPr>
            <w:tcW w:w="1424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(80,0%)</w:t>
            </w:r>
          </w:p>
        </w:tc>
      </w:tr>
      <w:tr w:rsidR="00AD2D31" w:rsidTr="00AD2D31">
        <w:trPr>
          <w:trHeight w:val="290"/>
        </w:trPr>
        <w:tc>
          <w:tcPr>
            <w:tcW w:w="2091" w:type="dxa"/>
            <w:vMerge w:val="restart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Резорбция костной ткани</w:t>
            </w:r>
          </w:p>
        </w:tc>
        <w:tc>
          <w:tcPr>
            <w:tcW w:w="1251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1\3 длины корня</w:t>
            </w:r>
          </w:p>
        </w:tc>
        <w:tc>
          <w:tcPr>
            <w:tcW w:w="1543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(27,3%)</w:t>
            </w:r>
          </w:p>
        </w:tc>
        <w:tc>
          <w:tcPr>
            <w:tcW w:w="1546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(37,5%)</w:t>
            </w:r>
          </w:p>
        </w:tc>
        <w:tc>
          <w:tcPr>
            <w:tcW w:w="1716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(11,1%)</w:t>
            </w:r>
          </w:p>
        </w:tc>
        <w:tc>
          <w:tcPr>
            <w:tcW w:w="1424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(40,0%)</w:t>
            </w:r>
          </w:p>
        </w:tc>
      </w:tr>
      <w:tr w:rsidR="00AD2D31" w:rsidTr="00AD2D31">
        <w:trPr>
          <w:trHeight w:val="288"/>
        </w:trPr>
        <w:tc>
          <w:tcPr>
            <w:tcW w:w="2091" w:type="dxa"/>
            <w:vMerge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1\3 – 1\2 длины корня</w:t>
            </w:r>
          </w:p>
        </w:tc>
        <w:tc>
          <w:tcPr>
            <w:tcW w:w="1543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(54,5%)</w:t>
            </w:r>
          </w:p>
        </w:tc>
        <w:tc>
          <w:tcPr>
            <w:tcW w:w="1546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(43,8%)</w:t>
            </w:r>
          </w:p>
        </w:tc>
        <w:tc>
          <w:tcPr>
            <w:tcW w:w="1716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(44,4%)</w:t>
            </w:r>
          </w:p>
        </w:tc>
        <w:tc>
          <w:tcPr>
            <w:tcW w:w="1424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(30,0%)</w:t>
            </w:r>
          </w:p>
        </w:tc>
      </w:tr>
      <w:tr w:rsidR="00AD2D31" w:rsidTr="00AD2D31">
        <w:trPr>
          <w:trHeight w:val="288"/>
        </w:trPr>
        <w:tc>
          <w:tcPr>
            <w:tcW w:w="2091" w:type="dxa"/>
            <w:vMerge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1\2 длины корня</w:t>
            </w:r>
          </w:p>
        </w:tc>
        <w:tc>
          <w:tcPr>
            <w:tcW w:w="1543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(9,1%)</w:t>
            </w:r>
          </w:p>
        </w:tc>
        <w:tc>
          <w:tcPr>
            <w:tcW w:w="1546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(18,8%)</w:t>
            </w:r>
          </w:p>
        </w:tc>
        <w:tc>
          <w:tcPr>
            <w:tcW w:w="1716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(44,4%)</w:t>
            </w:r>
          </w:p>
        </w:tc>
        <w:tc>
          <w:tcPr>
            <w:tcW w:w="1424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(10,0%)</w:t>
            </w:r>
          </w:p>
        </w:tc>
      </w:tr>
      <w:tr w:rsidR="00AD2D31" w:rsidTr="00AD2D31">
        <w:trPr>
          <w:trHeight w:val="288"/>
        </w:trPr>
        <w:tc>
          <w:tcPr>
            <w:tcW w:w="3342" w:type="dxa"/>
            <w:gridSpan w:val="2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костных карманов</w:t>
            </w:r>
          </w:p>
        </w:tc>
        <w:tc>
          <w:tcPr>
            <w:tcW w:w="1543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(54,5%)</w:t>
            </w:r>
          </w:p>
        </w:tc>
        <w:tc>
          <w:tcPr>
            <w:tcW w:w="1546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(62,5%)</w:t>
            </w:r>
          </w:p>
        </w:tc>
        <w:tc>
          <w:tcPr>
            <w:tcW w:w="1716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(77,8%)</w:t>
            </w:r>
          </w:p>
        </w:tc>
        <w:tc>
          <w:tcPr>
            <w:tcW w:w="1424" w:type="dxa"/>
          </w:tcPr>
          <w:p w:rsidR="00AD2D31" w:rsidRDefault="00AD2D31" w:rsidP="00684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(10,0%)</w:t>
            </w:r>
          </w:p>
        </w:tc>
      </w:tr>
    </w:tbl>
    <w:p w:rsidR="00AD2D31" w:rsidRDefault="00AD2D31" w:rsidP="006846C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31" w:rsidRDefault="00AD2D31" w:rsidP="006846C3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2D31" w:rsidRPr="00A561FC" w:rsidRDefault="00AD2D31" w:rsidP="006846C3">
      <w:pPr>
        <w:pStyle w:val="2"/>
        <w:jc w:val="both"/>
      </w:pPr>
      <w:bookmarkStart w:id="42" w:name="_Toc102234783"/>
      <w:r w:rsidRPr="00B05E0B">
        <w:lastRenderedPageBreak/>
        <w:t>3.11 Анализ структуры патологии пародонта у пациентов двух групп</w:t>
      </w:r>
      <w:bookmarkEnd w:id="42"/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результатов клинического исследования и анализа рентгенологических снимков пациентов были поставлены диагнозы.</w:t>
      </w:r>
    </w:p>
    <w:p w:rsidR="00AD2D31" w:rsidRPr="00A561FC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легкой степени был обнаружен у 27,8%  пациентов основной группы и у 40,0% пациентов контрольной группы</w:t>
      </w:r>
      <w:r w:rsidRPr="00A561FC">
        <w:rPr>
          <w:rFonts w:ascii="Times New Roman" w:hAnsi="Times New Roman" w:cs="Times New Roman"/>
          <w:sz w:val="28"/>
          <w:szCs w:val="28"/>
        </w:rPr>
        <w:t>;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степени у 47,2% пациентов основной группы и у 30,0% пациентов контрольной группы</w:t>
      </w:r>
      <w:r w:rsidRPr="00A561FC">
        <w:rPr>
          <w:rFonts w:ascii="Times New Roman" w:hAnsi="Times New Roman" w:cs="Times New Roman"/>
          <w:sz w:val="28"/>
          <w:szCs w:val="28"/>
        </w:rPr>
        <w:t>;</w:t>
      </w:r>
    </w:p>
    <w:p w:rsidR="00AD2D31" w:rsidRPr="00A561FC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тяжелой степени у 22,2% пациентов основной группы и у 10,0% пациентов контрольной группы</w:t>
      </w:r>
      <w:r w:rsidRPr="00A561FC">
        <w:rPr>
          <w:rFonts w:ascii="Times New Roman" w:hAnsi="Times New Roman" w:cs="Times New Roman"/>
          <w:sz w:val="28"/>
          <w:szCs w:val="28"/>
        </w:rPr>
        <w:t>;</w:t>
      </w:r>
    </w:p>
    <w:p w:rsidR="00AD2D31" w:rsidRDefault="00AD2D31" w:rsidP="005E0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Патологии тканей пародонта выявлено не было у 9,1% пациентов основной группы и у 20,0% пациентов контрольной группы.</w:t>
      </w:r>
    </w:p>
    <w:p w:rsidR="00AD2D31" w:rsidRPr="00C667FB" w:rsidRDefault="00AD2D31" w:rsidP="00684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F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C667FB" w:rsidRPr="00C667FB">
        <w:rPr>
          <w:rFonts w:ascii="Times New Roman" w:hAnsi="Times New Roman" w:cs="Times New Roman"/>
          <w:b/>
          <w:sz w:val="28"/>
          <w:szCs w:val="28"/>
        </w:rPr>
        <w:t>16.</w:t>
      </w:r>
      <w:r w:rsidR="00304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F1" w:rsidRPr="003047F1">
        <w:rPr>
          <w:rFonts w:ascii="Times New Roman" w:hAnsi="Times New Roman" w:cs="Times New Roman"/>
          <w:sz w:val="28"/>
          <w:szCs w:val="28"/>
        </w:rPr>
        <w:t>Анализ  структуры патологии пародонта у пациентов из обеих групп</w:t>
      </w:r>
    </w:p>
    <w:tbl>
      <w:tblPr>
        <w:tblStyle w:val="a6"/>
        <w:tblW w:w="10065" w:type="dxa"/>
        <w:tblInd w:w="-318" w:type="dxa"/>
        <w:tblLook w:val="04A0"/>
      </w:tblPr>
      <w:tblGrid>
        <w:gridCol w:w="1560"/>
        <w:gridCol w:w="1134"/>
        <w:gridCol w:w="993"/>
        <w:gridCol w:w="1134"/>
        <w:gridCol w:w="1134"/>
        <w:gridCol w:w="1074"/>
        <w:gridCol w:w="964"/>
        <w:gridCol w:w="1080"/>
        <w:gridCol w:w="992"/>
      </w:tblGrid>
      <w:tr w:rsidR="00AD2D31" w:rsidTr="00AD2D31">
        <w:trPr>
          <w:trHeight w:val="257"/>
        </w:trPr>
        <w:tc>
          <w:tcPr>
            <w:tcW w:w="1560" w:type="dxa"/>
            <w:vMerge w:val="restart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 xml:space="preserve">АГ </w:t>
            </w:r>
            <w:r w:rsidRPr="005E0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gridSpan w:val="2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 xml:space="preserve">АГ </w:t>
            </w:r>
            <w:r w:rsidRPr="005E0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38" w:type="dxa"/>
            <w:gridSpan w:val="2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 xml:space="preserve">АГ </w:t>
            </w:r>
            <w:r w:rsidRPr="005E0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72" w:type="dxa"/>
            <w:gridSpan w:val="2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AD2D31" w:rsidTr="00AD2D31">
        <w:trPr>
          <w:trHeight w:val="256"/>
        </w:trPr>
        <w:tc>
          <w:tcPr>
            <w:tcW w:w="1560" w:type="dxa"/>
            <w:vMerge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2D31" w:rsidTr="00AD2D31">
        <w:tc>
          <w:tcPr>
            <w:tcW w:w="1560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ХГП легкой степени</w:t>
            </w:r>
          </w:p>
        </w:tc>
        <w:tc>
          <w:tcPr>
            <w:tcW w:w="113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13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107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080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40,0%</w:t>
            </w:r>
          </w:p>
        </w:tc>
      </w:tr>
      <w:tr w:rsidR="00AD2D31" w:rsidTr="00AD2D31">
        <w:tc>
          <w:tcPr>
            <w:tcW w:w="1560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ХГП средней степени</w:t>
            </w:r>
          </w:p>
        </w:tc>
        <w:tc>
          <w:tcPr>
            <w:tcW w:w="113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13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43,8%</w:t>
            </w:r>
          </w:p>
        </w:tc>
        <w:tc>
          <w:tcPr>
            <w:tcW w:w="107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1080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30,0%</w:t>
            </w:r>
          </w:p>
        </w:tc>
      </w:tr>
      <w:tr w:rsidR="00AD2D31" w:rsidTr="00AD2D31">
        <w:tc>
          <w:tcPr>
            <w:tcW w:w="1560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ХГП тяжелой степени</w:t>
            </w:r>
          </w:p>
        </w:tc>
        <w:tc>
          <w:tcPr>
            <w:tcW w:w="113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13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18,8%</w:t>
            </w:r>
          </w:p>
        </w:tc>
        <w:tc>
          <w:tcPr>
            <w:tcW w:w="107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1080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</w:tr>
      <w:tr w:rsidR="00AD2D31" w:rsidTr="005E0A26">
        <w:trPr>
          <w:trHeight w:val="1383"/>
        </w:trPr>
        <w:tc>
          <w:tcPr>
            <w:tcW w:w="1560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Патология пародонта не выявлена</w:t>
            </w:r>
          </w:p>
        </w:tc>
        <w:tc>
          <w:tcPr>
            <w:tcW w:w="113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13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07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080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2D31" w:rsidRPr="005E0A26" w:rsidRDefault="00AD2D31" w:rsidP="0068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26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</w:tr>
    </w:tbl>
    <w:p w:rsidR="00AD2D31" w:rsidRDefault="00AD2D31" w:rsidP="00684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D31" w:rsidRPr="002D45A9" w:rsidRDefault="00AD2D31" w:rsidP="00684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5A9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C667FB" w:rsidRPr="002D45A9">
        <w:rPr>
          <w:rFonts w:ascii="Times New Roman" w:hAnsi="Times New Roman" w:cs="Times New Roman"/>
          <w:b/>
          <w:sz w:val="28"/>
          <w:szCs w:val="28"/>
        </w:rPr>
        <w:t>8.</w:t>
      </w:r>
      <w:r w:rsidR="003047F1" w:rsidRPr="003047F1">
        <w:rPr>
          <w:rFonts w:ascii="Times New Roman" w:hAnsi="Times New Roman" w:cs="Times New Roman"/>
          <w:sz w:val="28"/>
          <w:szCs w:val="28"/>
        </w:rPr>
        <w:t xml:space="preserve"> Анализ  структуры патологии пародонта у пациентов из обеих групп</w:t>
      </w:r>
    </w:p>
    <w:p w:rsidR="00AD2D31" w:rsidRPr="00190969" w:rsidRDefault="00AD2D31" w:rsidP="00684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1199" cy="3933646"/>
            <wp:effectExtent l="19050" t="0" r="2480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13B7" w:rsidRPr="00AD2D31" w:rsidRDefault="003A13B7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68" w:rsidRPr="00AD2D31" w:rsidRDefault="007E4E68" w:rsidP="006846C3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31">
        <w:rPr>
          <w:rFonts w:ascii="Times New Roman" w:hAnsi="Times New Roman" w:cs="Times New Roman"/>
          <w:sz w:val="28"/>
          <w:szCs w:val="28"/>
        </w:rPr>
        <w:br w:type="page"/>
      </w:r>
    </w:p>
    <w:p w:rsidR="007E4E68" w:rsidRDefault="007E4E68" w:rsidP="006846C3">
      <w:pPr>
        <w:pStyle w:val="1"/>
        <w:jc w:val="both"/>
      </w:pPr>
      <w:bookmarkStart w:id="43" w:name="_Toc102234784"/>
      <w:r>
        <w:lastRenderedPageBreak/>
        <w:t>ГЛАВА 4. ЗАКЛЮЧЕНИЕ И ВЫВОДЫ</w:t>
      </w:r>
      <w:bookmarkEnd w:id="43"/>
    </w:p>
    <w:p w:rsidR="007E4E68" w:rsidRPr="00823AAA" w:rsidRDefault="007E4E68" w:rsidP="001530C2">
      <w:pPr>
        <w:pStyle w:val="2"/>
        <w:ind w:firstLine="709"/>
        <w:jc w:val="both"/>
      </w:pPr>
      <w:bookmarkStart w:id="44" w:name="_Toc102234785"/>
      <w:r w:rsidRPr="00823AAA">
        <w:t>4.1 Заключение</w:t>
      </w:r>
      <w:bookmarkEnd w:id="44"/>
    </w:p>
    <w:p w:rsidR="007E4E68" w:rsidRDefault="007E4E68" w:rsidP="001530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данного исследования было изучение особенностей состояния тканей пародонта у пациентов артериальной гипертензии. </w:t>
      </w:r>
    </w:p>
    <w:p w:rsidR="00242751" w:rsidRDefault="007E4E68" w:rsidP="001530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обследованы 46 пациентов, 36 из них страдают артериальной гипертензией разной степени тяжести. </w:t>
      </w:r>
      <w:r w:rsidR="00242751">
        <w:rPr>
          <w:rFonts w:ascii="Times New Roman" w:hAnsi="Times New Roman" w:cs="Times New Roman"/>
          <w:sz w:val="28"/>
          <w:szCs w:val="28"/>
        </w:rPr>
        <w:t xml:space="preserve">10 пациентов входили в контрольную группу и не имели артериальной гипертензии в анамнезе. </w:t>
      </w:r>
    </w:p>
    <w:p w:rsidR="00242751" w:rsidRDefault="00242751" w:rsidP="001530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группа была поделена на 3 подгруппы в зависимости от стадии АГ.</w:t>
      </w:r>
    </w:p>
    <w:p w:rsidR="007E4E68" w:rsidRPr="00005B09" w:rsidRDefault="007E4E68" w:rsidP="001530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Подгруппу 1 составляли 11 пациентов с артериальной гипертензией первой степени тяжести. В подгруппу 2 входили 16 пациентов с артериальной гипертензией второй степени тяжести. И 3 подгруппа включала 9 пациентов с артериальной гипертензией третьей степени тяжести.</w:t>
      </w:r>
    </w:p>
    <w:p w:rsidR="007E4E68" w:rsidRDefault="007E4E68" w:rsidP="001530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пациентов составил 54,35 лет.</w:t>
      </w:r>
    </w:p>
    <w:p w:rsidR="00242751" w:rsidRDefault="00242751" w:rsidP="001530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использованы клинические и рентгенологические исследования.  </w:t>
      </w:r>
    </w:p>
    <w:p w:rsidR="00242751" w:rsidRDefault="00242751" w:rsidP="001530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данных клинического обследования выявлено, что 97,2% пациентов основной группы и 80,0% пациентов контрольной группы имеются признаки воспалительных заболеваний пародонта. Среди этих признаков – кровоточивость, отек и </w:t>
      </w:r>
      <w:r w:rsidR="008E4859">
        <w:rPr>
          <w:rFonts w:ascii="Times New Roman" w:hAnsi="Times New Roman" w:cs="Times New Roman"/>
          <w:sz w:val="28"/>
          <w:szCs w:val="28"/>
        </w:rPr>
        <w:t xml:space="preserve">рецессии десны, наличие </w:t>
      </w:r>
      <w:proofErr w:type="spellStart"/>
      <w:r w:rsidR="008E4859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="008E4859">
        <w:rPr>
          <w:rFonts w:ascii="Times New Roman" w:hAnsi="Times New Roman" w:cs="Times New Roman"/>
          <w:sz w:val="28"/>
          <w:szCs w:val="28"/>
        </w:rPr>
        <w:t xml:space="preserve"> карманов и подвижности зубов разной степени тяжести.</w:t>
      </w:r>
    </w:p>
    <w:p w:rsidR="008E4859" w:rsidRDefault="00242751" w:rsidP="001530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данных рентгенологического исследования</w:t>
      </w:r>
      <w:r w:rsidR="008E4859">
        <w:rPr>
          <w:rFonts w:ascii="Times New Roman" w:hAnsi="Times New Roman" w:cs="Times New Roman"/>
          <w:sz w:val="28"/>
          <w:szCs w:val="28"/>
        </w:rPr>
        <w:t xml:space="preserve"> были выявлены признаки хронического </w:t>
      </w:r>
      <w:proofErr w:type="spellStart"/>
      <w:r w:rsidR="008E4859">
        <w:rPr>
          <w:rFonts w:ascii="Times New Roman" w:hAnsi="Times New Roman" w:cs="Times New Roman"/>
          <w:sz w:val="28"/>
          <w:szCs w:val="28"/>
        </w:rPr>
        <w:t>пародонтита</w:t>
      </w:r>
      <w:proofErr w:type="spellEnd"/>
      <w:r w:rsidR="008E4859">
        <w:rPr>
          <w:rFonts w:ascii="Times New Roman" w:hAnsi="Times New Roman" w:cs="Times New Roman"/>
          <w:sz w:val="28"/>
          <w:szCs w:val="28"/>
        </w:rPr>
        <w:t xml:space="preserve">. Разрушение кортикальной пластинки и неравномерная резорбция костной ткани наблюдались у 97,2%  в основной группе и у 80,0% в контрольной группе, наличие костных </w:t>
      </w:r>
      <w:r w:rsidR="008E4859">
        <w:rPr>
          <w:rFonts w:ascii="Times New Roman" w:hAnsi="Times New Roman" w:cs="Times New Roman"/>
          <w:sz w:val="28"/>
          <w:szCs w:val="28"/>
        </w:rPr>
        <w:lastRenderedPageBreak/>
        <w:t xml:space="preserve">карманов выявлено у 63,9% пациентов в основной группе и у 10% в контрольной. </w:t>
      </w:r>
    </w:p>
    <w:p w:rsidR="00242751" w:rsidRDefault="008E4859" w:rsidP="001530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хронических воспалительных заболеваний пародонта проявлялись чаще у пациентов с артериальной гипертензией, а с увеличением степени тяжести АГ росла и интенсивность проявления симптомов ХГП. </w:t>
      </w:r>
    </w:p>
    <w:p w:rsidR="0044719E" w:rsidRPr="00823AAA" w:rsidRDefault="0044719E" w:rsidP="001530C2">
      <w:pPr>
        <w:pStyle w:val="2"/>
        <w:ind w:firstLine="709"/>
        <w:jc w:val="both"/>
      </w:pPr>
      <w:bookmarkStart w:id="45" w:name="_Toc102234786"/>
      <w:r w:rsidRPr="00823AAA">
        <w:t>4.2 Выводы</w:t>
      </w:r>
      <w:bookmarkEnd w:id="45"/>
    </w:p>
    <w:p w:rsidR="00732ADD" w:rsidRPr="00532D2B" w:rsidRDefault="00732ADD" w:rsidP="001530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ходе исследования у пациентов с артериальной гипертензией выявлены признаки воспаления тканей пародонта</w:t>
      </w:r>
      <w:r w:rsidRPr="00532D2B">
        <w:rPr>
          <w:rFonts w:ascii="Times New Roman" w:hAnsi="Times New Roman" w:cs="Times New Roman"/>
          <w:sz w:val="28"/>
          <w:szCs w:val="28"/>
        </w:rPr>
        <w:t>;</w:t>
      </w:r>
    </w:p>
    <w:p w:rsidR="00732ADD" w:rsidRPr="00532D2B" w:rsidRDefault="00732ADD" w:rsidP="001530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Интенсивность и тяжесть признаков воспаления тканей пародонта растет с увеличением степени тяжести артериальной гипертензии пациентов</w:t>
      </w:r>
      <w:r w:rsidRPr="00532D2B">
        <w:rPr>
          <w:rFonts w:ascii="Times New Roman" w:hAnsi="Times New Roman" w:cs="Times New Roman"/>
          <w:sz w:val="28"/>
          <w:szCs w:val="28"/>
        </w:rPr>
        <w:t>;</w:t>
      </w:r>
    </w:p>
    <w:p w:rsidR="00732ADD" w:rsidRDefault="00732ADD" w:rsidP="001530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3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пациентами контрольной группы, у пациентов основной группы признаки воспалительных заболеваний пародонта проявлялись чаще и в более тяжелой форме.</w:t>
      </w:r>
    </w:p>
    <w:p w:rsidR="0044719E" w:rsidRPr="00823AAA" w:rsidRDefault="0044719E" w:rsidP="001530C2">
      <w:pPr>
        <w:pStyle w:val="2"/>
        <w:ind w:firstLine="709"/>
        <w:jc w:val="both"/>
      </w:pPr>
      <w:bookmarkStart w:id="46" w:name="_Toc102234787"/>
      <w:r w:rsidRPr="00823AAA">
        <w:t>4.3 Практические рекомендации</w:t>
      </w:r>
      <w:bookmarkEnd w:id="46"/>
    </w:p>
    <w:p w:rsidR="0044719E" w:rsidRPr="00823AAA" w:rsidRDefault="0044719E" w:rsidP="001530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лечении пациентов с хроническими воспалительными заболеваниями пародонта необходимо учитывать наличие и степень тяжести сопутствующих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общесоматических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823AAA" w:rsidRPr="00823AAA">
        <w:rPr>
          <w:rFonts w:ascii="Times New Roman" w:hAnsi="Times New Roman" w:cs="Times New Roman"/>
          <w:sz w:val="28"/>
          <w:szCs w:val="28"/>
        </w:rPr>
        <w:t>;</w:t>
      </w:r>
    </w:p>
    <w:p w:rsidR="00823AAA" w:rsidRPr="00823AAA" w:rsidRDefault="00823AAA" w:rsidP="001530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лечении пациентов с артериальной гипертензией необходима санация полости рта и лечение воспалительных заболеваний пародонта (устранение очагов хронической инфекции)</w:t>
      </w:r>
      <w:r w:rsidRPr="00823AAA">
        <w:rPr>
          <w:rFonts w:ascii="Times New Roman" w:hAnsi="Times New Roman" w:cs="Times New Roman"/>
          <w:sz w:val="28"/>
          <w:szCs w:val="28"/>
        </w:rPr>
        <w:t>;</w:t>
      </w:r>
    </w:p>
    <w:p w:rsidR="00823AAA" w:rsidRPr="00823AAA" w:rsidRDefault="00823AAA" w:rsidP="001530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разработке профилактических стоматологических мероприятий нужно учитывать связь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общесоматической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стоматологической патологий</w:t>
      </w:r>
      <w:r w:rsidRPr="00823AAA">
        <w:rPr>
          <w:rFonts w:ascii="Times New Roman" w:hAnsi="Times New Roman" w:cs="Times New Roman"/>
          <w:sz w:val="28"/>
          <w:szCs w:val="28"/>
        </w:rPr>
        <w:t>;</w:t>
      </w:r>
    </w:p>
    <w:p w:rsidR="00AD2D31" w:rsidRDefault="00823AAA" w:rsidP="001530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19E">
        <w:rPr>
          <w:rFonts w:ascii="Times New Roman" w:hAnsi="Times New Roman" w:cs="Times New Roman"/>
          <w:sz w:val="28"/>
          <w:szCs w:val="28"/>
        </w:rPr>
        <w:t>. Комплексный подход к лечению пациентов с ХГП</w:t>
      </w:r>
      <w:r>
        <w:rPr>
          <w:rFonts w:ascii="Times New Roman" w:hAnsi="Times New Roman" w:cs="Times New Roman"/>
          <w:sz w:val="28"/>
          <w:szCs w:val="28"/>
        </w:rPr>
        <w:t xml:space="preserve"> позволит улучшить прогноз</w:t>
      </w:r>
      <w:r w:rsidRPr="00823AAA">
        <w:rPr>
          <w:rFonts w:ascii="Times New Roman" w:hAnsi="Times New Roman" w:cs="Times New Roman"/>
          <w:sz w:val="28"/>
          <w:szCs w:val="28"/>
        </w:rPr>
        <w:t>.</w:t>
      </w:r>
    </w:p>
    <w:p w:rsidR="005E0A26" w:rsidRDefault="005E0A26">
      <w:pPr>
        <w:spacing w:after="200" w:line="276" w:lineRule="auto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47" w:name="_Toc102234788"/>
      <w:r>
        <w:br w:type="page"/>
      </w:r>
    </w:p>
    <w:p w:rsidR="00AD2D31" w:rsidRDefault="00AD2D31" w:rsidP="006846C3">
      <w:pPr>
        <w:pStyle w:val="1"/>
        <w:jc w:val="both"/>
      </w:pPr>
      <w:r>
        <w:lastRenderedPageBreak/>
        <w:t>СПИСОК ЛИТЕРАТУРЫ</w:t>
      </w:r>
      <w:bookmarkEnd w:id="47"/>
    </w:p>
    <w:p w:rsidR="00DA6BE4" w:rsidRPr="00F13417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473">
        <w:rPr>
          <w:rFonts w:ascii="Times New Roman" w:hAnsi="Times New Roman" w:cs="Times New Roman"/>
          <w:sz w:val="28"/>
          <w:szCs w:val="28"/>
        </w:rPr>
        <w:t>Гелетин</w:t>
      </w:r>
      <w:proofErr w:type="spellEnd"/>
      <w:r w:rsidRPr="007D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473">
        <w:rPr>
          <w:rFonts w:ascii="Times New Roman" w:hAnsi="Times New Roman" w:cs="Times New Roman"/>
          <w:sz w:val="28"/>
          <w:szCs w:val="28"/>
        </w:rPr>
        <w:t xml:space="preserve">П. Н., </w:t>
      </w:r>
      <w:proofErr w:type="spellStart"/>
      <w:r w:rsidRPr="007D3473">
        <w:rPr>
          <w:rFonts w:ascii="Times New Roman" w:hAnsi="Times New Roman" w:cs="Times New Roman"/>
          <w:sz w:val="28"/>
          <w:szCs w:val="28"/>
        </w:rPr>
        <w:t>Аболмасов</w:t>
      </w:r>
      <w:proofErr w:type="spellEnd"/>
      <w:r w:rsidRPr="007D3473">
        <w:rPr>
          <w:rFonts w:ascii="Times New Roman" w:hAnsi="Times New Roman" w:cs="Times New Roman"/>
          <w:sz w:val="28"/>
          <w:szCs w:val="28"/>
        </w:rPr>
        <w:t xml:space="preserve"> Н. Н., Голованова Е. Д. Сравнительный анализ показателей </w:t>
      </w:r>
      <w:proofErr w:type="spellStart"/>
      <w:r w:rsidRPr="007D3473">
        <w:rPr>
          <w:rFonts w:ascii="Times New Roman" w:hAnsi="Times New Roman" w:cs="Times New Roman"/>
          <w:sz w:val="28"/>
          <w:szCs w:val="28"/>
        </w:rPr>
        <w:t>реопародонтограмм</w:t>
      </w:r>
      <w:proofErr w:type="spellEnd"/>
      <w:r w:rsidRPr="007D3473">
        <w:rPr>
          <w:rFonts w:ascii="Times New Roman" w:hAnsi="Times New Roman" w:cs="Times New Roman"/>
          <w:sz w:val="28"/>
          <w:szCs w:val="28"/>
        </w:rPr>
        <w:t xml:space="preserve"> у пациентов с </w:t>
      </w:r>
      <w:proofErr w:type="gramStart"/>
      <w:r w:rsidRPr="007D3473">
        <w:rPr>
          <w:rFonts w:ascii="Times New Roman" w:hAnsi="Times New Roman" w:cs="Times New Roman"/>
          <w:sz w:val="28"/>
          <w:szCs w:val="28"/>
        </w:rPr>
        <w:t>хроническим</w:t>
      </w:r>
      <w:proofErr w:type="gramEnd"/>
      <w:r w:rsidRPr="007D3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473">
        <w:rPr>
          <w:rFonts w:ascii="Times New Roman" w:hAnsi="Times New Roman" w:cs="Times New Roman"/>
          <w:sz w:val="28"/>
          <w:szCs w:val="28"/>
        </w:rPr>
        <w:t>генерализованным</w:t>
      </w:r>
      <w:proofErr w:type="spellEnd"/>
      <w:r w:rsidRPr="007D3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473">
        <w:rPr>
          <w:rFonts w:ascii="Times New Roman" w:hAnsi="Times New Roman" w:cs="Times New Roman"/>
          <w:sz w:val="28"/>
          <w:szCs w:val="28"/>
        </w:rPr>
        <w:t>пародонтитом</w:t>
      </w:r>
      <w:proofErr w:type="spellEnd"/>
      <w:r w:rsidRPr="007D3473">
        <w:rPr>
          <w:rFonts w:ascii="Times New Roman" w:hAnsi="Times New Roman" w:cs="Times New Roman"/>
          <w:sz w:val="28"/>
          <w:szCs w:val="28"/>
        </w:rPr>
        <w:t>, протекающим на фоне артериальной гипертензии // Вестник Смоленской государственной медицинской академии. 2010. №2.</w:t>
      </w:r>
    </w:p>
    <w:p w:rsidR="00DA6BE4" w:rsidRDefault="00DA6BE4" w:rsidP="005E0A26">
      <w:pPr>
        <w:pStyle w:val="a7"/>
        <w:numPr>
          <w:ilvl w:val="0"/>
          <w:numId w:val="11"/>
        </w:numPr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667">
        <w:rPr>
          <w:rFonts w:ascii="Times New Roman" w:hAnsi="Times New Roman" w:cs="Times New Roman"/>
          <w:sz w:val="28"/>
          <w:szCs w:val="28"/>
        </w:rPr>
        <w:t>Караков</w:t>
      </w:r>
      <w:proofErr w:type="spellEnd"/>
      <w:r w:rsidRPr="00713667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713667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713667">
        <w:rPr>
          <w:rFonts w:ascii="Times New Roman" w:hAnsi="Times New Roman" w:cs="Times New Roman"/>
          <w:sz w:val="28"/>
          <w:szCs w:val="28"/>
        </w:rPr>
        <w:t xml:space="preserve"> Г., Еременко А., </w:t>
      </w:r>
      <w:proofErr w:type="spellStart"/>
      <w:r w:rsidRPr="00713667">
        <w:rPr>
          <w:rFonts w:ascii="Times New Roman" w:hAnsi="Times New Roman" w:cs="Times New Roman"/>
          <w:sz w:val="28"/>
          <w:szCs w:val="28"/>
        </w:rPr>
        <w:t>Маркарова</w:t>
      </w:r>
      <w:proofErr w:type="spellEnd"/>
      <w:r w:rsidRPr="00713667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713667">
        <w:rPr>
          <w:rFonts w:ascii="Times New Roman" w:hAnsi="Times New Roman" w:cs="Times New Roman"/>
          <w:sz w:val="28"/>
          <w:szCs w:val="28"/>
        </w:rPr>
        <w:t>Ванченко</w:t>
      </w:r>
      <w:proofErr w:type="spellEnd"/>
      <w:r w:rsidRPr="00713667">
        <w:rPr>
          <w:rFonts w:ascii="Times New Roman" w:hAnsi="Times New Roman" w:cs="Times New Roman"/>
          <w:sz w:val="28"/>
          <w:szCs w:val="28"/>
        </w:rPr>
        <w:t xml:space="preserve"> Н. Влияние компонентов метаболического синдрома на развитие хронического </w:t>
      </w:r>
      <w:proofErr w:type="spellStart"/>
      <w:r w:rsidRPr="00713667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71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667">
        <w:rPr>
          <w:rFonts w:ascii="Times New Roman" w:hAnsi="Times New Roman" w:cs="Times New Roman"/>
          <w:sz w:val="28"/>
          <w:szCs w:val="28"/>
        </w:rPr>
        <w:t>пародонтита</w:t>
      </w:r>
      <w:proofErr w:type="spellEnd"/>
      <w:r w:rsidRPr="00713667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713667">
        <w:rPr>
          <w:rFonts w:ascii="Times New Roman" w:hAnsi="Times New Roman" w:cs="Times New Roman"/>
          <w:sz w:val="28"/>
          <w:szCs w:val="28"/>
        </w:rPr>
        <w:t>Пародонтология</w:t>
      </w:r>
      <w:proofErr w:type="spellEnd"/>
      <w:r w:rsidRPr="00713667">
        <w:rPr>
          <w:rFonts w:ascii="Times New Roman" w:hAnsi="Times New Roman" w:cs="Times New Roman"/>
          <w:sz w:val="28"/>
          <w:szCs w:val="28"/>
        </w:rPr>
        <w:t>. 2017;22(1):15-19.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BE4" w:rsidRPr="00F13417" w:rsidRDefault="00DA6BE4" w:rsidP="005E0A26">
      <w:pPr>
        <w:pStyle w:val="a7"/>
        <w:numPr>
          <w:ilvl w:val="0"/>
          <w:numId w:val="11"/>
        </w:numPr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Кардиология.</w:t>
      </w:r>
      <w:r w:rsidRPr="00F13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Национальное руководство</w:t>
      </w:r>
      <w:r w:rsidRPr="00F13417">
        <w:rPr>
          <w:rFonts w:ascii="Times New Roman" w:hAnsi="Times New Roman" w:cs="Times New Roman"/>
          <w:sz w:val="28"/>
          <w:szCs w:val="28"/>
        </w:rPr>
        <w:t xml:space="preserve">: краткое издание / под ред. Ю. Н. </w:t>
      </w:r>
      <w:proofErr w:type="spellStart"/>
      <w:r w:rsidRPr="00F13417"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Pr="00F13417">
        <w:rPr>
          <w:rFonts w:ascii="Times New Roman" w:hAnsi="Times New Roman" w:cs="Times New Roman"/>
          <w:sz w:val="28"/>
          <w:szCs w:val="28"/>
        </w:rPr>
        <w:t xml:space="preserve">, Р. Г. </w:t>
      </w:r>
      <w:proofErr w:type="spellStart"/>
      <w:r w:rsidRPr="00F13417">
        <w:rPr>
          <w:rFonts w:ascii="Times New Roman" w:hAnsi="Times New Roman" w:cs="Times New Roman"/>
          <w:sz w:val="28"/>
          <w:szCs w:val="28"/>
        </w:rPr>
        <w:t>Оганова</w:t>
      </w:r>
      <w:proofErr w:type="spellEnd"/>
      <w:r w:rsidRPr="00F13417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F134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3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17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F13417">
        <w:rPr>
          <w:rFonts w:ascii="Times New Roman" w:hAnsi="Times New Roman" w:cs="Times New Roman"/>
          <w:sz w:val="28"/>
          <w:szCs w:val="28"/>
        </w:rPr>
        <w:t>, 2012. — 848 с.</w:t>
      </w:r>
    </w:p>
    <w:p w:rsidR="00DA6BE4" w:rsidRPr="00F13417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7">
        <w:rPr>
          <w:rFonts w:ascii="Times New Roman" w:hAnsi="Times New Roman" w:cs="Times New Roman"/>
          <w:sz w:val="28"/>
          <w:szCs w:val="28"/>
        </w:rPr>
        <w:t>Кардиология: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417">
        <w:rPr>
          <w:rFonts w:ascii="Times New Roman" w:hAnsi="Times New Roman" w:cs="Times New Roman"/>
          <w:sz w:val="28"/>
          <w:szCs w:val="28"/>
        </w:rPr>
        <w:t xml:space="preserve">руководство для врачей в 2 т. / под ред. Н.Б. </w:t>
      </w:r>
      <w:proofErr w:type="spellStart"/>
      <w:r w:rsidRPr="00F13417">
        <w:rPr>
          <w:rFonts w:ascii="Times New Roman" w:hAnsi="Times New Roman" w:cs="Times New Roman"/>
          <w:sz w:val="28"/>
          <w:szCs w:val="28"/>
        </w:rPr>
        <w:t>Перепеча</w:t>
      </w:r>
      <w:proofErr w:type="spellEnd"/>
      <w:r w:rsidRPr="00F13417">
        <w:rPr>
          <w:rFonts w:ascii="Times New Roman" w:hAnsi="Times New Roman" w:cs="Times New Roman"/>
          <w:sz w:val="28"/>
          <w:szCs w:val="28"/>
        </w:rPr>
        <w:t>, С.И. Рябова. – СПб</w:t>
      </w:r>
      <w:proofErr w:type="gramStart"/>
      <w:r w:rsidRPr="00F1341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F13417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F13417">
        <w:rPr>
          <w:rFonts w:ascii="Times New Roman" w:hAnsi="Times New Roman" w:cs="Times New Roman"/>
          <w:sz w:val="28"/>
          <w:szCs w:val="28"/>
        </w:rPr>
        <w:t>, 2008. – Т.1. – 607 с.</w:t>
      </w:r>
    </w:p>
    <w:p w:rsidR="00DA6BE4" w:rsidRPr="00F13417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7">
        <w:rPr>
          <w:rFonts w:ascii="Times New Roman" w:hAnsi="Times New Roman" w:cs="Times New Roman"/>
          <w:sz w:val="28"/>
          <w:szCs w:val="28"/>
        </w:rPr>
        <w:t>Мюллер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417">
        <w:rPr>
          <w:rFonts w:ascii="Times New Roman" w:hAnsi="Times New Roman" w:cs="Times New Roman"/>
          <w:sz w:val="28"/>
          <w:szCs w:val="28"/>
        </w:rPr>
        <w:t xml:space="preserve"> Х.П.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17">
        <w:rPr>
          <w:rFonts w:ascii="Times New Roman" w:hAnsi="Times New Roman" w:cs="Times New Roman"/>
          <w:sz w:val="28"/>
          <w:szCs w:val="28"/>
        </w:rPr>
        <w:t>Пародонтология</w:t>
      </w:r>
      <w:proofErr w:type="spellEnd"/>
      <w:r w:rsidRPr="00F13417">
        <w:rPr>
          <w:rFonts w:ascii="Times New Roman" w:hAnsi="Times New Roman" w:cs="Times New Roman"/>
          <w:sz w:val="28"/>
          <w:szCs w:val="28"/>
        </w:rPr>
        <w:t xml:space="preserve"> 2004. - 256 </w:t>
      </w:r>
      <w:proofErr w:type="gramStart"/>
      <w:r w:rsidRPr="00F134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3417">
        <w:rPr>
          <w:rFonts w:ascii="Times New Roman" w:hAnsi="Times New Roman" w:cs="Times New Roman"/>
          <w:sz w:val="28"/>
          <w:szCs w:val="28"/>
        </w:rPr>
        <w:t>.</w:t>
      </w:r>
    </w:p>
    <w:p w:rsidR="00DA6BE4" w:rsidRPr="00F13417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proofErr w:type="gramStart"/>
      <w:r w:rsidRPr="00F1341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F13417">
        <w:rPr>
          <w:rFonts w:ascii="Times New Roman" w:hAnsi="Times New Roman" w:cs="Times New Roman"/>
          <w:sz w:val="28"/>
          <w:szCs w:val="28"/>
        </w:rPr>
        <w:t xml:space="preserve"> патологии в формировании воспалительно-дегенеративных заболеваний пародонта. Горбачева И.А., Орехова Л.Ю., Сычева Ю.А., </w:t>
      </w:r>
      <w:proofErr w:type="spellStart"/>
      <w:r w:rsidRPr="00F13417">
        <w:rPr>
          <w:rFonts w:ascii="Times New Roman" w:hAnsi="Times New Roman" w:cs="Times New Roman"/>
          <w:sz w:val="28"/>
          <w:szCs w:val="28"/>
        </w:rPr>
        <w:t>Шабак-Спасский</w:t>
      </w:r>
      <w:proofErr w:type="spellEnd"/>
      <w:r w:rsidRPr="00F13417">
        <w:rPr>
          <w:rFonts w:ascii="Times New Roman" w:hAnsi="Times New Roman" w:cs="Times New Roman"/>
          <w:sz w:val="28"/>
          <w:szCs w:val="28"/>
        </w:rPr>
        <w:t xml:space="preserve"> П.С., Султанова Н.Ф., Зайцева М.А.</w:t>
      </w:r>
      <w:r>
        <w:rPr>
          <w:rFonts w:ascii="Times New Roman" w:hAnsi="Times New Roman" w:cs="Times New Roman"/>
          <w:sz w:val="28"/>
          <w:szCs w:val="28"/>
        </w:rPr>
        <w:t xml:space="preserve"> 2008</w:t>
      </w:r>
      <w:r w:rsidRPr="00713667">
        <w:rPr>
          <w:rFonts w:ascii="Times New Roman" w:hAnsi="Times New Roman" w:cs="Times New Roman"/>
          <w:sz w:val="28"/>
          <w:szCs w:val="28"/>
        </w:rPr>
        <w:t>;4(49)</w:t>
      </w:r>
      <w:r>
        <w:rPr>
          <w:rFonts w:ascii="Times New Roman" w:hAnsi="Times New Roman" w:cs="Times New Roman"/>
          <w:sz w:val="28"/>
          <w:szCs w:val="28"/>
        </w:rPr>
        <w:t>:18-21.</w:t>
      </w:r>
    </w:p>
    <w:p w:rsidR="00DA6BE4" w:rsidRPr="00F13417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7">
        <w:rPr>
          <w:rFonts w:ascii="Times New Roman" w:hAnsi="Times New Roman" w:cs="Times New Roman"/>
          <w:sz w:val="28"/>
          <w:szCs w:val="28"/>
        </w:rPr>
        <w:t>Роль гипоксии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417">
        <w:rPr>
          <w:rFonts w:ascii="Times New Roman" w:hAnsi="Times New Roman" w:cs="Times New Roman"/>
          <w:sz w:val="28"/>
          <w:szCs w:val="28"/>
        </w:rPr>
        <w:t xml:space="preserve">процессов перекисного окисления в патогенезе гипертонической болезни и воспалительных заболеваний пародонта. Горбачева И.А., Орехова Л.Ю., Сычева Ю.А., Султанова Н.Ф., </w:t>
      </w:r>
      <w:proofErr w:type="spellStart"/>
      <w:r w:rsidRPr="00F13417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F13417">
        <w:rPr>
          <w:rFonts w:ascii="Times New Roman" w:hAnsi="Times New Roman" w:cs="Times New Roman"/>
          <w:sz w:val="28"/>
          <w:szCs w:val="28"/>
        </w:rPr>
        <w:t xml:space="preserve"> Т.Н.</w:t>
      </w:r>
      <w:r>
        <w:rPr>
          <w:rFonts w:ascii="Times New Roman" w:hAnsi="Times New Roman" w:cs="Times New Roman"/>
          <w:sz w:val="28"/>
          <w:szCs w:val="28"/>
        </w:rPr>
        <w:t xml:space="preserve"> 2010</w:t>
      </w:r>
      <w:r w:rsidRPr="00713667">
        <w:rPr>
          <w:rFonts w:ascii="Times New Roman" w:hAnsi="Times New Roman" w:cs="Times New Roman"/>
          <w:sz w:val="28"/>
          <w:szCs w:val="28"/>
        </w:rPr>
        <w:t>;3(56)</w:t>
      </w:r>
      <w:r>
        <w:rPr>
          <w:rFonts w:ascii="Times New Roman" w:hAnsi="Times New Roman" w:cs="Times New Roman"/>
          <w:sz w:val="28"/>
          <w:szCs w:val="28"/>
        </w:rPr>
        <w:t>:6-8.</w:t>
      </w:r>
    </w:p>
    <w:p w:rsidR="00DA6BE4" w:rsidRDefault="00DA6BE4" w:rsidP="005E0A26">
      <w:pPr>
        <w:pStyle w:val="a7"/>
        <w:numPr>
          <w:ilvl w:val="0"/>
          <w:numId w:val="11"/>
        </w:numPr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67">
        <w:rPr>
          <w:rFonts w:ascii="Times New Roman" w:hAnsi="Times New Roman" w:cs="Times New Roman"/>
          <w:sz w:val="28"/>
          <w:szCs w:val="28"/>
        </w:rPr>
        <w:t>Старикова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667">
        <w:rPr>
          <w:rFonts w:ascii="Times New Roman" w:hAnsi="Times New Roman" w:cs="Times New Roman"/>
          <w:sz w:val="28"/>
          <w:szCs w:val="28"/>
        </w:rPr>
        <w:t xml:space="preserve">И.В., Попова А.Н., </w:t>
      </w:r>
      <w:proofErr w:type="spellStart"/>
      <w:r w:rsidRPr="00713667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 w:rsidRPr="00713667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713667">
        <w:rPr>
          <w:rFonts w:ascii="Times New Roman" w:hAnsi="Times New Roman" w:cs="Times New Roman"/>
          <w:sz w:val="28"/>
          <w:szCs w:val="28"/>
        </w:rPr>
        <w:t>Чаплиева</w:t>
      </w:r>
      <w:proofErr w:type="spellEnd"/>
      <w:r w:rsidRPr="00713667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713667">
        <w:rPr>
          <w:rFonts w:ascii="Times New Roman" w:hAnsi="Times New Roman" w:cs="Times New Roman"/>
          <w:sz w:val="28"/>
          <w:szCs w:val="28"/>
        </w:rPr>
        <w:t>Радышевская</w:t>
      </w:r>
      <w:proofErr w:type="spellEnd"/>
      <w:r w:rsidRPr="00713667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713667">
        <w:rPr>
          <w:rFonts w:ascii="Times New Roman" w:hAnsi="Times New Roman" w:cs="Times New Roman"/>
          <w:sz w:val="28"/>
          <w:szCs w:val="28"/>
        </w:rPr>
        <w:t>Марымова</w:t>
      </w:r>
      <w:proofErr w:type="spellEnd"/>
      <w:r w:rsidRPr="00713667">
        <w:rPr>
          <w:rFonts w:ascii="Times New Roman" w:hAnsi="Times New Roman" w:cs="Times New Roman"/>
          <w:sz w:val="28"/>
          <w:szCs w:val="28"/>
        </w:rPr>
        <w:t xml:space="preserve"> Е.Б.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3667">
        <w:rPr>
          <w:rFonts w:ascii="Times New Roman" w:hAnsi="Times New Roman" w:cs="Times New Roman"/>
          <w:sz w:val="28"/>
          <w:szCs w:val="28"/>
        </w:rPr>
        <w:t xml:space="preserve">линико-иммунологическая характеристика больных </w:t>
      </w:r>
      <w:proofErr w:type="gramStart"/>
      <w:r w:rsidRPr="00713667">
        <w:rPr>
          <w:rFonts w:ascii="Times New Roman" w:hAnsi="Times New Roman" w:cs="Times New Roman"/>
          <w:sz w:val="28"/>
          <w:szCs w:val="28"/>
        </w:rPr>
        <w:t>хроническим</w:t>
      </w:r>
      <w:proofErr w:type="gramEnd"/>
      <w:r w:rsidRPr="0071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667">
        <w:rPr>
          <w:rFonts w:ascii="Times New Roman" w:hAnsi="Times New Roman" w:cs="Times New Roman"/>
          <w:sz w:val="28"/>
          <w:szCs w:val="28"/>
        </w:rPr>
        <w:t>генерализованным</w:t>
      </w:r>
      <w:proofErr w:type="spellEnd"/>
      <w:r w:rsidRPr="0071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667">
        <w:rPr>
          <w:rFonts w:ascii="Times New Roman" w:hAnsi="Times New Roman" w:cs="Times New Roman"/>
          <w:sz w:val="28"/>
          <w:szCs w:val="28"/>
        </w:rPr>
        <w:t>пародонтитом</w:t>
      </w:r>
      <w:proofErr w:type="spellEnd"/>
      <w:r w:rsidRPr="00713667">
        <w:rPr>
          <w:rFonts w:ascii="Times New Roman" w:hAnsi="Times New Roman" w:cs="Times New Roman"/>
          <w:sz w:val="28"/>
          <w:szCs w:val="28"/>
        </w:rPr>
        <w:t xml:space="preserve"> на фоне артериальной гипертензии // Современные проблемы науки и образования. – 2015. – № 1-1.</w:t>
      </w:r>
      <w:r w:rsidRPr="00F13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BE4" w:rsidRPr="007D3473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Старикова </w:t>
      </w:r>
      <w:r w:rsidRPr="007D3473">
        <w:rPr>
          <w:rFonts w:ascii="Times New Roman" w:hAnsi="Times New Roman" w:cs="Times New Roman"/>
          <w:sz w:val="28"/>
          <w:szCs w:val="28"/>
        </w:rPr>
        <w:t xml:space="preserve">И.В., </w:t>
      </w:r>
      <w:proofErr w:type="spellStart"/>
      <w:r w:rsidRPr="007D3473">
        <w:rPr>
          <w:rFonts w:ascii="Times New Roman" w:hAnsi="Times New Roman" w:cs="Times New Roman"/>
          <w:sz w:val="28"/>
          <w:szCs w:val="28"/>
        </w:rPr>
        <w:t>Чаплиева</w:t>
      </w:r>
      <w:proofErr w:type="spellEnd"/>
      <w:r w:rsidRPr="007D3473">
        <w:rPr>
          <w:rFonts w:ascii="Times New Roman" w:hAnsi="Times New Roman" w:cs="Times New Roman"/>
          <w:sz w:val="28"/>
          <w:szCs w:val="28"/>
        </w:rPr>
        <w:t xml:space="preserve"> Е.М., Патрушева М.С., </w:t>
      </w:r>
      <w:proofErr w:type="spellStart"/>
      <w:r w:rsidRPr="007D3473">
        <w:rPr>
          <w:rFonts w:ascii="Times New Roman" w:hAnsi="Times New Roman" w:cs="Times New Roman"/>
          <w:sz w:val="28"/>
          <w:szCs w:val="28"/>
        </w:rPr>
        <w:t>Триголос</w:t>
      </w:r>
      <w:proofErr w:type="spellEnd"/>
      <w:r w:rsidRPr="007D3473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7D3473">
        <w:rPr>
          <w:rFonts w:ascii="Times New Roman" w:hAnsi="Times New Roman" w:cs="Times New Roman"/>
          <w:sz w:val="28"/>
          <w:szCs w:val="28"/>
        </w:rPr>
        <w:t>Радышевская</w:t>
      </w:r>
      <w:proofErr w:type="spellEnd"/>
      <w:r w:rsidRPr="007D3473">
        <w:rPr>
          <w:rFonts w:ascii="Times New Roman" w:hAnsi="Times New Roman" w:cs="Times New Roman"/>
          <w:sz w:val="28"/>
          <w:szCs w:val="28"/>
        </w:rPr>
        <w:t xml:space="preserve"> Т.Н., Алешина Н.Ф.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3473">
        <w:rPr>
          <w:rFonts w:ascii="Times New Roman" w:hAnsi="Times New Roman" w:cs="Times New Roman"/>
          <w:sz w:val="28"/>
          <w:szCs w:val="28"/>
        </w:rPr>
        <w:t xml:space="preserve">равнительная характеристика показателей местного иммунитета у больных </w:t>
      </w:r>
      <w:proofErr w:type="gramStart"/>
      <w:r w:rsidRPr="007D3473">
        <w:rPr>
          <w:rFonts w:ascii="Times New Roman" w:hAnsi="Times New Roman" w:cs="Times New Roman"/>
          <w:sz w:val="28"/>
          <w:szCs w:val="28"/>
        </w:rPr>
        <w:t>хроническим</w:t>
      </w:r>
      <w:proofErr w:type="gramEnd"/>
      <w:r w:rsidRPr="007D3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473">
        <w:rPr>
          <w:rFonts w:ascii="Times New Roman" w:hAnsi="Times New Roman" w:cs="Times New Roman"/>
          <w:sz w:val="28"/>
          <w:szCs w:val="28"/>
        </w:rPr>
        <w:t>генерализованным</w:t>
      </w:r>
      <w:proofErr w:type="spellEnd"/>
      <w:r w:rsidRPr="007D3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473">
        <w:rPr>
          <w:rFonts w:ascii="Times New Roman" w:hAnsi="Times New Roman" w:cs="Times New Roman"/>
          <w:sz w:val="28"/>
          <w:szCs w:val="28"/>
        </w:rPr>
        <w:t>пародонтитом</w:t>
      </w:r>
      <w:proofErr w:type="spellEnd"/>
      <w:r w:rsidRPr="007D3473">
        <w:rPr>
          <w:rFonts w:ascii="Times New Roman" w:hAnsi="Times New Roman" w:cs="Times New Roman"/>
          <w:sz w:val="28"/>
          <w:szCs w:val="28"/>
        </w:rPr>
        <w:t xml:space="preserve"> на фоне артериальной гипертензии и метаболического синдрома // Современные проблемы науки и образования. – 2015. – № 3. </w:t>
      </w:r>
    </w:p>
    <w:p w:rsidR="00DA6BE4" w:rsidRPr="00713667" w:rsidRDefault="00DA6BE4" w:rsidP="005E0A26">
      <w:pPr>
        <w:pStyle w:val="a7"/>
        <w:numPr>
          <w:ilvl w:val="0"/>
          <w:numId w:val="11"/>
        </w:numPr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67">
        <w:rPr>
          <w:rFonts w:ascii="Times New Roman" w:hAnsi="Times New Roman" w:cs="Times New Roman"/>
          <w:sz w:val="28"/>
          <w:szCs w:val="28"/>
        </w:rPr>
        <w:t>Сычева Ю.А.,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667">
        <w:rPr>
          <w:rFonts w:ascii="Times New Roman" w:hAnsi="Times New Roman" w:cs="Times New Roman"/>
          <w:sz w:val="28"/>
          <w:szCs w:val="28"/>
        </w:rPr>
        <w:t xml:space="preserve">Горбачева И.А., Орехова Л.Ю., </w:t>
      </w:r>
      <w:proofErr w:type="spellStart"/>
      <w:r w:rsidRPr="00713667">
        <w:rPr>
          <w:rFonts w:ascii="Times New Roman" w:hAnsi="Times New Roman" w:cs="Times New Roman"/>
          <w:sz w:val="28"/>
          <w:szCs w:val="28"/>
        </w:rPr>
        <w:t>Шабак-Спасский</w:t>
      </w:r>
      <w:proofErr w:type="spellEnd"/>
      <w:r w:rsidRPr="00713667">
        <w:rPr>
          <w:rFonts w:ascii="Times New Roman" w:hAnsi="Times New Roman" w:cs="Times New Roman"/>
          <w:sz w:val="28"/>
          <w:szCs w:val="28"/>
        </w:rPr>
        <w:t xml:space="preserve"> П.С., Владимирова Л.Г.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3667">
        <w:rPr>
          <w:rFonts w:ascii="Times New Roman" w:hAnsi="Times New Roman" w:cs="Times New Roman"/>
          <w:sz w:val="28"/>
          <w:szCs w:val="28"/>
        </w:rPr>
        <w:t xml:space="preserve">оль нарушения региональной </w:t>
      </w:r>
      <w:proofErr w:type="spellStart"/>
      <w:r w:rsidRPr="00713667">
        <w:rPr>
          <w:rFonts w:ascii="Times New Roman" w:hAnsi="Times New Roman" w:cs="Times New Roman"/>
          <w:sz w:val="28"/>
          <w:szCs w:val="28"/>
        </w:rPr>
        <w:t>микроциркуляции</w:t>
      </w:r>
      <w:proofErr w:type="spellEnd"/>
      <w:r w:rsidRPr="00713667">
        <w:rPr>
          <w:rFonts w:ascii="Times New Roman" w:hAnsi="Times New Roman" w:cs="Times New Roman"/>
          <w:sz w:val="28"/>
          <w:szCs w:val="28"/>
        </w:rPr>
        <w:t xml:space="preserve"> и метаболических нарушений в патогенезе гипертонической болезни и воспалительных заболеваний пародонта. Ученые записки Санкт-Петербургского государственного медицинского университета имени академика И. П. Павлова. 2013;20(3):34-37.</w:t>
      </w:r>
    </w:p>
    <w:p w:rsidR="00DA6BE4" w:rsidRPr="00F13417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Терапевтическая</w:t>
      </w:r>
      <w:r w:rsidRPr="00F13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417">
        <w:rPr>
          <w:rFonts w:ascii="Times New Roman" w:hAnsi="Times New Roman" w:cs="Times New Roman"/>
          <w:sz w:val="28"/>
          <w:szCs w:val="28"/>
        </w:rPr>
        <w:t>стоматология. В 3-х частях. Часть 3. Заболевания слизистой оболочки рта: учебник</w:t>
      </w:r>
      <w:proofErr w:type="gramStart"/>
      <w:r w:rsidRPr="00F1341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13417">
        <w:rPr>
          <w:rFonts w:ascii="Times New Roman" w:hAnsi="Times New Roman" w:cs="Times New Roman"/>
          <w:sz w:val="28"/>
          <w:szCs w:val="28"/>
        </w:rPr>
        <w:t xml:space="preserve">од ред. Г.М. </w:t>
      </w:r>
      <w:proofErr w:type="spellStart"/>
      <w:r w:rsidRPr="00F13417">
        <w:rPr>
          <w:rFonts w:ascii="Times New Roman" w:hAnsi="Times New Roman" w:cs="Times New Roman"/>
          <w:sz w:val="28"/>
          <w:szCs w:val="28"/>
        </w:rPr>
        <w:t>Барера</w:t>
      </w:r>
      <w:proofErr w:type="spellEnd"/>
      <w:r w:rsidRPr="00F13417">
        <w:rPr>
          <w:rFonts w:ascii="Times New Roman" w:hAnsi="Times New Roman" w:cs="Times New Roman"/>
          <w:sz w:val="28"/>
          <w:szCs w:val="28"/>
        </w:rPr>
        <w:t xml:space="preserve"> - 2-е изд., доп. и </w:t>
      </w:r>
      <w:proofErr w:type="spellStart"/>
      <w:r w:rsidRPr="00F1341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13417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F134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3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17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F13417">
        <w:rPr>
          <w:rFonts w:ascii="Times New Roman" w:hAnsi="Times New Roman" w:cs="Times New Roman"/>
          <w:sz w:val="28"/>
          <w:szCs w:val="28"/>
        </w:rPr>
        <w:t xml:space="preserve">, 2015. - 256 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13417">
        <w:rPr>
          <w:rFonts w:ascii="Times New Roman" w:hAnsi="Times New Roman" w:cs="Times New Roman"/>
          <w:sz w:val="28"/>
          <w:szCs w:val="28"/>
        </w:rPr>
        <w:t>.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A6BE4" w:rsidRPr="0096445F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BE4">
        <w:rPr>
          <w:rFonts w:ascii="Times New Roman" w:hAnsi="Times New Roman" w:cs="Times New Roman"/>
          <w:sz w:val="28"/>
          <w:szCs w:val="28"/>
        </w:rPr>
        <w:t xml:space="preserve"> 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A pathogenic role of complement in arterial hypertension and hypertensive end organ damage. </w:t>
      </w:r>
      <w:r w:rsidRPr="0096445F">
        <w:rPr>
          <w:rFonts w:ascii="Times New Roman" w:hAnsi="Times New Roman" w:cs="Times New Roman"/>
          <w:sz w:val="28"/>
          <w:szCs w:val="28"/>
          <w:lang w:val="en-US"/>
        </w:rPr>
        <w:t xml:space="preserve">Wenzel UO, Bode M, </w:t>
      </w:r>
      <w:proofErr w:type="spellStart"/>
      <w:r w:rsidRPr="0096445F">
        <w:rPr>
          <w:rFonts w:ascii="Times New Roman" w:hAnsi="Times New Roman" w:cs="Times New Roman"/>
          <w:sz w:val="28"/>
          <w:szCs w:val="28"/>
          <w:lang w:val="en-US"/>
        </w:rPr>
        <w:t>Köhl</w:t>
      </w:r>
      <w:proofErr w:type="spellEnd"/>
      <w:r w:rsidRPr="0096445F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96445F">
        <w:rPr>
          <w:rFonts w:ascii="Times New Roman" w:hAnsi="Times New Roman" w:cs="Times New Roman"/>
          <w:sz w:val="28"/>
          <w:szCs w:val="28"/>
          <w:lang w:val="en-US"/>
        </w:rPr>
        <w:t>Ehmke</w:t>
      </w:r>
      <w:proofErr w:type="spellEnd"/>
      <w:r w:rsidRPr="0096445F">
        <w:rPr>
          <w:rFonts w:ascii="Times New Roman" w:hAnsi="Times New Roman" w:cs="Times New Roman"/>
          <w:sz w:val="28"/>
          <w:szCs w:val="28"/>
          <w:lang w:val="en-US"/>
        </w:rPr>
        <w:t xml:space="preserve"> H. A. Am J </w:t>
      </w:r>
      <w:proofErr w:type="spellStart"/>
      <w:r w:rsidRPr="0096445F">
        <w:rPr>
          <w:rFonts w:ascii="Times New Roman" w:hAnsi="Times New Roman" w:cs="Times New Roman"/>
          <w:sz w:val="28"/>
          <w:szCs w:val="28"/>
          <w:lang w:val="en-US"/>
        </w:rPr>
        <w:t>Physiol</w:t>
      </w:r>
      <w:proofErr w:type="spellEnd"/>
      <w:r w:rsidRPr="0096445F">
        <w:rPr>
          <w:rFonts w:ascii="Times New Roman" w:hAnsi="Times New Roman" w:cs="Times New Roman"/>
          <w:sz w:val="28"/>
          <w:szCs w:val="28"/>
          <w:lang w:val="en-US"/>
        </w:rPr>
        <w:t xml:space="preserve"> Heart Circ Physiol. 2017 Mar 1;312(3):H349-H354.</w:t>
      </w:r>
    </w:p>
    <w:p w:rsidR="00DA6BE4" w:rsidRPr="00015A87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>Active gingival inflammation is linked to hypertension.</w:t>
      </w:r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en-US"/>
        </w:rPr>
        <w:t>Pietropaoli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 D, Monaco A,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en-US"/>
        </w:rPr>
        <w:t>D'Aiuto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en-US"/>
        </w:rPr>
        <w:t>Muñoz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 Aguilera E,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en-US"/>
        </w:rPr>
        <w:t>Ortu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en-US"/>
        </w:rPr>
        <w:t>Giannoni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en-US"/>
        </w:rPr>
        <w:t>Czesnikiewicz-Guzik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en-US"/>
        </w:rPr>
        <w:t>Guzik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 TJ,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en-US"/>
        </w:rPr>
        <w:t>Ferri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 C, Del Pinto R. J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en-US"/>
        </w:rPr>
        <w:t>Hypertens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en-US"/>
        </w:rPr>
        <w:t>. 2020 Oct;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270">
        <w:rPr>
          <w:rFonts w:ascii="Times New Roman" w:hAnsi="Times New Roman" w:cs="Times New Roman"/>
          <w:sz w:val="28"/>
          <w:szCs w:val="28"/>
          <w:lang w:val="en-US"/>
        </w:rPr>
        <w:t>38(10):2018-2027.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6BE4" w:rsidRPr="00362270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Association between Hypertension and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Periodontitis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: Possible Mechanisms. </w:t>
      </w:r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Leong XF, Ng CY,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en-US"/>
        </w:rPr>
        <w:t>Badiah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 B, Das S.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en-US"/>
        </w:rPr>
        <w:t>ScientificWorldJournal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en-US"/>
        </w:rPr>
        <w:t>. 2014 Jan 8</w:t>
      </w:r>
      <w:proofErr w:type="gramStart"/>
      <w:r w:rsidRPr="00362270">
        <w:rPr>
          <w:rFonts w:ascii="Times New Roman" w:hAnsi="Times New Roman" w:cs="Times New Roman"/>
          <w:sz w:val="28"/>
          <w:szCs w:val="28"/>
          <w:lang w:val="en-US"/>
        </w:rPr>
        <w:t>;2014:768237</w:t>
      </w:r>
      <w:proofErr w:type="gramEnd"/>
      <w:r w:rsidRPr="003622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6BE4" w:rsidRPr="00F13417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Cuspidi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C,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Valerio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Sala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C, Esposito A,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Masaidi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Negri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Zanchetti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Mancia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G. Prevalence and correlates of multiple organ damage in a never-treated hypertensive population: role of ambulatory blood pressure. Blood Press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Monit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2008; 13:7–13.</w:t>
      </w:r>
    </w:p>
    <w:p w:rsidR="00DA6BE4" w:rsidRPr="00F13417" w:rsidRDefault="00DA6BE4" w:rsidP="005E0A26">
      <w:pPr>
        <w:pStyle w:val="a7"/>
        <w:numPr>
          <w:ilvl w:val="0"/>
          <w:numId w:val="11"/>
        </w:numPr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8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Davies PF. Flow-mediated endothelial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mechanotransduction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Physiol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Rev 1995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BE4" w:rsidRPr="00362270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15A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Elevation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77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Systemic</w:t>
      </w:r>
      <w:proofErr w:type="gram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Markers Related to Cardiovascular Diseases in the Peripheral Blood of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Periodontitis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Patients.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en-US"/>
        </w:rPr>
        <w:t>Loos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 BG,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en-US"/>
        </w:rPr>
        <w:t>Craandijk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en-US"/>
        </w:rPr>
        <w:t>Hoek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 FJ, Wertheim-van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en-US"/>
        </w:rPr>
        <w:t>Dillen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 PM, van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en-US"/>
        </w:rPr>
        <w:t>Velden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 U. J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en-US"/>
        </w:rPr>
        <w:t>Periodontol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en-US"/>
        </w:rPr>
        <w:t>. 2000 Oct</w:t>
      </w:r>
      <w:proofErr w:type="gramStart"/>
      <w:r w:rsidRPr="00362270">
        <w:rPr>
          <w:rFonts w:ascii="Times New Roman" w:hAnsi="Times New Roman" w:cs="Times New Roman"/>
          <w:sz w:val="28"/>
          <w:szCs w:val="28"/>
          <w:lang w:val="en-US"/>
        </w:rPr>
        <w:t>;71</w:t>
      </w:r>
      <w:proofErr w:type="gramEnd"/>
      <w:r w:rsidRPr="00362270">
        <w:rPr>
          <w:rFonts w:ascii="Times New Roman" w:hAnsi="Times New Roman" w:cs="Times New Roman"/>
          <w:sz w:val="28"/>
          <w:szCs w:val="28"/>
          <w:lang w:val="en-US"/>
        </w:rPr>
        <w:t>(10):1528-34.</w:t>
      </w:r>
    </w:p>
    <w:p w:rsidR="00DA6BE4" w:rsidRPr="00F13417" w:rsidRDefault="00DA6BE4" w:rsidP="005E0A26">
      <w:pPr>
        <w:pStyle w:val="a7"/>
        <w:numPr>
          <w:ilvl w:val="0"/>
          <w:numId w:val="11"/>
        </w:numPr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2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Humphrey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JD, Harrison DG, Figueroa CA,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Lacolley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P, Laurent S. Central artery stiffness in hypertension and aging: A problem with cause and consequence. Circ Res</w:t>
      </w:r>
      <w:r w:rsidRPr="00362270">
        <w:rPr>
          <w:rFonts w:ascii="Times New Roman" w:hAnsi="Times New Roman" w:cs="Times New Roman"/>
          <w:sz w:val="28"/>
          <w:szCs w:val="28"/>
          <w:lang w:val="en-US"/>
        </w:rPr>
        <w:t>. 2016 Feb 5</w:t>
      </w:r>
      <w:proofErr w:type="gramStart"/>
      <w:r w:rsidRPr="00362270">
        <w:rPr>
          <w:rFonts w:ascii="Times New Roman" w:hAnsi="Times New Roman" w:cs="Times New Roman"/>
          <w:sz w:val="28"/>
          <w:szCs w:val="28"/>
          <w:lang w:val="en-US"/>
        </w:rPr>
        <w:t>;118</w:t>
      </w:r>
      <w:proofErr w:type="gramEnd"/>
      <w:r w:rsidRPr="00362270">
        <w:rPr>
          <w:rFonts w:ascii="Times New Roman" w:hAnsi="Times New Roman" w:cs="Times New Roman"/>
          <w:sz w:val="28"/>
          <w:szCs w:val="28"/>
          <w:lang w:val="en-US"/>
        </w:rPr>
        <w:t>(3):379-81.</w:t>
      </w:r>
      <w:r>
        <w:rPr>
          <w:rFonts w:ascii="Segoe UI" w:hAnsi="Segoe UI" w:cs="Segoe UI"/>
          <w:color w:val="212121"/>
          <w:sz w:val="33"/>
          <w:szCs w:val="33"/>
          <w:shd w:val="clear" w:color="auto" w:fill="FFFFFF"/>
        </w:rPr>
        <w:t xml:space="preserve"> </w:t>
      </w:r>
    </w:p>
    <w:p w:rsidR="00DA6BE4" w:rsidRPr="00362270" w:rsidRDefault="00DA6BE4" w:rsidP="005E0A26">
      <w:pPr>
        <w:pStyle w:val="a7"/>
        <w:numPr>
          <w:ilvl w:val="0"/>
          <w:numId w:val="11"/>
        </w:numPr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62270">
        <w:rPr>
          <w:rFonts w:ascii="Times New Roman" w:hAnsi="Times New Roman" w:cs="Times New Roman"/>
          <w:sz w:val="28"/>
          <w:szCs w:val="28"/>
          <w:lang w:val="de-DE"/>
        </w:rPr>
        <w:t xml:space="preserve"> Immune 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de-DE"/>
        </w:rPr>
        <w:t>Mechanisms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de-DE"/>
        </w:rPr>
        <w:t xml:space="preserve"> in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de-DE"/>
        </w:rPr>
        <w:t>Arterial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de-DE"/>
        </w:rPr>
        <w:t xml:space="preserve"> Hypertension. Wenzel U, Turner JE, Krebs C, Kurts C, Harrison DG, Ehmke H.  J Am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de-DE"/>
        </w:rPr>
        <w:t>Soc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de-DE"/>
        </w:rPr>
        <w:t>Nephrol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de-DE"/>
        </w:rPr>
        <w:t>. 2016 Mar;27(3):677-86.</w:t>
      </w:r>
    </w:p>
    <w:p w:rsidR="00DA6BE4" w:rsidRPr="00DA6BE4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227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de-DE"/>
        </w:rPr>
        <w:t>Inflammation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de-DE"/>
        </w:rPr>
        <w:t xml:space="preserve"> in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de-DE"/>
        </w:rPr>
        <w:t>hypertension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de-DE"/>
        </w:rPr>
        <w:t>Savoia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de-DE"/>
        </w:rPr>
        <w:t xml:space="preserve"> C, </w:t>
      </w:r>
      <w:proofErr w:type="spellStart"/>
      <w:r w:rsidRPr="00362270">
        <w:rPr>
          <w:rFonts w:ascii="Times New Roman" w:hAnsi="Times New Roman" w:cs="Times New Roman"/>
          <w:sz w:val="28"/>
          <w:szCs w:val="28"/>
          <w:lang w:val="de-DE"/>
        </w:rPr>
        <w:t>Schiffrin</w:t>
      </w:r>
      <w:proofErr w:type="spellEnd"/>
      <w:r w:rsidRPr="00362270">
        <w:rPr>
          <w:rFonts w:ascii="Times New Roman" w:hAnsi="Times New Roman" w:cs="Times New Roman"/>
          <w:sz w:val="28"/>
          <w:szCs w:val="28"/>
          <w:lang w:val="de-DE"/>
        </w:rPr>
        <w:t xml:space="preserve"> EL. </w:t>
      </w:r>
      <w:proofErr w:type="spellStart"/>
      <w:r w:rsidRPr="00DA6BE4">
        <w:rPr>
          <w:rFonts w:ascii="Times New Roman" w:hAnsi="Times New Roman" w:cs="Times New Roman"/>
          <w:sz w:val="28"/>
          <w:szCs w:val="28"/>
          <w:lang w:val="en-US"/>
        </w:rPr>
        <w:t>Curr</w:t>
      </w:r>
      <w:proofErr w:type="spellEnd"/>
      <w:r w:rsidRPr="00DA6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BE4">
        <w:rPr>
          <w:rFonts w:ascii="Times New Roman" w:hAnsi="Times New Roman" w:cs="Times New Roman"/>
          <w:sz w:val="28"/>
          <w:szCs w:val="28"/>
          <w:lang w:val="en-US"/>
        </w:rPr>
        <w:t>Opin</w:t>
      </w:r>
      <w:proofErr w:type="spellEnd"/>
      <w:r w:rsidRPr="00DA6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BE4">
        <w:rPr>
          <w:rFonts w:ascii="Times New Roman" w:hAnsi="Times New Roman" w:cs="Times New Roman"/>
          <w:sz w:val="28"/>
          <w:szCs w:val="28"/>
          <w:lang w:val="en-US"/>
        </w:rPr>
        <w:t>Nephrol</w:t>
      </w:r>
      <w:proofErr w:type="spellEnd"/>
      <w:r w:rsidRPr="00DA6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BE4">
        <w:rPr>
          <w:rFonts w:ascii="Times New Roman" w:hAnsi="Times New Roman" w:cs="Times New Roman"/>
          <w:sz w:val="28"/>
          <w:szCs w:val="28"/>
          <w:lang w:val="en-US"/>
        </w:rPr>
        <w:t>Hypertens</w:t>
      </w:r>
      <w:proofErr w:type="spellEnd"/>
      <w:r w:rsidRPr="00DA6BE4">
        <w:rPr>
          <w:rFonts w:ascii="Times New Roman" w:hAnsi="Times New Roman" w:cs="Times New Roman"/>
          <w:sz w:val="28"/>
          <w:szCs w:val="28"/>
          <w:lang w:val="en-US"/>
        </w:rPr>
        <w:t>. 2006 Mar</w:t>
      </w:r>
      <w:proofErr w:type="gramStart"/>
      <w:r w:rsidRPr="00DA6BE4">
        <w:rPr>
          <w:rFonts w:ascii="Times New Roman" w:hAnsi="Times New Roman" w:cs="Times New Roman"/>
          <w:sz w:val="28"/>
          <w:szCs w:val="28"/>
          <w:lang w:val="en-US"/>
        </w:rPr>
        <w:t>;15</w:t>
      </w:r>
      <w:proofErr w:type="gramEnd"/>
      <w:r w:rsidRPr="00DA6BE4">
        <w:rPr>
          <w:rFonts w:ascii="Times New Roman" w:hAnsi="Times New Roman" w:cs="Times New Roman"/>
          <w:sz w:val="28"/>
          <w:szCs w:val="28"/>
          <w:lang w:val="en-US"/>
        </w:rPr>
        <w:t>(2):152-8.</w:t>
      </w:r>
    </w:p>
    <w:p w:rsidR="00DA6BE4" w:rsidRPr="00344300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Inflammation, Immunity, and Cardiovascular Disease. </w:t>
      </w:r>
      <w:r w:rsidRPr="00DA6BE4">
        <w:rPr>
          <w:rFonts w:ascii="Times New Roman" w:hAnsi="Times New Roman" w:cs="Times New Roman"/>
          <w:sz w:val="28"/>
          <w:szCs w:val="28"/>
          <w:lang w:val="en-US"/>
        </w:rPr>
        <w:t>A patho</w:t>
      </w:r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genic role of complement in arterial hypertension and hypertensive end organ damage. </w:t>
      </w:r>
      <w:r w:rsidRPr="00344300">
        <w:rPr>
          <w:rFonts w:ascii="Times New Roman" w:hAnsi="Times New Roman" w:cs="Times New Roman"/>
          <w:sz w:val="28"/>
          <w:szCs w:val="28"/>
          <w:lang w:val="de-DE"/>
        </w:rPr>
        <w:t xml:space="preserve">Ulrich O. Wenzel, Marlies Bode, Jörg Köhl,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de-DE"/>
        </w:rPr>
        <w:t>and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de-DE"/>
        </w:rPr>
        <w:t xml:space="preserve"> Heimo Ehmke. 201</w:t>
      </w:r>
      <w:r w:rsidRPr="00344300">
        <w:rPr>
          <w:rFonts w:ascii="Times New Roman" w:hAnsi="Times New Roman" w:cs="Times New Roman"/>
          <w:sz w:val="28"/>
          <w:szCs w:val="28"/>
        </w:rPr>
        <w:t>7.</w:t>
      </w:r>
    </w:p>
    <w:p w:rsidR="00DA6BE4" w:rsidRPr="00F13417" w:rsidRDefault="00DA6BE4" w:rsidP="005E0A26">
      <w:pPr>
        <w:pStyle w:val="a7"/>
        <w:numPr>
          <w:ilvl w:val="0"/>
          <w:numId w:val="11"/>
        </w:numPr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13417">
        <w:rPr>
          <w:rFonts w:ascii="Times New Roman" w:hAnsi="Times New Roman" w:cs="Times New Roman"/>
          <w:sz w:val="28"/>
          <w:szCs w:val="28"/>
          <w:lang w:val="en-US"/>
        </w:rPr>
        <w:t>Inflammation  and</w:t>
      </w:r>
      <w:proofErr w:type="gram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Arterial Hypertension: From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Pathophysiological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Links to Risk Prediction.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Pietri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Vlachopoulos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Tousoulis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D.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Curr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Med Chem. 2015</w:t>
      </w:r>
      <w:proofErr w:type="gramStart"/>
      <w:r w:rsidRPr="005A542B">
        <w:rPr>
          <w:rFonts w:ascii="Times New Roman" w:hAnsi="Times New Roman" w:cs="Times New Roman"/>
          <w:sz w:val="28"/>
          <w:szCs w:val="28"/>
          <w:lang w:val="en-US"/>
        </w:rPr>
        <w:t>;22</w:t>
      </w:r>
      <w:proofErr w:type="gram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(23):2754-61. </w:t>
      </w:r>
    </w:p>
    <w:p w:rsidR="00DA6BE4" w:rsidRPr="00015A87" w:rsidRDefault="00DA6BE4" w:rsidP="005E0A26">
      <w:pPr>
        <w:pStyle w:val="a7"/>
        <w:numPr>
          <w:ilvl w:val="0"/>
          <w:numId w:val="11"/>
        </w:numPr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Interactions </w:t>
      </w:r>
      <w:proofErr w:type="gramStart"/>
      <w:r w:rsidRPr="00F13417">
        <w:rPr>
          <w:rFonts w:ascii="Times New Roman" w:hAnsi="Times New Roman" w:cs="Times New Roman"/>
          <w:sz w:val="28"/>
          <w:szCs w:val="28"/>
          <w:lang w:val="en-US"/>
        </w:rPr>
        <w:t>Between</w:t>
      </w:r>
      <w:proofErr w:type="gram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Immuneand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Renin–Angiotensin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Systems in Hypertension. Nathan P.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Rudemiller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, Steven D. Crowley. </w:t>
      </w:r>
      <w:r w:rsidRPr="005A542B">
        <w:rPr>
          <w:rFonts w:ascii="Times New Roman" w:hAnsi="Times New Roman" w:cs="Times New Roman"/>
          <w:sz w:val="28"/>
          <w:szCs w:val="28"/>
          <w:lang w:val="en-US"/>
        </w:rPr>
        <w:t>Hypertension. 2016;68:289–296</w:t>
      </w:r>
    </w:p>
    <w:p w:rsidR="00DA6BE4" w:rsidRPr="00F13417" w:rsidRDefault="00DA6BE4" w:rsidP="005E0A26">
      <w:pPr>
        <w:pStyle w:val="a7"/>
        <w:numPr>
          <w:ilvl w:val="0"/>
          <w:numId w:val="11"/>
        </w:numPr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Li Q,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Muragaki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Y,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Hatamura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I, Ueno H,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Ooshima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A. Stretch-induced collagen synthesis in cultured smooth muscle cells from rabbit aortic media and a possible involvement of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angiotensin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II and transforming growth factor-beta. J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Vasc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Res. 1998 Mar-Apr</w:t>
      </w:r>
      <w:proofErr w:type="gramStart"/>
      <w:r w:rsidRPr="005A542B">
        <w:rPr>
          <w:rFonts w:ascii="Times New Roman" w:hAnsi="Times New Roman" w:cs="Times New Roman"/>
          <w:sz w:val="28"/>
          <w:szCs w:val="28"/>
          <w:lang w:val="en-US"/>
        </w:rPr>
        <w:t>;35</w:t>
      </w:r>
      <w:proofErr w:type="gramEnd"/>
      <w:r w:rsidRPr="005A542B">
        <w:rPr>
          <w:rFonts w:ascii="Times New Roman" w:hAnsi="Times New Roman" w:cs="Times New Roman"/>
          <w:sz w:val="28"/>
          <w:szCs w:val="28"/>
          <w:lang w:val="en-US"/>
        </w:rPr>
        <w:t>(2):93-103.</w:t>
      </w:r>
    </w:p>
    <w:p w:rsidR="00DA6BE4" w:rsidRPr="005A542B" w:rsidRDefault="00DA6BE4" w:rsidP="005E0A26">
      <w:pPr>
        <w:pStyle w:val="a7"/>
        <w:numPr>
          <w:ilvl w:val="0"/>
          <w:numId w:val="11"/>
        </w:numPr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8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Mathematical model of hypertension-induced arterial remodeling: A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chemomechanical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approach</w:t>
      </w:r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Wilstein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Z,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Alligood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DM,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McLure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VL, Miller AC. Math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Biosci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>. 2018 Sep</w:t>
      </w:r>
      <w:proofErr w:type="gramStart"/>
      <w:r w:rsidRPr="005A542B">
        <w:rPr>
          <w:rFonts w:ascii="Times New Roman" w:hAnsi="Times New Roman" w:cs="Times New Roman"/>
          <w:sz w:val="28"/>
          <w:szCs w:val="28"/>
          <w:lang w:val="en-US"/>
        </w:rPr>
        <w:t>;303:10</w:t>
      </w:r>
      <w:proofErr w:type="gramEnd"/>
      <w:r w:rsidRPr="005A542B">
        <w:rPr>
          <w:rFonts w:ascii="Times New Roman" w:hAnsi="Times New Roman" w:cs="Times New Roman"/>
          <w:sz w:val="28"/>
          <w:szCs w:val="28"/>
          <w:lang w:val="en-US"/>
        </w:rPr>
        <w:t>-25.</w:t>
      </w:r>
    </w:p>
    <w:p w:rsidR="00DA6BE4" w:rsidRPr="00DA6BE4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15A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Matrix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metalloproteinase-9 and tissue inhibitor of matrix metalloproteinase-1 in blood as markers for early atherosclerosis in subjects with chronic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periodontitis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BE4">
        <w:rPr>
          <w:rFonts w:ascii="Times New Roman" w:hAnsi="Times New Roman" w:cs="Times New Roman"/>
          <w:sz w:val="28"/>
          <w:szCs w:val="28"/>
          <w:lang w:val="de-DE"/>
        </w:rPr>
        <w:t xml:space="preserve">Söder PO, </w:t>
      </w:r>
      <w:proofErr w:type="spellStart"/>
      <w:r w:rsidRPr="00DA6BE4">
        <w:rPr>
          <w:rFonts w:ascii="Times New Roman" w:hAnsi="Times New Roman" w:cs="Times New Roman"/>
          <w:sz w:val="28"/>
          <w:szCs w:val="28"/>
          <w:lang w:val="de-DE"/>
        </w:rPr>
        <w:t>Meurman</w:t>
      </w:r>
      <w:proofErr w:type="spellEnd"/>
      <w:r w:rsidRPr="00DA6BE4">
        <w:rPr>
          <w:rFonts w:ascii="Times New Roman" w:hAnsi="Times New Roman" w:cs="Times New Roman"/>
          <w:sz w:val="28"/>
          <w:szCs w:val="28"/>
          <w:lang w:val="de-DE"/>
        </w:rPr>
        <w:t xml:space="preserve"> JH, </w:t>
      </w:r>
      <w:proofErr w:type="spellStart"/>
      <w:r w:rsidRPr="00DA6BE4">
        <w:rPr>
          <w:rFonts w:ascii="Times New Roman" w:hAnsi="Times New Roman" w:cs="Times New Roman"/>
          <w:sz w:val="28"/>
          <w:szCs w:val="28"/>
          <w:lang w:val="de-DE"/>
        </w:rPr>
        <w:t>Jogestrand</w:t>
      </w:r>
      <w:proofErr w:type="spellEnd"/>
      <w:r w:rsidRPr="00DA6BE4">
        <w:rPr>
          <w:rFonts w:ascii="Times New Roman" w:hAnsi="Times New Roman" w:cs="Times New Roman"/>
          <w:sz w:val="28"/>
          <w:szCs w:val="28"/>
          <w:lang w:val="de-DE"/>
        </w:rPr>
        <w:t xml:space="preserve"> T, Nowak J, Söder B. J </w:t>
      </w:r>
      <w:proofErr w:type="spellStart"/>
      <w:r w:rsidRPr="00DA6BE4">
        <w:rPr>
          <w:rFonts w:ascii="Times New Roman" w:hAnsi="Times New Roman" w:cs="Times New Roman"/>
          <w:sz w:val="28"/>
          <w:szCs w:val="28"/>
          <w:lang w:val="de-DE"/>
        </w:rPr>
        <w:t>Periodontal</w:t>
      </w:r>
      <w:proofErr w:type="spellEnd"/>
      <w:r w:rsidRPr="00DA6BE4">
        <w:rPr>
          <w:rFonts w:ascii="Times New Roman" w:hAnsi="Times New Roman" w:cs="Times New Roman"/>
          <w:sz w:val="28"/>
          <w:szCs w:val="28"/>
          <w:lang w:val="de-DE"/>
        </w:rPr>
        <w:t xml:space="preserve"> Res. 2009 Aug;44(4):452-8. </w:t>
      </w:r>
    </w:p>
    <w:p w:rsidR="00DA6BE4" w:rsidRPr="00015A87" w:rsidRDefault="00DA6BE4" w:rsidP="005E0A26">
      <w:pPr>
        <w:pStyle w:val="a7"/>
        <w:numPr>
          <w:ilvl w:val="0"/>
          <w:numId w:val="11"/>
        </w:numPr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B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Mechanisms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of Vascular Remodeling in Hypertension. J.D. Humphrey. </w:t>
      </w:r>
      <w:r w:rsidRPr="005A54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A542B">
        <w:rPr>
          <w:rFonts w:ascii="Times New Roman" w:hAnsi="Times New Roman" w:cs="Times New Roman"/>
          <w:iCs/>
          <w:sz w:val="28"/>
          <w:szCs w:val="28"/>
          <w:lang w:val="en-US"/>
        </w:rPr>
        <w:t>American Journal of Hypertension</w:t>
      </w:r>
      <w:r w:rsidRPr="005A542B">
        <w:rPr>
          <w:rFonts w:ascii="Times New Roman" w:hAnsi="Times New Roman" w:cs="Times New Roman"/>
          <w:sz w:val="28"/>
          <w:szCs w:val="28"/>
          <w:lang w:val="en-US"/>
        </w:rPr>
        <w:t>, Volume 34, Issue 5, May 2021, 432–441</w:t>
      </w:r>
    </w:p>
    <w:p w:rsidR="00DA6BE4" w:rsidRPr="005A542B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Oxford American Handbook of Cardiology. Edited by Jeffrey R. Bender, MD, Kerry S. Russell, MD, PhD, Lynda E. Rosenfeld, MD,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Sabeen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Chaudry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, MD,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Punit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Ramrakha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F13417">
        <w:rPr>
          <w:rFonts w:ascii="Times New Roman" w:hAnsi="Times New Roman" w:cs="Times New Roman"/>
          <w:sz w:val="28"/>
          <w:szCs w:val="28"/>
          <w:lang w:val="en-US"/>
        </w:rPr>
        <w:t>Jonathan</w:t>
      </w:r>
      <w:proofErr w:type="gram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Hill. Copyright © 2011 by Oxford University Press, Inc.</w:t>
      </w:r>
    </w:p>
    <w:p w:rsidR="00DA6BE4" w:rsidRPr="00015A87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Oxidative Stress, Systemic Inflammation, and Severe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Periodontitis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D'Aiuto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Nibali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L,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Parkar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M, Patel K,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Suvan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Donos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N.  J Dent Res. 2010 Nov</w:t>
      </w:r>
      <w:proofErr w:type="gramStart"/>
      <w:r w:rsidRPr="005A542B">
        <w:rPr>
          <w:rFonts w:ascii="Times New Roman" w:hAnsi="Times New Roman" w:cs="Times New Roman"/>
          <w:sz w:val="28"/>
          <w:szCs w:val="28"/>
          <w:lang w:val="en-US"/>
        </w:rPr>
        <w:t>;89</w:t>
      </w:r>
      <w:proofErr w:type="gramEnd"/>
      <w:r w:rsidRPr="005A542B">
        <w:rPr>
          <w:rFonts w:ascii="Times New Roman" w:hAnsi="Times New Roman" w:cs="Times New Roman"/>
          <w:sz w:val="28"/>
          <w:szCs w:val="28"/>
          <w:lang w:val="en-US"/>
        </w:rPr>
        <w:t>(11):1241-6.</w:t>
      </w:r>
    </w:p>
    <w:p w:rsidR="00DA6BE4" w:rsidRPr="00015A87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13417">
        <w:rPr>
          <w:rFonts w:ascii="Times New Roman" w:hAnsi="Times New Roman" w:cs="Times New Roman"/>
          <w:sz w:val="28"/>
          <w:szCs w:val="28"/>
          <w:lang w:val="en-US"/>
        </w:rPr>
        <w:t>Periodontitis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 is</w:t>
      </w:r>
      <w:proofErr w:type="gram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characterized by elevated PAI-1 activity.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Bizzarro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S, van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Velden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U, ten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Heggeler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JM,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Leivadaros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Hoek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FJ,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Gerdes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VE, Bakker SJ,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Gans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RO, Ten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Cate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H,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Loos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BG.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J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Periodontol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>. 2007 Jul</w:t>
      </w:r>
      <w:proofErr w:type="gramStart"/>
      <w:r w:rsidRPr="005A542B">
        <w:rPr>
          <w:rFonts w:ascii="Times New Roman" w:hAnsi="Times New Roman" w:cs="Times New Roman"/>
          <w:sz w:val="28"/>
          <w:szCs w:val="28"/>
          <w:lang w:val="en-US"/>
        </w:rPr>
        <w:t>;34</w:t>
      </w:r>
      <w:proofErr w:type="gramEnd"/>
      <w:r w:rsidRPr="005A542B">
        <w:rPr>
          <w:rFonts w:ascii="Times New Roman" w:hAnsi="Times New Roman" w:cs="Times New Roman"/>
          <w:sz w:val="28"/>
          <w:szCs w:val="28"/>
          <w:lang w:val="en-US"/>
        </w:rPr>
        <w:t>(7):574-80.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6BE4" w:rsidRPr="00F13417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Periodontitis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and hypertension: causally linked by immune mechanisms.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Schiffrin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EL,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Engert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JC. </w:t>
      </w:r>
      <w:proofErr w:type="spellStart"/>
      <w:r w:rsidRPr="005A542B">
        <w:rPr>
          <w:rFonts w:ascii="Times New Roman" w:hAnsi="Times New Roman" w:cs="Times New Roman"/>
          <w:sz w:val="28"/>
          <w:szCs w:val="28"/>
          <w:lang w:val="en-US"/>
        </w:rPr>
        <w:t>Eur</w:t>
      </w:r>
      <w:proofErr w:type="spellEnd"/>
      <w:r w:rsidRPr="005A542B">
        <w:rPr>
          <w:rFonts w:ascii="Times New Roman" w:hAnsi="Times New Roman" w:cs="Times New Roman"/>
          <w:sz w:val="28"/>
          <w:szCs w:val="28"/>
          <w:lang w:val="en-US"/>
        </w:rPr>
        <w:t xml:space="preserve"> Heart J. 2019 Nov 1</w:t>
      </w:r>
      <w:proofErr w:type="gramStart"/>
      <w:r w:rsidRPr="005A542B">
        <w:rPr>
          <w:rFonts w:ascii="Times New Roman" w:hAnsi="Times New Roman" w:cs="Times New Roman"/>
          <w:sz w:val="28"/>
          <w:szCs w:val="28"/>
          <w:lang w:val="en-US"/>
        </w:rPr>
        <w:t>;40</w:t>
      </w:r>
      <w:proofErr w:type="gramEnd"/>
      <w:r w:rsidRPr="005A542B">
        <w:rPr>
          <w:rFonts w:ascii="Times New Roman" w:hAnsi="Times New Roman" w:cs="Times New Roman"/>
          <w:sz w:val="28"/>
          <w:szCs w:val="28"/>
          <w:lang w:val="en-US"/>
        </w:rPr>
        <w:t>(42):3471-3473.</w:t>
      </w:r>
      <w:r w:rsidRPr="005318F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A6BE4" w:rsidRPr="00F13417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18F6">
        <w:rPr>
          <w:rFonts w:ascii="Times New Roman" w:hAnsi="Times New Roman" w:cs="Times New Roman"/>
          <w:sz w:val="28"/>
          <w:szCs w:val="28"/>
          <w:lang w:val="en-US"/>
        </w:rPr>
        <w:t>Perrone-Filardi</w:t>
      </w:r>
      <w:proofErr w:type="spellEnd"/>
      <w:r w:rsidRPr="005318F6">
        <w:rPr>
          <w:rFonts w:ascii="Times New Roman" w:hAnsi="Times New Roman" w:cs="Times New Roman"/>
          <w:sz w:val="28"/>
          <w:szCs w:val="28"/>
          <w:lang w:val="en-US"/>
        </w:rPr>
        <w:t xml:space="preserve"> P, Coca A, </w:t>
      </w:r>
      <w:proofErr w:type="spellStart"/>
      <w:r w:rsidRPr="005318F6">
        <w:rPr>
          <w:rFonts w:ascii="Times New Roman" w:hAnsi="Times New Roman" w:cs="Times New Roman"/>
          <w:sz w:val="28"/>
          <w:szCs w:val="28"/>
          <w:lang w:val="en-US"/>
        </w:rPr>
        <w:t>Galderisi</w:t>
      </w:r>
      <w:proofErr w:type="spellEnd"/>
      <w:r w:rsidRPr="005318F6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5318F6">
        <w:rPr>
          <w:rFonts w:ascii="Times New Roman" w:hAnsi="Times New Roman" w:cs="Times New Roman"/>
          <w:sz w:val="28"/>
          <w:szCs w:val="28"/>
          <w:lang w:val="en-US"/>
        </w:rPr>
        <w:t>Paolillo</w:t>
      </w:r>
      <w:proofErr w:type="spellEnd"/>
      <w:r w:rsidRPr="005318F6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5318F6">
        <w:rPr>
          <w:rFonts w:ascii="Times New Roman" w:hAnsi="Times New Roman" w:cs="Times New Roman"/>
          <w:sz w:val="28"/>
          <w:szCs w:val="28"/>
          <w:lang w:val="en-US"/>
        </w:rPr>
        <w:t>Alpendurada</w:t>
      </w:r>
      <w:proofErr w:type="spellEnd"/>
      <w:r w:rsidRPr="005318F6">
        <w:rPr>
          <w:rFonts w:ascii="Times New Roman" w:hAnsi="Times New Roman" w:cs="Times New Roman"/>
          <w:sz w:val="28"/>
          <w:szCs w:val="28"/>
          <w:lang w:val="en-US"/>
        </w:rPr>
        <w:t xml:space="preserve"> F, de Simone G, </w:t>
      </w:r>
      <w:proofErr w:type="spellStart"/>
      <w:r w:rsidRPr="005318F6">
        <w:rPr>
          <w:rFonts w:ascii="Times New Roman" w:hAnsi="Times New Roman" w:cs="Times New Roman"/>
          <w:sz w:val="28"/>
          <w:szCs w:val="28"/>
          <w:lang w:val="en-US"/>
        </w:rPr>
        <w:t>Donal</w:t>
      </w:r>
      <w:proofErr w:type="spellEnd"/>
      <w:r w:rsidRPr="005318F6"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 w:rsidRPr="005318F6">
        <w:rPr>
          <w:rFonts w:ascii="Times New Roman" w:hAnsi="Times New Roman" w:cs="Times New Roman"/>
          <w:sz w:val="28"/>
          <w:szCs w:val="28"/>
          <w:lang w:val="en-US"/>
        </w:rPr>
        <w:t>Kahan</w:t>
      </w:r>
      <w:proofErr w:type="spellEnd"/>
      <w:r w:rsidRPr="005318F6">
        <w:rPr>
          <w:rFonts w:ascii="Times New Roman" w:hAnsi="Times New Roman" w:cs="Times New Roman"/>
          <w:sz w:val="28"/>
          <w:szCs w:val="28"/>
          <w:lang w:val="en-US"/>
        </w:rPr>
        <w:t xml:space="preserve"> T, </w:t>
      </w:r>
      <w:proofErr w:type="spellStart"/>
      <w:r w:rsidRPr="005318F6">
        <w:rPr>
          <w:rFonts w:ascii="Times New Roman" w:hAnsi="Times New Roman" w:cs="Times New Roman"/>
          <w:sz w:val="28"/>
          <w:szCs w:val="28"/>
          <w:lang w:val="en-US"/>
        </w:rPr>
        <w:t>Mancia</w:t>
      </w:r>
      <w:proofErr w:type="spellEnd"/>
      <w:r w:rsidRPr="005318F6">
        <w:rPr>
          <w:rFonts w:ascii="Times New Roman" w:hAnsi="Times New Roman" w:cs="Times New Roman"/>
          <w:sz w:val="28"/>
          <w:szCs w:val="28"/>
          <w:lang w:val="en-US"/>
        </w:rPr>
        <w:t xml:space="preserve"> G, Redon J, </w:t>
      </w:r>
      <w:proofErr w:type="spellStart"/>
      <w:r w:rsidRPr="005318F6">
        <w:rPr>
          <w:rFonts w:ascii="Times New Roman" w:hAnsi="Times New Roman" w:cs="Times New Roman"/>
          <w:sz w:val="28"/>
          <w:szCs w:val="28"/>
          <w:lang w:val="en-US"/>
        </w:rPr>
        <w:t>Schmieder</w:t>
      </w:r>
      <w:proofErr w:type="spellEnd"/>
      <w:r w:rsidRPr="005318F6">
        <w:rPr>
          <w:rFonts w:ascii="Times New Roman" w:hAnsi="Times New Roman" w:cs="Times New Roman"/>
          <w:sz w:val="28"/>
          <w:szCs w:val="28"/>
          <w:lang w:val="en-US"/>
        </w:rPr>
        <w:t xml:space="preserve"> R, Williams B, </w:t>
      </w:r>
      <w:proofErr w:type="spellStart"/>
      <w:r w:rsidRPr="005318F6">
        <w:rPr>
          <w:rFonts w:ascii="Times New Roman" w:hAnsi="Times New Roman" w:cs="Times New Roman"/>
          <w:sz w:val="28"/>
          <w:szCs w:val="28"/>
          <w:lang w:val="en-US"/>
        </w:rPr>
        <w:t>Agabiti-Rosei</w:t>
      </w:r>
      <w:proofErr w:type="spellEnd"/>
      <w:r w:rsidRPr="005318F6">
        <w:rPr>
          <w:rFonts w:ascii="Times New Roman" w:hAnsi="Times New Roman" w:cs="Times New Roman"/>
          <w:sz w:val="28"/>
          <w:szCs w:val="28"/>
          <w:lang w:val="en-US"/>
        </w:rPr>
        <w:t xml:space="preserve"> E. Noninvasive cardiovascular imaging for evaluating subclinical target organ damage in hypertensive patients: a consensus article from the European Association of Cardiovascular Imaging, the European </w:t>
      </w:r>
      <w:r w:rsidRPr="005318F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Society of Cardiology Council on Hypertension and the European Society of Hypertension. J </w:t>
      </w:r>
      <w:proofErr w:type="spellStart"/>
      <w:r w:rsidRPr="005318F6">
        <w:rPr>
          <w:rFonts w:ascii="Times New Roman" w:hAnsi="Times New Roman" w:cs="Times New Roman"/>
          <w:sz w:val="28"/>
          <w:szCs w:val="28"/>
          <w:lang w:val="en-US"/>
        </w:rPr>
        <w:t>Hypertens</w:t>
      </w:r>
      <w:proofErr w:type="spellEnd"/>
      <w:r w:rsidRPr="005318F6">
        <w:rPr>
          <w:rFonts w:ascii="Times New Roman" w:hAnsi="Times New Roman" w:cs="Times New Roman"/>
          <w:sz w:val="28"/>
          <w:szCs w:val="28"/>
          <w:lang w:val="en-US"/>
        </w:rPr>
        <w:t>. 2017 Sep</w:t>
      </w:r>
      <w:proofErr w:type="gramStart"/>
      <w:r w:rsidRPr="005318F6">
        <w:rPr>
          <w:rFonts w:ascii="Times New Roman" w:hAnsi="Times New Roman" w:cs="Times New Roman"/>
          <w:sz w:val="28"/>
          <w:szCs w:val="28"/>
          <w:lang w:val="en-US"/>
        </w:rPr>
        <w:t>;35</w:t>
      </w:r>
      <w:proofErr w:type="gramEnd"/>
      <w:r w:rsidRPr="005318F6">
        <w:rPr>
          <w:rFonts w:ascii="Times New Roman" w:hAnsi="Times New Roman" w:cs="Times New Roman"/>
          <w:sz w:val="28"/>
          <w:szCs w:val="28"/>
          <w:lang w:val="en-US"/>
        </w:rPr>
        <w:t>(9):1727-1741.</w:t>
      </w:r>
    </w:p>
    <w:p w:rsidR="00DA6BE4" w:rsidRPr="00F13417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>Prevalence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risk factors associated with hypertension and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prehypertension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in a working population at high altitude in China: a cross-sectional study. </w:t>
      </w:r>
      <w:proofErr w:type="spellStart"/>
      <w:r w:rsidRPr="005318F6">
        <w:rPr>
          <w:rFonts w:ascii="Times New Roman" w:hAnsi="Times New Roman" w:cs="Times New Roman"/>
          <w:sz w:val="28"/>
          <w:szCs w:val="28"/>
          <w:lang w:val="en-US"/>
        </w:rPr>
        <w:t>Shen</w:t>
      </w:r>
      <w:proofErr w:type="spellEnd"/>
      <w:r w:rsidRPr="005318F6">
        <w:rPr>
          <w:rFonts w:ascii="Times New Roman" w:hAnsi="Times New Roman" w:cs="Times New Roman"/>
          <w:sz w:val="28"/>
          <w:szCs w:val="28"/>
          <w:lang w:val="en-US"/>
        </w:rPr>
        <w:t xml:space="preserve"> Y, Chang C, Zhang J, Jiang Y, Ni B, Wang Y.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8F6">
        <w:rPr>
          <w:rFonts w:ascii="Times New Roman" w:hAnsi="Times New Roman" w:cs="Times New Roman"/>
          <w:sz w:val="28"/>
          <w:szCs w:val="28"/>
          <w:lang w:val="en-US"/>
        </w:rPr>
        <w:t xml:space="preserve"> Environ Health </w:t>
      </w:r>
      <w:proofErr w:type="spellStart"/>
      <w:r w:rsidRPr="005318F6">
        <w:rPr>
          <w:rFonts w:ascii="Times New Roman" w:hAnsi="Times New Roman" w:cs="Times New Roman"/>
          <w:sz w:val="28"/>
          <w:szCs w:val="28"/>
          <w:lang w:val="en-US"/>
        </w:rPr>
        <w:t>Prev</w:t>
      </w:r>
      <w:proofErr w:type="spellEnd"/>
      <w:r w:rsidRPr="005318F6">
        <w:rPr>
          <w:rFonts w:ascii="Times New Roman" w:hAnsi="Times New Roman" w:cs="Times New Roman"/>
          <w:sz w:val="28"/>
          <w:szCs w:val="28"/>
          <w:lang w:val="en-US"/>
        </w:rPr>
        <w:t xml:space="preserve"> Med. 2017 Apr 4</w:t>
      </w:r>
      <w:proofErr w:type="gramStart"/>
      <w:r w:rsidRPr="005318F6">
        <w:rPr>
          <w:rFonts w:ascii="Times New Roman" w:hAnsi="Times New Roman" w:cs="Times New Roman"/>
          <w:sz w:val="28"/>
          <w:szCs w:val="28"/>
          <w:lang w:val="en-US"/>
        </w:rPr>
        <w:t>;22</w:t>
      </w:r>
      <w:proofErr w:type="gramEnd"/>
      <w:r w:rsidRPr="005318F6">
        <w:rPr>
          <w:rFonts w:ascii="Times New Roman" w:hAnsi="Times New Roman" w:cs="Times New Roman"/>
          <w:sz w:val="28"/>
          <w:szCs w:val="28"/>
          <w:lang w:val="en-US"/>
        </w:rPr>
        <w:t>(1):19.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6BE4" w:rsidRPr="00F13417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Reactive Oxygen Species, Vascular Oxidative Stress, and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Redox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Signaling in Hypertension: What Is the Clinical Significance?  </w:t>
      </w:r>
      <w:proofErr w:type="spellStart"/>
      <w:r w:rsidRPr="005318F6">
        <w:rPr>
          <w:rFonts w:ascii="Times New Roman" w:hAnsi="Times New Roman" w:cs="Times New Roman"/>
          <w:sz w:val="28"/>
          <w:szCs w:val="28"/>
          <w:lang w:val="en-US"/>
        </w:rPr>
        <w:t>Touyz</w:t>
      </w:r>
      <w:proofErr w:type="spellEnd"/>
      <w:r w:rsidRPr="005318F6">
        <w:rPr>
          <w:rFonts w:ascii="Times New Roman" w:hAnsi="Times New Roman" w:cs="Times New Roman"/>
          <w:sz w:val="28"/>
          <w:szCs w:val="28"/>
          <w:lang w:val="en-US"/>
        </w:rPr>
        <w:t xml:space="preserve"> RM. Hypertension. 2004 Sep</w:t>
      </w:r>
      <w:proofErr w:type="gramStart"/>
      <w:r w:rsidRPr="005318F6">
        <w:rPr>
          <w:rFonts w:ascii="Times New Roman" w:hAnsi="Times New Roman" w:cs="Times New Roman"/>
          <w:sz w:val="28"/>
          <w:szCs w:val="28"/>
          <w:lang w:val="en-US"/>
        </w:rPr>
        <w:t>;44</w:t>
      </w:r>
      <w:proofErr w:type="gramEnd"/>
      <w:r w:rsidRPr="005318F6">
        <w:rPr>
          <w:rFonts w:ascii="Times New Roman" w:hAnsi="Times New Roman" w:cs="Times New Roman"/>
          <w:sz w:val="28"/>
          <w:szCs w:val="28"/>
          <w:lang w:val="en-US"/>
        </w:rPr>
        <w:t>(3):248-52.</w:t>
      </w:r>
    </w:p>
    <w:p w:rsidR="00DA6BE4" w:rsidRPr="00DA6BE4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BE4">
        <w:rPr>
          <w:rFonts w:ascii="Times New Roman" w:hAnsi="Times New Roman" w:cs="Times New Roman"/>
          <w:sz w:val="28"/>
          <w:szCs w:val="28"/>
          <w:lang w:val="en-US"/>
        </w:rPr>
        <w:t xml:space="preserve"> Risk factors for cardiovascular disease in patients with </w:t>
      </w:r>
      <w:proofErr w:type="spellStart"/>
      <w:r w:rsidRPr="00DA6BE4">
        <w:rPr>
          <w:rFonts w:ascii="Times New Roman" w:hAnsi="Times New Roman" w:cs="Times New Roman"/>
          <w:sz w:val="28"/>
          <w:szCs w:val="28"/>
          <w:lang w:val="en-US"/>
        </w:rPr>
        <w:t>periodontitis</w:t>
      </w:r>
      <w:proofErr w:type="spellEnd"/>
      <w:r w:rsidRPr="00DA6B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A6BE4">
        <w:rPr>
          <w:rFonts w:ascii="Times New Roman" w:hAnsi="Times New Roman" w:cs="Times New Roman"/>
          <w:sz w:val="28"/>
          <w:szCs w:val="28"/>
          <w:lang w:val="en-US"/>
        </w:rPr>
        <w:t>Buhlin</w:t>
      </w:r>
      <w:proofErr w:type="spellEnd"/>
      <w:r w:rsidRPr="00DA6BE4">
        <w:rPr>
          <w:rFonts w:ascii="Times New Roman" w:hAnsi="Times New Roman" w:cs="Times New Roman"/>
          <w:sz w:val="28"/>
          <w:szCs w:val="28"/>
          <w:lang w:val="en-US"/>
        </w:rPr>
        <w:t xml:space="preserve"> K, </w:t>
      </w:r>
      <w:proofErr w:type="spellStart"/>
      <w:r w:rsidRPr="00DA6BE4">
        <w:rPr>
          <w:rFonts w:ascii="Times New Roman" w:hAnsi="Times New Roman" w:cs="Times New Roman"/>
          <w:sz w:val="28"/>
          <w:szCs w:val="28"/>
          <w:lang w:val="en-US"/>
        </w:rPr>
        <w:t>Gustafsson</w:t>
      </w:r>
      <w:proofErr w:type="spellEnd"/>
      <w:r w:rsidRPr="00DA6BE4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DA6BE4">
        <w:rPr>
          <w:rFonts w:ascii="Times New Roman" w:hAnsi="Times New Roman" w:cs="Times New Roman"/>
          <w:sz w:val="28"/>
          <w:szCs w:val="28"/>
          <w:lang w:val="en-US"/>
        </w:rPr>
        <w:t>Pockley</w:t>
      </w:r>
      <w:proofErr w:type="spellEnd"/>
      <w:r w:rsidRPr="00DA6BE4">
        <w:rPr>
          <w:rFonts w:ascii="Times New Roman" w:hAnsi="Times New Roman" w:cs="Times New Roman"/>
          <w:sz w:val="28"/>
          <w:szCs w:val="28"/>
          <w:lang w:val="en-US"/>
        </w:rPr>
        <w:t xml:space="preserve"> AG, </w:t>
      </w:r>
      <w:proofErr w:type="spellStart"/>
      <w:r w:rsidRPr="00DA6BE4">
        <w:rPr>
          <w:rFonts w:ascii="Times New Roman" w:hAnsi="Times New Roman" w:cs="Times New Roman"/>
          <w:sz w:val="28"/>
          <w:szCs w:val="28"/>
          <w:lang w:val="en-US"/>
        </w:rPr>
        <w:t>Frostegård</w:t>
      </w:r>
      <w:proofErr w:type="spellEnd"/>
      <w:r w:rsidRPr="00DA6BE4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DA6BE4">
        <w:rPr>
          <w:rFonts w:ascii="Times New Roman" w:hAnsi="Times New Roman" w:cs="Times New Roman"/>
          <w:sz w:val="28"/>
          <w:szCs w:val="28"/>
          <w:lang w:val="en-US"/>
        </w:rPr>
        <w:t>Klinge</w:t>
      </w:r>
      <w:proofErr w:type="spellEnd"/>
      <w:r w:rsidRPr="00DA6BE4">
        <w:rPr>
          <w:rFonts w:ascii="Times New Roman" w:hAnsi="Times New Roman" w:cs="Times New Roman"/>
          <w:sz w:val="28"/>
          <w:szCs w:val="28"/>
          <w:lang w:val="en-US"/>
        </w:rPr>
        <w:t xml:space="preserve"> B.  </w:t>
      </w:r>
      <w:proofErr w:type="spellStart"/>
      <w:r w:rsidRPr="00DA6BE4">
        <w:rPr>
          <w:rFonts w:ascii="Times New Roman" w:hAnsi="Times New Roman" w:cs="Times New Roman"/>
          <w:sz w:val="28"/>
          <w:szCs w:val="28"/>
          <w:lang w:val="en-US"/>
        </w:rPr>
        <w:t>Eur</w:t>
      </w:r>
      <w:proofErr w:type="spellEnd"/>
      <w:r w:rsidRPr="00DA6BE4">
        <w:rPr>
          <w:rFonts w:ascii="Times New Roman" w:hAnsi="Times New Roman" w:cs="Times New Roman"/>
          <w:sz w:val="28"/>
          <w:szCs w:val="28"/>
          <w:lang w:val="en-US"/>
        </w:rPr>
        <w:t xml:space="preserve"> Heart J. 2003 Dec</w:t>
      </w:r>
      <w:proofErr w:type="gramStart"/>
      <w:r w:rsidRPr="00DA6BE4">
        <w:rPr>
          <w:rFonts w:ascii="Times New Roman" w:hAnsi="Times New Roman" w:cs="Times New Roman"/>
          <w:sz w:val="28"/>
          <w:szCs w:val="28"/>
          <w:lang w:val="en-US"/>
        </w:rPr>
        <w:t>;24</w:t>
      </w:r>
      <w:proofErr w:type="gramEnd"/>
      <w:r w:rsidRPr="00DA6BE4">
        <w:rPr>
          <w:rFonts w:ascii="Times New Roman" w:hAnsi="Times New Roman" w:cs="Times New Roman"/>
          <w:sz w:val="28"/>
          <w:szCs w:val="28"/>
          <w:lang w:val="en-US"/>
        </w:rPr>
        <w:t>(23):2099-107.</w:t>
      </w:r>
    </w:p>
    <w:p w:rsidR="00DA6BE4" w:rsidRPr="00344300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Serumlevels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of interleukin-10 and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tumour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necrosis factor-</w:t>
      </w:r>
      <w:proofErr w:type="gramStart"/>
      <w:r w:rsidRPr="00F1341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 in chronic </w:t>
      </w:r>
      <w:proofErr w:type="spellStart"/>
      <w:r w:rsidRPr="00F13417">
        <w:rPr>
          <w:rFonts w:ascii="Times New Roman" w:hAnsi="Times New Roman" w:cs="Times New Roman"/>
          <w:sz w:val="28"/>
          <w:szCs w:val="28"/>
          <w:lang w:val="en-US"/>
        </w:rPr>
        <w:t>periodontitis</w:t>
      </w:r>
      <w:proofErr w:type="spellEnd"/>
      <w:r w:rsidRPr="00F1341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Passoja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Puijola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I,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Knuuttila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Niemela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O,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Karttunen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R,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Raunio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T,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Tervonen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T. J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Periodontol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>. 2010 Oct</w:t>
      </w:r>
      <w:proofErr w:type="gramStart"/>
      <w:r w:rsidRPr="00344300">
        <w:rPr>
          <w:rFonts w:ascii="Times New Roman" w:hAnsi="Times New Roman" w:cs="Times New Roman"/>
          <w:sz w:val="28"/>
          <w:szCs w:val="28"/>
          <w:lang w:val="en-US"/>
        </w:rPr>
        <w:t>;37</w:t>
      </w:r>
      <w:proofErr w:type="gramEnd"/>
      <w:r w:rsidRPr="00344300">
        <w:rPr>
          <w:rFonts w:ascii="Times New Roman" w:hAnsi="Times New Roman" w:cs="Times New Roman"/>
          <w:sz w:val="28"/>
          <w:szCs w:val="28"/>
          <w:lang w:val="en-US"/>
        </w:rPr>
        <w:t>(10):881-7.</w:t>
      </w:r>
    </w:p>
    <w:p w:rsidR="00DA6BE4" w:rsidRPr="00344300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Systemic Hypertension. Elliott WJ. 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Curr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Probl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Cardiol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>. 2007 Apr</w:t>
      </w:r>
      <w:proofErr w:type="gramStart"/>
      <w:r w:rsidRPr="00344300">
        <w:rPr>
          <w:rFonts w:ascii="Times New Roman" w:hAnsi="Times New Roman" w:cs="Times New Roman"/>
          <w:sz w:val="28"/>
          <w:szCs w:val="28"/>
          <w:lang w:val="en-US"/>
        </w:rPr>
        <w:t>;32</w:t>
      </w:r>
      <w:proofErr w:type="gram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(4):201-59. </w:t>
      </w:r>
    </w:p>
    <w:p w:rsidR="00DA6BE4" w:rsidRPr="00344300" w:rsidRDefault="00DA6BE4" w:rsidP="005E0A26">
      <w:pPr>
        <w:pStyle w:val="a7"/>
        <w:numPr>
          <w:ilvl w:val="0"/>
          <w:numId w:val="11"/>
        </w:numPr>
        <w:spacing w:before="24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300">
        <w:rPr>
          <w:rFonts w:ascii="Times New Roman" w:hAnsi="Times New Roman" w:cs="Times New Roman"/>
          <w:sz w:val="28"/>
          <w:szCs w:val="28"/>
        </w:rPr>
        <w:t xml:space="preserve"> </w:t>
      </w:r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The immune system in hypertension.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Trott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DW, Harrison DG. Adv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Physiol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Educ. 2014 Mar</w:t>
      </w:r>
      <w:proofErr w:type="gramStart"/>
      <w:r w:rsidRPr="00344300">
        <w:rPr>
          <w:rFonts w:ascii="Times New Roman" w:hAnsi="Times New Roman" w:cs="Times New Roman"/>
          <w:sz w:val="28"/>
          <w:szCs w:val="28"/>
          <w:lang w:val="en-US"/>
        </w:rPr>
        <w:t>;38</w:t>
      </w:r>
      <w:proofErr w:type="gram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(1):20-4. </w:t>
      </w:r>
    </w:p>
    <w:p w:rsidR="00DA6BE4" w:rsidRPr="00344300" w:rsidRDefault="00DA6BE4" w:rsidP="005E0A26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284" w:firstLine="709"/>
        <w:jc w:val="both"/>
        <w:rPr>
          <w:rFonts w:ascii="Times New Roman" w:hAnsi="Times New Roman" w:cs="Times New Roman"/>
          <w:lang w:val="en-US"/>
        </w:rPr>
      </w:pPr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Treatment of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Periodontitis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and Endothelial Function.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Tonetti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MS,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D'Aiuto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Nibali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L, Donald A,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Storry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Parkar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Suvan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Hingorani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AD,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Vallance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Deanfield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J. N </w:t>
      </w:r>
      <w:proofErr w:type="spellStart"/>
      <w:r w:rsidRPr="00344300">
        <w:rPr>
          <w:rFonts w:ascii="Times New Roman" w:hAnsi="Times New Roman" w:cs="Times New Roman"/>
          <w:sz w:val="28"/>
          <w:szCs w:val="28"/>
          <w:lang w:val="en-US"/>
        </w:rPr>
        <w:t>Engl</w:t>
      </w:r>
      <w:proofErr w:type="spellEnd"/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J Med. 2007 Mar 1;356(9):911-20.</w:t>
      </w:r>
      <w:r w:rsidRPr="00344300">
        <w:rPr>
          <w:rFonts w:ascii="Times New Roman" w:hAnsi="Times New Roman" w:cs="Times New Roman"/>
          <w:color w:val="212121"/>
          <w:sz w:val="33"/>
          <w:szCs w:val="33"/>
          <w:shd w:val="clear" w:color="auto" w:fill="FFFFFF"/>
          <w:lang w:val="en-US"/>
        </w:rPr>
        <w:t> </w:t>
      </w:r>
      <w:r w:rsidRPr="0034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2D31" w:rsidRPr="00DA6BE4" w:rsidRDefault="00AD2D31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719E" w:rsidRPr="00DA6BE4" w:rsidRDefault="0044719E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719E" w:rsidRPr="00DA6BE4" w:rsidRDefault="0044719E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4859" w:rsidRPr="00DA6BE4" w:rsidRDefault="008E4859" w:rsidP="00684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E4859" w:rsidRPr="00DA6BE4" w:rsidSect="00480022">
      <w:footerReference w:type="defaul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99" w:rsidRDefault="00155799" w:rsidP="006B1285">
      <w:pPr>
        <w:spacing w:after="0" w:line="240" w:lineRule="auto"/>
      </w:pPr>
      <w:r>
        <w:separator/>
      </w:r>
    </w:p>
  </w:endnote>
  <w:endnote w:type="continuationSeparator" w:id="0">
    <w:p w:rsidR="00155799" w:rsidRDefault="00155799" w:rsidP="006B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594047"/>
      <w:docPartObj>
        <w:docPartGallery w:val="Page Numbers (Bottom of Page)"/>
        <w:docPartUnique/>
      </w:docPartObj>
    </w:sdtPr>
    <w:sdtContent>
      <w:p w:rsidR="00762554" w:rsidRDefault="00762554">
        <w:pPr>
          <w:pStyle w:val="ac"/>
          <w:jc w:val="center"/>
        </w:pPr>
        <w:fldSimple w:instr=" PAGE   \* MERGEFORMAT ">
          <w:r w:rsidR="00184CB6">
            <w:rPr>
              <w:noProof/>
            </w:rPr>
            <w:t>2</w:t>
          </w:r>
        </w:fldSimple>
      </w:p>
    </w:sdtContent>
  </w:sdt>
  <w:p w:rsidR="00762554" w:rsidRDefault="0076255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99" w:rsidRDefault="00155799" w:rsidP="006B1285">
      <w:pPr>
        <w:spacing w:after="0" w:line="240" w:lineRule="auto"/>
      </w:pPr>
      <w:r>
        <w:separator/>
      </w:r>
    </w:p>
  </w:footnote>
  <w:footnote w:type="continuationSeparator" w:id="0">
    <w:p w:rsidR="00155799" w:rsidRDefault="00155799" w:rsidP="006B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ACB"/>
    <w:multiLevelType w:val="hybridMultilevel"/>
    <w:tmpl w:val="398C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B30C2"/>
    <w:multiLevelType w:val="hybridMultilevel"/>
    <w:tmpl w:val="708E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2660A"/>
    <w:multiLevelType w:val="hybridMultilevel"/>
    <w:tmpl w:val="C896D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4C316A"/>
    <w:multiLevelType w:val="hybridMultilevel"/>
    <w:tmpl w:val="FB6E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9024E"/>
    <w:multiLevelType w:val="hybridMultilevel"/>
    <w:tmpl w:val="C0FC08BE"/>
    <w:lvl w:ilvl="0" w:tplc="DB60AC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ED7BC3"/>
    <w:multiLevelType w:val="hybridMultilevel"/>
    <w:tmpl w:val="633E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41ACB"/>
    <w:multiLevelType w:val="hybridMultilevel"/>
    <w:tmpl w:val="11AE8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613729"/>
    <w:multiLevelType w:val="hybridMultilevel"/>
    <w:tmpl w:val="DA2A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85ED4"/>
    <w:multiLevelType w:val="hybridMultilevel"/>
    <w:tmpl w:val="5EC6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868A2"/>
    <w:multiLevelType w:val="hybridMultilevel"/>
    <w:tmpl w:val="D956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054B0"/>
    <w:multiLevelType w:val="hybridMultilevel"/>
    <w:tmpl w:val="36F6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8454D"/>
    <w:multiLevelType w:val="hybridMultilevel"/>
    <w:tmpl w:val="CED8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C6662"/>
    <w:multiLevelType w:val="hybridMultilevel"/>
    <w:tmpl w:val="3948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A34BF"/>
    <w:multiLevelType w:val="hybridMultilevel"/>
    <w:tmpl w:val="9298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C27E7"/>
    <w:multiLevelType w:val="hybridMultilevel"/>
    <w:tmpl w:val="CE5C313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6A690972"/>
    <w:multiLevelType w:val="hybridMultilevel"/>
    <w:tmpl w:val="0E461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275DD"/>
    <w:multiLevelType w:val="hybridMultilevel"/>
    <w:tmpl w:val="C970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6C7"/>
    <w:rsid w:val="00005B09"/>
    <w:rsid w:val="00095D0D"/>
    <w:rsid w:val="00096CBB"/>
    <w:rsid w:val="000B7321"/>
    <w:rsid w:val="000C7099"/>
    <w:rsid w:val="000D544C"/>
    <w:rsid w:val="001530C2"/>
    <w:rsid w:val="00153109"/>
    <w:rsid w:val="00155799"/>
    <w:rsid w:val="001653E2"/>
    <w:rsid w:val="00184CB6"/>
    <w:rsid w:val="00190CA2"/>
    <w:rsid w:val="00191003"/>
    <w:rsid w:val="001D5AB7"/>
    <w:rsid w:val="001D65A0"/>
    <w:rsid w:val="001E46C7"/>
    <w:rsid w:val="00202908"/>
    <w:rsid w:val="00242751"/>
    <w:rsid w:val="002A636C"/>
    <w:rsid w:val="002D45A9"/>
    <w:rsid w:val="00300B91"/>
    <w:rsid w:val="003047F1"/>
    <w:rsid w:val="00387D98"/>
    <w:rsid w:val="003A13B7"/>
    <w:rsid w:val="00420AA7"/>
    <w:rsid w:val="00442AC7"/>
    <w:rsid w:val="0044719E"/>
    <w:rsid w:val="00456AC1"/>
    <w:rsid w:val="00480022"/>
    <w:rsid w:val="00527FC3"/>
    <w:rsid w:val="00590048"/>
    <w:rsid w:val="005A5C12"/>
    <w:rsid w:val="005E0A26"/>
    <w:rsid w:val="00661BD7"/>
    <w:rsid w:val="006846C3"/>
    <w:rsid w:val="006B1285"/>
    <w:rsid w:val="006B1B95"/>
    <w:rsid w:val="007262B7"/>
    <w:rsid w:val="00732ADD"/>
    <w:rsid w:val="00741D6A"/>
    <w:rsid w:val="0075154C"/>
    <w:rsid w:val="007613BB"/>
    <w:rsid w:val="00762554"/>
    <w:rsid w:val="007E4E68"/>
    <w:rsid w:val="00823AAA"/>
    <w:rsid w:val="008553DB"/>
    <w:rsid w:val="008E4859"/>
    <w:rsid w:val="00A00E19"/>
    <w:rsid w:val="00A03E36"/>
    <w:rsid w:val="00A6280E"/>
    <w:rsid w:val="00AC003F"/>
    <w:rsid w:val="00AD2D31"/>
    <w:rsid w:val="00B54F32"/>
    <w:rsid w:val="00B66838"/>
    <w:rsid w:val="00B8309D"/>
    <w:rsid w:val="00C479C7"/>
    <w:rsid w:val="00C61E8B"/>
    <w:rsid w:val="00C660B4"/>
    <w:rsid w:val="00C667FB"/>
    <w:rsid w:val="00D12A24"/>
    <w:rsid w:val="00D25FDF"/>
    <w:rsid w:val="00DA6BE4"/>
    <w:rsid w:val="00E121DF"/>
    <w:rsid w:val="00E22B23"/>
    <w:rsid w:val="00E40FCA"/>
    <w:rsid w:val="00E77D2E"/>
    <w:rsid w:val="00E84DE1"/>
    <w:rsid w:val="00EE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C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D2D31"/>
    <w:pPr>
      <w:keepNext/>
      <w:keepLines/>
      <w:spacing w:before="600" w:after="36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099"/>
    <w:pPr>
      <w:keepNext/>
      <w:keepLines/>
      <w:spacing w:before="440" w:after="240"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099"/>
    <w:pPr>
      <w:keepNext/>
      <w:keepLines/>
      <w:spacing w:before="440" w:after="240" w:line="360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C7099"/>
    <w:pPr>
      <w:keepNext/>
      <w:keepLines/>
      <w:spacing w:before="440" w:after="24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1E46C7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1E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6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2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2D31"/>
    <w:pPr>
      <w:spacing w:after="200" w:line="276" w:lineRule="auto"/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AD2D3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C709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0C7099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0C7099"/>
    <w:rPr>
      <w:rFonts w:ascii="Times New Roman" w:eastAsiaTheme="majorEastAsia" w:hAnsi="Times New Roman" w:cstheme="majorBidi"/>
      <w:b/>
      <w:bCs/>
      <w:iCs/>
      <w:sz w:val="28"/>
    </w:rPr>
  </w:style>
  <w:style w:type="paragraph" w:styleId="11">
    <w:name w:val="toc 1"/>
    <w:basedOn w:val="a"/>
    <w:next w:val="a"/>
    <w:autoRedefine/>
    <w:uiPriority w:val="39"/>
    <w:unhideWhenUsed/>
    <w:rsid w:val="000C709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C709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7099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0C709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B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1285"/>
  </w:style>
  <w:style w:type="paragraph" w:styleId="ac">
    <w:name w:val="footer"/>
    <w:basedOn w:val="a"/>
    <w:link w:val="ad"/>
    <w:uiPriority w:val="99"/>
    <w:unhideWhenUsed/>
    <w:rsid w:val="006B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1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определения </a:t>
            </a:r>
            <a:r>
              <a:rPr lang="en-US"/>
              <a:t>PBI </a:t>
            </a:r>
            <a:r>
              <a:rPr lang="ru-RU"/>
              <a:t>у двух групп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 группа</c:v>
                </c:pt>
              </c:strCache>
            </c:strRef>
          </c:tx>
          <c:spPr>
            <a:ln w="3175"/>
          </c:spPr>
          <c:dLbls>
            <c:numFmt formatCode="0.0%" sourceLinked="0"/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1 степень</c:v>
                </c:pt>
                <c:pt idx="1">
                  <c:v>2 степень</c:v>
                </c:pt>
                <c:pt idx="2">
                  <c:v>3 степень</c:v>
                </c:pt>
                <c:pt idx="3">
                  <c:v>4 степень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16.600000000000001</c:v>
                </c:pt>
                <c:pt idx="2">
                  <c:v>61.1</c:v>
                </c:pt>
                <c:pt idx="3">
                  <c:v>13.9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sz="1200" b="0" i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1 степень</c:v>
                </c:pt>
                <c:pt idx="1">
                  <c:v>2 степень</c:v>
                </c:pt>
                <c:pt idx="2">
                  <c:v>3 степень</c:v>
                </c:pt>
                <c:pt idx="3">
                  <c:v>4 степень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50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116181632"/>
        <c:axId val="129241472"/>
      </c:barChart>
      <c:catAx>
        <c:axId val="116181632"/>
        <c:scaling>
          <c:orientation val="minMax"/>
        </c:scaling>
        <c:axPos val="b"/>
        <c:majorTickMark val="none"/>
        <c:tickLblPos val="nextTo"/>
        <c:crossAx val="129241472"/>
        <c:crosses val="autoZero"/>
        <c:auto val="1"/>
        <c:lblAlgn val="ctr"/>
        <c:lblOffset val="100"/>
      </c:catAx>
      <c:valAx>
        <c:axId val="129241472"/>
        <c:scaling>
          <c:orientation val="minMax"/>
        </c:scaling>
        <c:axPos val="l"/>
        <c:majorGridlines/>
        <c:numFmt formatCode="0.0%" sourceLinked="0"/>
        <c:majorTickMark val="none"/>
        <c:tickLblPos val="nextTo"/>
        <c:crossAx val="116181632"/>
        <c:crosses val="autoZero"/>
        <c:crossBetween val="between"/>
        <c:dispUnits>
          <c:builtInUnit val="hundreds"/>
        </c:dispUnits>
      </c:valAx>
    </c:plotArea>
    <c:legend>
      <c:legendPos val="b"/>
    </c:legend>
    <c:plotVisOnly val="1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hart>
    <c:title>
      <c:tx>
        <c:rich>
          <a:bodyPr/>
          <a:lstStyle/>
          <a:p>
            <a:pPr>
              <a:defRPr/>
            </a:pPr>
            <a:r>
              <a:rPr lang="ru-RU"/>
              <a:t>Степени тяжести гингивита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 группа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Легкая степень</c:v>
                </c:pt>
                <c:pt idx="1">
                  <c:v>Средняя степень</c:v>
                </c:pt>
                <c:pt idx="2">
                  <c:v>Тяжелая степень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13.9</c:v>
                </c:pt>
                <c:pt idx="1">
                  <c:v>52.8</c:v>
                </c:pt>
                <c:pt idx="2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Легкая степень</c:v>
                </c:pt>
                <c:pt idx="1">
                  <c:v>Средняя степень</c:v>
                </c:pt>
                <c:pt idx="2">
                  <c:v>Тяжелая степень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60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axId val="145454976"/>
        <c:axId val="145467264"/>
      </c:barChart>
      <c:catAx>
        <c:axId val="145454976"/>
        <c:scaling>
          <c:orientation val="minMax"/>
        </c:scaling>
        <c:axPos val="b"/>
        <c:majorTickMark val="none"/>
        <c:tickLblPos val="nextTo"/>
        <c:crossAx val="145467264"/>
        <c:crosses val="autoZero"/>
        <c:auto val="1"/>
        <c:lblAlgn val="ctr"/>
        <c:lblOffset val="100"/>
      </c:catAx>
      <c:valAx>
        <c:axId val="145467264"/>
        <c:scaling>
          <c:orientation val="minMax"/>
        </c:scaling>
        <c:axPos val="l"/>
        <c:majorGridlines/>
        <c:numFmt formatCode="0.0%" sourceLinked="0"/>
        <c:majorTickMark val="none"/>
        <c:tickLblPos val="nextTo"/>
        <c:crossAx val="145454976"/>
        <c:crosses val="autoZero"/>
        <c:crossBetween val="between"/>
        <c:dispUnits>
          <c:builtInUnit val="hundreds"/>
        </c:dispUnits>
      </c:valAx>
    </c:plotArea>
    <c:legend>
      <c:legendPos val="b"/>
    </c:legend>
    <c:plotVisOnly val="1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title>
      <c:tx>
        <c:rich>
          <a:bodyPr/>
          <a:lstStyle/>
          <a:p>
            <a:pPr>
              <a:defRPr/>
            </a:pPr>
            <a:r>
              <a:rPr lang="ru-RU"/>
              <a:t>Степень рецессии у пациентов обеих групп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 группа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1 степень</c:v>
                </c:pt>
                <c:pt idx="1">
                  <c:v>2 степень</c:v>
                </c:pt>
                <c:pt idx="2">
                  <c:v>3 степень</c:v>
                </c:pt>
                <c:pt idx="3">
                  <c:v>4 степень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5.6</c:v>
                </c:pt>
                <c:pt idx="1">
                  <c:v>30.6</c:v>
                </c:pt>
                <c:pt idx="2">
                  <c:v>41.7</c:v>
                </c:pt>
                <c:pt idx="3">
                  <c:v>19.399999999999999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1 степень</c:v>
                </c:pt>
                <c:pt idx="1">
                  <c:v>2 степень</c:v>
                </c:pt>
                <c:pt idx="2">
                  <c:v>3 степень</c:v>
                </c:pt>
                <c:pt idx="3">
                  <c:v>4 степень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20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145837440"/>
        <c:axId val="145888768"/>
      </c:barChart>
      <c:catAx>
        <c:axId val="145837440"/>
        <c:scaling>
          <c:orientation val="minMax"/>
        </c:scaling>
        <c:axPos val="b"/>
        <c:majorTickMark val="none"/>
        <c:tickLblPos val="nextTo"/>
        <c:crossAx val="145888768"/>
        <c:crosses val="autoZero"/>
        <c:auto val="1"/>
        <c:lblAlgn val="ctr"/>
        <c:lblOffset val="100"/>
      </c:catAx>
      <c:valAx>
        <c:axId val="145888768"/>
        <c:scaling>
          <c:orientation val="minMax"/>
        </c:scaling>
        <c:axPos val="l"/>
        <c:majorGridlines/>
        <c:numFmt formatCode="0.0%" sourceLinked="0"/>
        <c:majorTickMark val="none"/>
        <c:tickLblPos val="nextTo"/>
        <c:crossAx val="145837440"/>
        <c:crosses val="autoZero"/>
        <c:crossBetween val="between"/>
        <c:dispUnits>
          <c:builtInUnit val="hundreds"/>
        </c:dispUnits>
      </c:valAx>
    </c:plotArea>
    <c:legend>
      <c:legendPos val="b"/>
    </c:legend>
    <c:plotVisOnly val="1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title>
      <c:tx>
        <c:rich>
          <a:bodyPr/>
          <a:lstStyle/>
          <a:p>
            <a:pPr>
              <a:defRPr/>
            </a:pPr>
            <a:r>
              <a:rPr lang="ru-RU"/>
              <a:t>Оценка степени рецессии десны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АГ I степени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1 степень</c:v>
                </c:pt>
                <c:pt idx="1">
                  <c:v>2 степень</c:v>
                </c:pt>
                <c:pt idx="2">
                  <c:v>3 степень</c:v>
                </c:pt>
                <c:pt idx="3">
                  <c:v>4 степень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18.2</c:v>
                </c:pt>
                <c:pt idx="1">
                  <c:v>63.6</c:v>
                </c:pt>
                <c:pt idx="2">
                  <c:v>9.1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АГ II степени</c:v>
                </c:pt>
              </c:strCache>
            </c:strRef>
          </c:tx>
          <c:dLbls>
            <c:dLbl>
              <c:idx val="1"/>
              <c:dLblPos val="inBase"/>
              <c:showVal val="1"/>
            </c:dLbl>
            <c:dLbl>
              <c:idx val="3"/>
              <c:dLblPos val="outEnd"/>
              <c:showVal val="1"/>
            </c:dLbl>
            <c:numFmt formatCode="0.0%" sourceLinked="0"/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1 степень</c:v>
                </c:pt>
                <c:pt idx="1">
                  <c:v>2 степень</c:v>
                </c:pt>
                <c:pt idx="2">
                  <c:v>3 степень</c:v>
                </c:pt>
                <c:pt idx="3">
                  <c:v>4 степень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18.75</c:v>
                </c:pt>
                <c:pt idx="1">
                  <c:v>25</c:v>
                </c:pt>
                <c:pt idx="2">
                  <c:v>43.8</c:v>
                </c:pt>
                <c:pt idx="3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АГ III степени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1 степень</c:v>
                </c:pt>
                <c:pt idx="1">
                  <c:v>2 степень</c:v>
                </c:pt>
                <c:pt idx="2">
                  <c:v>3 степень</c:v>
                </c:pt>
                <c:pt idx="3">
                  <c:v>4 степень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11.1</c:v>
                </c:pt>
                <c:pt idx="2">
                  <c:v>44.4</c:v>
                </c:pt>
                <c:pt idx="3">
                  <c:v>44.4</c:v>
                </c:pt>
              </c:numCache>
            </c:numRef>
          </c:val>
        </c:ser>
        <c:dLbls>
          <c:showVal val="1"/>
        </c:dLbls>
        <c:axId val="151218816"/>
        <c:axId val="151552384"/>
      </c:barChart>
      <c:catAx>
        <c:axId val="151218816"/>
        <c:scaling>
          <c:orientation val="minMax"/>
        </c:scaling>
        <c:axPos val="b"/>
        <c:majorTickMark val="none"/>
        <c:tickLblPos val="nextTo"/>
        <c:crossAx val="151552384"/>
        <c:crosses val="autoZero"/>
        <c:auto val="1"/>
        <c:lblAlgn val="ctr"/>
        <c:lblOffset val="100"/>
      </c:catAx>
      <c:valAx>
        <c:axId val="151552384"/>
        <c:scaling>
          <c:orientation val="minMax"/>
        </c:scaling>
        <c:axPos val="l"/>
        <c:majorGridlines/>
        <c:numFmt formatCode="0.0%" sourceLinked="0"/>
        <c:majorTickMark val="none"/>
        <c:tickLblPos val="nextTo"/>
        <c:crossAx val="151218816"/>
        <c:crosses val="autoZero"/>
        <c:crossBetween val="between"/>
        <c:dispUnits>
          <c:builtInUnit val="hundreds"/>
        </c:dispUnits>
      </c:valAx>
    </c:plotArea>
    <c:legend>
      <c:legendPos val="b"/>
    </c:legend>
    <c:plotVisOnly val="1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title>
      <c:tx>
        <c:rich>
          <a:bodyPr/>
          <a:lstStyle/>
          <a:p>
            <a:pPr>
              <a:defRPr/>
            </a:pPr>
            <a:r>
              <a:rPr lang="ru-RU"/>
              <a:t>Оценка индекса </a:t>
            </a:r>
            <a:r>
              <a:rPr lang="en-US"/>
              <a:t>PI</a:t>
            </a:r>
            <a:endParaRPr lang="ru-RU"/>
          </a:p>
        </c:rich>
      </c:tx>
      <c:layout>
        <c:manualLayout>
          <c:xMode val="edge"/>
          <c:yMode val="edge"/>
          <c:x val="0.40813648293963312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 группа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Легкая степень</c:v>
                </c:pt>
                <c:pt idx="1">
                  <c:v>Средняя степень</c:v>
                </c:pt>
                <c:pt idx="2">
                  <c:v>Тяжелая степень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5.6</c:v>
                </c:pt>
                <c:pt idx="1">
                  <c:v>69.400000000000006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Легкая степень</c:v>
                </c:pt>
                <c:pt idx="1">
                  <c:v>Средняя степень</c:v>
                </c:pt>
                <c:pt idx="2">
                  <c:v>Тяжелая степень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axId val="158185344"/>
        <c:axId val="158585216"/>
      </c:barChart>
      <c:catAx>
        <c:axId val="158185344"/>
        <c:scaling>
          <c:orientation val="minMax"/>
        </c:scaling>
        <c:axPos val="b"/>
        <c:majorTickMark val="none"/>
        <c:tickLblPos val="nextTo"/>
        <c:crossAx val="158585216"/>
        <c:crosses val="autoZero"/>
        <c:auto val="1"/>
        <c:lblAlgn val="ctr"/>
        <c:lblOffset val="100"/>
      </c:catAx>
      <c:valAx>
        <c:axId val="158585216"/>
        <c:scaling>
          <c:orientation val="minMax"/>
        </c:scaling>
        <c:axPos val="l"/>
        <c:majorGridlines/>
        <c:numFmt formatCode="0.0%" sourceLinked="0"/>
        <c:majorTickMark val="none"/>
        <c:tickLblPos val="nextTo"/>
        <c:crossAx val="158185344"/>
        <c:crosses val="autoZero"/>
        <c:crossBetween val="between"/>
        <c:dispUnits>
          <c:builtInUnit val="hundreds"/>
        </c:dispUnits>
      </c:valAx>
    </c:plotArea>
    <c:legend>
      <c:legendPos val="b"/>
    </c:legend>
    <c:plotVisOnly val="1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hart>
    <c:title>
      <c:tx>
        <c:rich>
          <a:bodyPr/>
          <a:lstStyle/>
          <a:p>
            <a:pPr>
              <a:defRPr/>
            </a:pPr>
            <a:r>
              <a:rPr lang="ru-RU"/>
              <a:t>Глубина пародонтальных карманов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АГ I степени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До 4 мм</c:v>
                </c:pt>
                <c:pt idx="1">
                  <c:v>4-6 мм</c:v>
                </c:pt>
                <c:pt idx="2">
                  <c:v>6 мм и более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36.4</c:v>
                </c:pt>
                <c:pt idx="1">
                  <c:v>45.5</c:v>
                </c:pt>
                <c:pt idx="2">
                  <c:v>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АГ II степени</c:v>
                </c:pt>
              </c:strCache>
            </c:strRef>
          </c:tx>
          <c:dLbls>
            <c:dLbl>
              <c:idx val="0"/>
              <c:dLblPos val="inEnd"/>
              <c:showVal val="1"/>
            </c:dLbl>
            <c:dLbl>
              <c:idx val="1"/>
              <c:dLblPos val="inEnd"/>
              <c:showVal val="1"/>
            </c:dLbl>
            <c:numFmt formatCode="0.0%" sourceLinked="0"/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До 4 мм</c:v>
                </c:pt>
                <c:pt idx="1">
                  <c:v>4-6 мм</c:v>
                </c:pt>
                <c:pt idx="2">
                  <c:v>6 мм и более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37.5</c:v>
                </c:pt>
                <c:pt idx="1">
                  <c:v>43.8</c:v>
                </c:pt>
                <c:pt idx="2">
                  <c:v>18.8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АГ III степени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До 4 мм</c:v>
                </c:pt>
                <c:pt idx="1">
                  <c:v>4-6 мм</c:v>
                </c:pt>
                <c:pt idx="2">
                  <c:v>6 мм и более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11.1</c:v>
                </c:pt>
                <c:pt idx="1">
                  <c:v>55.6</c:v>
                </c:pt>
                <c:pt idx="2">
                  <c:v>33.300000000000004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Контрольная группа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До 4 мм</c:v>
                </c:pt>
                <c:pt idx="1">
                  <c:v>4-6 мм</c:v>
                </c:pt>
                <c:pt idx="2">
                  <c:v>6 мм и более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40</c:v>
                </c:pt>
                <c:pt idx="1">
                  <c:v>30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axId val="160932992"/>
        <c:axId val="160934912"/>
      </c:barChart>
      <c:catAx>
        <c:axId val="160932992"/>
        <c:scaling>
          <c:orientation val="minMax"/>
        </c:scaling>
        <c:axPos val="b"/>
        <c:majorTickMark val="none"/>
        <c:tickLblPos val="nextTo"/>
        <c:crossAx val="160934912"/>
        <c:crosses val="autoZero"/>
        <c:auto val="1"/>
        <c:lblAlgn val="ctr"/>
        <c:lblOffset val="100"/>
      </c:catAx>
      <c:valAx>
        <c:axId val="160934912"/>
        <c:scaling>
          <c:orientation val="minMax"/>
        </c:scaling>
        <c:axPos val="l"/>
        <c:majorGridlines/>
        <c:numFmt formatCode="0.0%" sourceLinked="0"/>
        <c:majorTickMark val="none"/>
        <c:tickLblPos val="nextTo"/>
        <c:crossAx val="160932992"/>
        <c:crosses val="autoZero"/>
        <c:crossBetween val="between"/>
        <c:dispUnits>
          <c:builtInUnit val="hundreds"/>
        </c:dispUnits>
      </c:valAx>
    </c:plotArea>
    <c:legend>
      <c:legendPos val="b"/>
    </c:legend>
    <c:plotVisOnly val="1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>
      <c:tx>
        <c:rich>
          <a:bodyPr/>
          <a:lstStyle/>
          <a:p>
            <a:pPr>
              <a:defRPr/>
            </a:pPr>
            <a:r>
              <a:rPr lang="ru-RU"/>
              <a:t>Оценка степени подвижности зубов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АГ I степени</c:v>
                </c:pt>
              </c:strCache>
            </c:strRef>
          </c:tx>
          <c:dLbls>
            <c:numFmt formatCode="0.0%" sourceLinked="0"/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0 степень</c:v>
                </c:pt>
                <c:pt idx="1">
                  <c:v>1 степень</c:v>
                </c:pt>
                <c:pt idx="2">
                  <c:v>2 степень</c:v>
                </c:pt>
                <c:pt idx="3">
                  <c:v>3 степень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63.6</c:v>
                </c:pt>
                <c:pt idx="1">
                  <c:v>27.3</c:v>
                </c:pt>
                <c:pt idx="2">
                  <c:v>9.1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АГ II степени</c:v>
                </c:pt>
              </c:strCache>
            </c:strRef>
          </c:tx>
          <c:dLbls>
            <c:dLbl>
              <c:idx val="1"/>
              <c:dLblPos val="ctr"/>
              <c:showVal val="1"/>
            </c:dLbl>
            <c:numFmt formatCode="0.0%" sourceLinked="0"/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0 степень</c:v>
                </c:pt>
                <c:pt idx="1">
                  <c:v>1 степень</c:v>
                </c:pt>
                <c:pt idx="2">
                  <c:v>2 степень</c:v>
                </c:pt>
                <c:pt idx="3">
                  <c:v>3 степень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43.8</c:v>
                </c:pt>
                <c:pt idx="1">
                  <c:v>31.3</c:v>
                </c:pt>
                <c:pt idx="2">
                  <c:v>18.75</c:v>
                </c:pt>
                <c:pt idx="3">
                  <c:v>6.25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АГ III степени</c:v>
                </c:pt>
              </c:strCache>
            </c:strRef>
          </c:tx>
          <c:dLbls>
            <c:dLbl>
              <c:idx val="2"/>
              <c:dLblPos val="inEnd"/>
              <c:showVal val="1"/>
            </c:dLbl>
            <c:numFmt formatCode="0.0%" sourceLinked="0"/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0 степень</c:v>
                </c:pt>
                <c:pt idx="1">
                  <c:v>1 степень</c:v>
                </c:pt>
                <c:pt idx="2">
                  <c:v>2 степень</c:v>
                </c:pt>
                <c:pt idx="3">
                  <c:v>3 степень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22.2</c:v>
                </c:pt>
                <c:pt idx="1">
                  <c:v>33.300000000000004</c:v>
                </c:pt>
                <c:pt idx="2">
                  <c:v>22.2</c:v>
                </c:pt>
                <c:pt idx="3">
                  <c:v>22.2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Контрольная группа</c:v>
                </c:pt>
              </c:strCache>
            </c:strRef>
          </c:tx>
          <c:dLbls>
            <c:dLbl>
              <c:idx val="1"/>
              <c:dLblPos val="inEnd"/>
              <c:showVal val="1"/>
            </c:dLbl>
            <c:dLbl>
              <c:idx val="2"/>
              <c:dLblPos val="inEnd"/>
              <c:showVal val="1"/>
            </c:dLbl>
            <c:numFmt formatCode="0.0%" sourceLinked="0"/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0 степень</c:v>
                </c:pt>
                <c:pt idx="1">
                  <c:v>1 степень</c:v>
                </c:pt>
                <c:pt idx="2">
                  <c:v>2 степень</c:v>
                </c:pt>
                <c:pt idx="3">
                  <c:v>3 степень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60</c:v>
                </c:pt>
                <c:pt idx="1">
                  <c:v>30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153309184"/>
        <c:axId val="153310720"/>
      </c:barChart>
      <c:catAx>
        <c:axId val="153309184"/>
        <c:scaling>
          <c:orientation val="minMax"/>
        </c:scaling>
        <c:axPos val="b"/>
        <c:majorTickMark val="none"/>
        <c:tickLblPos val="nextTo"/>
        <c:crossAx val="153310720"/>
        <c:crosses val="autoZero"/>
        <c:auto val="1"/>
        <c:lblAlgn val="ctr"/>
        <c:lblOffset val="100"/>
      </c:catAx>
      <c:valAx>
        <c:axId val="153310720"/>
        <c:scaling>
          <c:orientation val="minMax"/>
        </c:scaling>
        <c:axPos val="l"/>
        <c:majorGridlines/>
        <c:numFmt formatCode="0.0%" sourceLinked="0"/>
        <c:majorTickMark val="none"/>
        <c:tickLblPos val="nextTo"/>
        <c:crossAx val="153309184"/>
        <c:crosses val="autoZero"/>
        <c:crossBetween val="between"/>
        <c:dispUnits>
          <c:builtInUnit val="hundreds"/>
        </c:dispUnits>
      </c:valAx>
    </c:plotArea>
    <c:legend>
      <c:legendPos val="b"/>
    </c:legend>
    <c:plotVisOnly val="1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патологии пародонта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АГ I степени</c:v>
                </c:pt>
              </c:strCache>
            </c:strRef>
          </c:tx>
          <c:dLbls>
            <c:numFmt formatCode="0.0%" sourceLinked="0"/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ХГП легкой степени</c:v>
                </c:pt>
                <c:pt idx="1">
                  <c:v>ХГП средней степени</c:v>
                </c:pt>
                <c:pt idx="2">
                  <c:v>ХГП тяжелой степени</c:v>
                </c:pt>
                <c:pt idx="3">
                  <c:v>Нет патологии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27.3</c:v>
                </c:pt>
                <c:pt idx="1">
                  <c:v>45.5</c:v>
                </c:pt>
                <c:pt idx="2">
                  <c:v>9.1</c:v>
                </c:pt>
                <c:pt idx="3">
                  <c:v>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АГ II степени</c:v>
                </c:pt>
              </c:strCache>
            </c:strRef>
          </c:tx>
          <c:dLbls>
            <c:dLbl>
              <c:idx val="1"/>
              <c:layout>
                <c:manualLayout>
                  <c:x val="1.4642906615316026E-2"/>
                  <c:y val="2.259989841485484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8.3673752087520155E-3"/>
                  <c:y val="6.4571138328156624E-3"/>
                </c:manualLayout>
              </c:layout>
              <c:dLblPos val="outEnd"/>
              <c:showVal val="1"/>
            </c:dLbl>
            <c:numFmt formatCode="0.0%" sourceLinked="0"/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ХГП легкой степени</c:v>
                </c:pt>
                <c:pt idx="1">
                  <c:v>ХГП средней степени</c:v>
                </c:pt>
                <c:pt idx="2">
                  <c:v>ХГП тяжелой степени</c:v>
                </c:pt>
                <c:pt idx="3">
                  <c:v>Нет патологии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37.5</c:v>
                </c:pt>
                <c:pt idx="1">
                  <c:v>43.8</c:v>
                </c:pt>
                <c:pt idx="2">
                  <c:v>18.8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АГ III степени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3.8742682996893978E-2"/>
                </c:manualLayout>
              </c:layout>
              <c:dLblPos val="outEnd"/>
              <c:showVal val="1"/>
            </c:dLbl>
            <c:numFmt formatCode="0.0%" sourceLinked="0"/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ХГП легкой степени</c:v>
                </c:pt>
                <c:pt idx="1">
                  <c:v>ХГП средней степени</c:v>
                </c:pt>
                <c:pt idx="2">
                  <c:v>ХГП тяжелой степени</c:v>
                </c:pt>
                <c:pt idx="3">
                  <c:v>Нет патологии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11.1</c:v>
                </c:pt>
                <c:pt idx="1">
                  <c:v>55.6</c:v>
                </c:pt>
                <c:pt idx="2">
                  <c:v>44.4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Контрольная группа</c:v>
                </c:pt>
              </c:strCache>
            </c:strRef>
          </c:tx>
          <c:dLbls>
            <c:numFmt formatCode="0.0%" sourceLinked="0"/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ХГП легкой степени</c:v>
                </c:pt>
                <c:pt idx="1">
                  <c:v>ХГП средней степени</c:v>
                </c:pt>
                <c:pt idx="2">
                  <c:v>ХГП тяжелой степени</c:v>
                </c:pt>
                <c:pt idx="3">
                  <c:v>Нет патологии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40</c:v>
                </c:pt>
                <c:pt idx="1">
                  <c:v>30</c:v>
                </c:pt>
                <c:pt idx="2">
                  <c:v>10</c:v>
                </c:pt>
                <c:pt idx="3">
                  <c:v>20</c:v>
                </c:pt>
              </c:numCache>
            </c:numRef>
          </c:val>
        </c:ser>
        <c:dLbls>
          <c:showVal val="1"/>
        </c:dLbls>
        <c:axId val="151254528"/>
        <c:axId val="151256064"/>
      </c:barChart>
      <c:catAx>
        <c:axId val="151254528"/>
        <c:scaling>
          <c:orientation val="minMax"/>
        </c:scaling>
        <c:axPos val="b"/>
        <c:majorTickMark val="none"/>
        <c:tickLblPos val="nextTo"/>
        <c:crossAx val="151256064"/>
        <c:crosses val="autoZero"/>
        <c:auto val="1"/>
        <c:lblAlgn val="ctr"/>
        <c:lblOffset val="100"/>
      </c:catAx>
      <c:valAx>
        <c:axId val="151256064"/>
        <c:scaling>
          <c:orientation val="minMax"/>
        </c:scaling>
        <c:axPos val="l"/>
        <c:majorGridlines/>
        <c:numFmt formatCode="0.0%" sourceLinked="0"/>
        <c:majorTickMark val="none"/>
        <c:tickLblPos val="nextTo"/>
        <c:crossAx val="151254528"/>
        <c:crosses val="autoZero"/>
        <c:crossBetween val="between"/>
        <c:dispUnits>
          <c:builtInUnit val="hundreds"/>
        </c:dispUnits>
      </c:valAx>
    </c:plotArea>
    <c:legend>
      <c:legendPos val="b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475E6-72FC-451F-98FB-532BC5F4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51</Pages>
  <Words>8538</Words>
  <Characters>48672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2022-04-30T15:15:00Z</dcterms:created>
  <dcterms:modified xsi:type="dcterms:W3CDTF">2022-05-25T14:12:00Z</dcterms:modified>
</cp:coreProperties>
</file>