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C59D" w14:textId="77777777" w:rsidR="0041641C" w:rsidRDefault="0041641C" w:rsidP="0041641C">
      <w:pPr>
        <w:jc w:val="center"/>
        <w:rPr>
          <w:sz w:val="28"/>
          <w:szCs w:val="28"/>
        </w:rPr>
      </w:pPr>
      <w:bookmarkStart w:id="0" w:name="_Hlk104428957"/>
      <w:bookmarkStart w:id="1" w:name="_Hlk104393752"/>
      <w:bookmarkStart w:id="2" w:name="_Hlk104393700"/>
      <w:bookmarkEnd w:id="0"/>
      <w:r>
        <w:rPr>
          <w:sz w:val="28"/>
          <w:szCs w:val="28"/>
        </w:rPr>
        <w:t>Федеральное государственное бюджетное образовательное учреждение</w:t>
      </w:r>
    </w:p>
    <w:p w14:paraId="06DCEDD5" w14:textId="77777777" w:rsidR="0041641C" w:rsidRDefault="0041641C" w:rsidP="0041641C">
      <w:pPr>
        <w:jc w:val="center"/>
        <w:rPr>
          <w:sz w:val="28"/>
          <w:szCs w:val="28"/>
        </w:rPr>
      </w:pPr>
      <w:r>
        <w:rPr>
          <w:sz w:val="28"/>
          <w:szCs w:val="28"/>
        </w:rPr>
        <w:t>высшего образования</w:t>
      </w:r>
    </w:p>
    <w:p w14:paraId="649CB707" w14:textId="77777777" w:rsidR="0041641C" w:rsidRDefault="0041641C" w:rsidP="0041641C">
      <w:pPr>
        <w:jc w:val="center"/>
        <w:rPr>
          <w:sz w:val="28"/>
          <w:szCs w:val="28"/>
        </w:rPr>
      </w:pPr>
      <w:r>
        <w:rPr>
          <w:sz w:val="28"/>
          <w:szCs w:val="28"/>
        </w:rPr>
        <w:t>«Санкт-Петербургский государственный университет»</w:t>
      </w:r>
    </w:p>
    <w:p w14:paraId="6B267FA7" w14:textId="77777777" w:rsidR="0041641C" w:rsidRDefault="0041641C" w:rsidP="0041641C">
      <w:pPr>
        <w:jc w:val="center"/>
        <w:rPr>
          <w:sz w:val="28"/>
          <w:szCs w:val="28"/>
        </w:rPr>
      </w:pPr>
      <w:r>
        <w:rPr>
          <w:sz w:val="28"/>
          <w:szCs w:val="28"/>
        </w:rPr>
        <w:t>Направление «Медицина»</w:t>
      </w:r>
    </w:p>
    <w:p w14:paraId="3EFC0A07" w14:textId="77777777" w:rsidR="0041641C" w:rsidRDefault="0041641C" w:rsidP="0041641C">
      <w:pPr>
        <w:jc w:val="center"/>
        <w:rPr>
          <w:sz w:val="28"/>
          <w:szCs w:val="28"/>
        </w:rPr>
      </w:pPr>
      <w:r>
        <w:rPr>
          <w:sz w:val="28"/>
          <w:szCs w:val="28"/>
        </w:rPr>
        <w:t>Кафедра факультетской хирургии</w:t>
      </w:r>
    </w:p>
    <w:p w14:paraId="661978CB" w14:textId="77777777" w:rsidR="0041641C" w:rsidRDefault="0041641C" w:rsidP="0041641C">
      <w:pPr>
        <w:jc w:val="center"/>
        <w:rPr>
          <w:sz w:val="28"/>
          <w:szCs w:val="28"/>
        </w:rPr>
      </w:pPr>
    </w:p>
    <w:p w14:paraId="7A3C042C" w14:textId="77777777" w:rsidR="0041641C" w:rsidRDefault="0041641C" w:rsidP="0041641C">
      <w:pPr>
        <w:rPr>
          <w:sz w:val="28"/>
          <w:szCs w:val="28"/>
        </w:rPr>
      </w:pPr>
    </w:p>
    <w:p w14:paraId="6B78F28F" w14:textId="77777777" w:rsidR="0041641C" w:rsidRDefault="0041641C" w:rsidP="0041641C">
      <w:pPr>
        <w:rPr>
          <w:sz w:val="28"/>
          <w:szCs w:val="28"/>
        </w:rPr>
      </w:pPr>
    </w:p>
    <w:p w14:paraId="19FE4B6B" w14:textId="77777777" w:rsidR="0041641C" w:rsidRDefault="0041641C" w:rsidP="00403708">
      <w:pPr>
        <w:jc w:val="center"/>
        <w:rPr>
          <w:sz w:val="28"/>
          <w:szCs w:val="28"/>
        </w:rPr>
      </w:pPr>
    </w:p>
    <w:p w14:paraId="46C193C8" w14:textId="09A6884C" w:rsidR="0041641C" w:rsidRDefault="0041641C" w:rsidP="00403708">
      <w:pPr>
        <w:jc w:val="center"/>
        <w:rPr>
          <w:b/>
          <w:bCs/>
          <w:sz w:val="28"/>
          <w:szCs w:val="28"/>
        </w:rPr>
      </w:pPr>
      <w:r>
        <w:rPr>
          <w:b/>
          <w:bCs/>
          <w:sz w:val="28"/>
          <w:szCs w:val="28"/>
        </w:rPr>
        <w:t>ВЫПУСКНАЯ КВАЛИФИКАЦИОННАЯ РАБОТА</w:t>
      </w:r>
    </w:p>
    <w:p w14:paraId="0B4F4304" w14:textId="295151A2" w:rsidR="0041641C" w:rsidRDefault="0041641C" w:rsidP="00403708">
      <w:pPr>
        <w:jc w:val="center"/>
        <w:rPr>
          <w:sz w:val="28"/>
          <w:szCs w:val="28"/>
        </w:rPr>
      </w:pPr>
      <w:r>
        <w:rPr>
          <w:sz w:val="28"/>
          <w:szCs w:val="28"/>
        </w:rPr>
        <w:t>НА ТЕМУ: «</w:t>
      </w:r>
      <w:r w:rsidR="0008576B">
        <w:rPr>
          <w:sz w:val="28"/>
          <w:szCs w:val="28"/>
        </w:rPr>
        <w:t>РАДИКАЛЬНОСТЬ</w:t>
      </w:r>
      <w:r w:rsidRPr="00256709">
        <w:rPr>
          <w:sz w:val="28"/>
          <w:szCs w:val="28"/>
        </w:rPr>
        <w:t xml:space="preserve"> </w:t>
      </w:r>
      <w:r w:rsidR="0008576B">
        <w:rPr>
          <w:sz w:val="28"/>
          <w:szCs w:val="28"/>
        </w:rPr>
        <w:t>ГЕМИТТРЕОИДЭКТОМИИ</w:t>
      </w:r>
      <w:r w:rsidRPr="00256709">
        <w:rPr>
          <w:sz w:val="28"/>
          <w:szCs w:val="28"/>
        </w:rPr>
        <w:t xml:space="preserve"> </w:t>
      </w:r>
      <w:r w:rsidR="0008576B">
        <w:rPr>
          <w:sz w:val="28"/>
          <w:szCs w:val="28"/>
        </w:rPr>
        <w:t>С ШЕЙНОЙ ЛИМФАДЕНЭКТОМИЕЙ</w:t>
      </w:r>
      <w:r w:rsidRPr="00256709">
        <w:rPr>
          <w:sz w:val="28"/>
          <w:szCs w:val="28"/>
        </w:rPr>
        <w:t xml:space="preserve"> </w:t>
      </w:r>
      <w:r w:rsidR="0008576B">
        <w:rPr>
          <w:sz w:val="28"/>
          <w:szCs w:val="28"/>
        </w:rPr>
        <w:t>ПРИ</w:t>
      </w:r>
      <w:r w:rsidRPr="00256709">
        <w:rPr>
          <w:sz w:val="28"/>
          <w:szCs w:val="28"/>
        </w:rPr>
        <w:t xml:space="preserve"> </w:t>
      </w:r>
      <w:r w:rsidR="0008576B">
        <w:rPr>
          <w:sz w:val="28"/>
          <w:szCs w:val="28"/>
        </w:rPr>
        <w:t>СПОРАДИЧЕСКОЙ МЕДУЛЛЯРНОЙ КАРЦИНОМЕ ЩИТОВИДНОЙ ЖЕЛЕЗЫ</w:t>
      </w:r>
      <w:r>
        <w:rPr>
          <w:sz w:val="28"/>
          <w:szCs w:val="28"/>
        </w:rPr>
        <w:t>»</w:t>
      </w:r>
    </w:p>
    <w:p w14:paraId="7ACA9E62" w14:textId="77777777" w:rsidR="0041641C" w:rsidRDefault="0041641C" w:rsidP="00403708">
      <w:pPr>
        <w:jc w:val="center"/>
        <w:rPr>
          <w:sz w:val="28"/>
          <w:szCs w:val="28"/>
        </w:rPr>
      </w:pPr>
    </w:p>
    <w:p w14:paraId="4A2AFCB4" w14:textId="77777777" w:rsidR="0041641C" w:rsidRDefault="0041641C" w:rsidP="0041641C">
      <w:pPr>
        <w:jc w:val="center"/>
        <w:rPr>
          <w:sz w:val="28"/>
          <w:szCs w:val="28"/>
        </w:rPr>
      </w:pPr>
    </w:p>
    <w:p w14:paraId="6E2D5CD4" w14:textId="77777777" w:rsidR="0041641C" w:rsidRDefault="0041641C" w:rsidP="0041641C">
      <w:pPr>
        <w:jc w:val="center"/>
        <w:rPr>
          <w:sz w:val="28"/>
          <w:szCs w:val="28"/>
        </w:rPr>
      </w:pPr>
    </w:p>
    <w:p w14:paraId="5D4F303E" w14:textId="77777777" w:rsidR="0041641C" w:rsidRDefault="0041641C" w:rsidP="0041641C">
      <w:pPr>
        <w:jc w:val="center"/>
        <w:rPr>
          <w:sz w:val="28"/>
          <w:szCs w:val="28"/>
        </w:rPr>
      </w:pPr>
    </w:p>
    <w:p w14:paraId="41FAA4D9" w14:textId="77777777" w:rsidR="0041641C" w:rsidRDefault="0041641C" w:rsidP="0041641C">
      <w:pPr>
        <w:jc w:val="center"/>
        <w:rPr>
          <w:sz w:val="28"/>
          <w:szCs w:val="28"/>
        </w:rPr>
      </w:pPr>
    </w:p>
    <w:p w14:paraId="4792E901" w14:textId="77777777" w:rsidR="0041641C" w:rsidRDefault="0041641C" w:rsidP="0041641C">
      <w:pPr>
        <w:jc w:val="center"/>
        <w:rPr>
          <w:sz w:val="28"/>
          <w:szCs w:val="28"/>
        </w:rPr>
      </w:pPr>
    </w:p>
    <w:p w14:paraId="6A01B2D6" w14:textId="0E2B33D1" w:rsidR="0041641C" w:rsidRDefault="0041641C" w:rsidP="0041641C">
      <w:pPr>
        <w:jc w:val="right"/>
        <w:rPr>
          <w:sz w:val="28"/>
          <w:szCs w:val="28"/>
        </w:rPr>
      </w:pPr>
      <w:r>
        <w:rPr>
          <w:sz w:val="28"/>
          <w:szCs w:val="28"/>
        </w:rPr>
        <w:t>Выполнил студент 16.С05-м группы</w:t>
      </w:r>
    </w:p>
    <w:p w14:paraId="5E36B606" w14:textId="77777777" w:rsidR="0041641C" w:rsidRDefault="0041641C" w:rsidP="0041641C">
      <w:pPr>
        <w:jc w:val="right"/>
        <w:rPr>
          <w:sz w:val="28"/>
          <w:szCs w:val="28"/>
        </w:rPr>
      </w:pPr>
      <w:r>
        <w:rPr>
          <w:sz w:val="28"/>
          <w:szCs w:val="28"/>
        </w:rPr>
        <w:t>Зиборов Иван Александрович</w:t>
      </w:r>
    </w:p>
    <w:p w14:paraId="73F1EECD" w14:textId="77777777" w:rsidR="0041641C" w:rsidRDefault="0041641C" w:rsidP="0041641C">
      <w:pPr>
        <w:jc w:val="right"/>
        <w:rPr>
          <w:sz w:val="28"/>
          <w:szCs w:val="28"/>
        </w:rPr>
      </w:pPr>
      <w:r>
        <w:rPr>
          <w:sz w:val="28"/>
          <w:szCs w:val="28"/>
        </w:rPr>
        <w:t>Научный руководитель:</w:t>
      </w:r>
    </w:p>
    <w:p w14:paraId="23631A85" w14:textId="77777777" w:rsidR="0041641C" w:rsidRDefault="0041641C" w:rsidP="0041641C">
      <w:pPr>
        <w:jc w:val="right"/>
        <w:rPr>
          <w:sz w:val="28"/>
          <w:szCs w:val="28"/>
        </w:rPr>
      </w:pPr>
      <w:r>
        <w:rPr>
          <w:sz w:val="28"/>
          <w:szCs w:val="28"/>
        </w:rPr>
        <w:t>к.м.н. Семенов Арсений Андреевич</w:t>
      </w:r>
    </w:p>
    <w:p w14:paraId="2BFD3776" w14:textId="77777777" w:rsidR="0041641C" w:rsidRDefault="0041641C" w:rsidP="0041641C">
      <w:pPr>
        <w:jc w:val="right"/>
        <w:rPr>
          <w:sz w:val="28"/>
          <w:szCs w:val="28"/>
        </w:rPr>
      </w:pPr>
    </w:p>
    <w:p w14:paraId="2C4566DC" w14:textId="77777777" w:rsidR="0041641C" w:rsidRDefault="0041641C" w:rsidP="0041641C">
      <w:pPr>
        <w:jc w:val="right"/>
        <w:rPr>
          <w:sz w:val="28"/>
          <w:szCs w:val="28"/>
        </w:rPr>
      </w:pPr>
    </w:p>
    <w:p w14:paraId="7D87DA36" w14:textId="77777777" w:rsidR="0041641C" w:rsidRDefault="0041641C" w:rsidP="0041641C">
      <w:pPr>
        <w:jc w:val="right"/>
        <w:rPr>
          <w:sz w:val="28"/>
          <w:szCs w:val="28"/>
        </w:rPr>
      </w:pPr>
    </w:p>
    <w:p w14:paraId="5FCB5715" w14:textId="77777777" w:rsidR="0041641C" w:rsidRDefault="0041641C" w:rsidP="0041641C">
      <w:pPr>
        <w:jc w:val="center"/>
        <w:rPr>
          <w:sz w:val="28"/>
          <w:szCs w:val="28"/>
        </w:rPr>
      </w:pPr>
      <w:r>
        <w:rPr>
          <w:sz w:val="28"/>
          <w:szCs w:val="28"/>
        </w:rPr>
        <w:t>Санкт-Петербург</w:t>
      </w:r>
    </w:p>
    <w:p w14:paraId="16D89813" w14:textId="77777777" w:rsidR="0041641C" w:rsidRDefault="0041641C" w:rsidP="0041641C">
      <w:pPr>
        <w:jc w:val="center"/>
        <w:rPr>
          <w:sz w:val="28"/>
          <w:szCs w:val="28"/>
        </w:rPr>
      </w:pPr>
      <w:r>
        <w:rPr>
          <w:sz w:val="28"/>
          <w:szCs w:val="28"/>
        </w:rPr>
        <w:t>2022 год</w:t>
      </w:r>
    </w:p>
    <w:p w14:paraId="0E4EC368" w14:textId="77777777" w:rsidR="0041641C" w:rsidRPr="005F4DAE" w:rsidRDefault="0041641C" w:rsidP="0041641C">
      <w:pPr>
        <w:spacing w:line="360" w:lineRule="auto"/>
        <w:rPr>
          <w:rFonts w:ascii="Times New Roman" w:hAnsi="Times New Roman" w:cs="Times New Roman"/>
          <w:b/>
          <w:bCs/>
          <w:sz w:val="28"/>
          <w:szCs w:val="24"/>
        </w:rPr>
      </w:pPr>
      <w:r w:rsidRPr="005F4DAE">
        <w:rPr>
          <w:rFonts w:ascii="Times New Roman" w:hAnsi="Times New Roman" w:cs="Times New Roman"/>
          <w:b/>
          <w:bCs/>
          <w:sz w:val="28"/>
          <w:szCs w:val="24"/>
        </w:rPr>
        <w:lastRenderedPageBreak/>
        <w:t xml:space="preserve">Содержание </w:t>
      </w:r>
    </w:p>
    <w:p w14:paraId="7EAB3096" w14:textId="756941E0" w:rsidR="0041641C" w:rsidRPr="005F4DAE" w:rsidRDefault="0041641C" w:rsidP="0041641C">
      <w:pPr>
        <w:spacing w:line="360" w:lineRule="auto"/>
        <w:rPr>
          <w:rFonts w:ascii="Times New Roman" w:hAnsi="Times New Roman" w:cs="Times New Roman"/>
          <w:sz w:val="28"/>
          <w:szCs w:val="24"/>
        </w:rPr>
      </w:pPr>
      <w:r w:rsidRPr="005F4DAE">
        <w:rPr>
          <w:rFonts w:ascii="Times New Roman" w:hAnsi="Times New Roman" w:cs="Times New Roman"/>
          <w:sz w:val="28"/>
          <w:szCs w:val="24"/>
        </w:rPr>
        <w:t>Список условных сокращений</w:t>
      </w:r>
      <w:r w:rsidR="005F4DAE" w:rsidRPr="005F4DAE">
        <w:rPr>
          <w:rFonts w:ascii="Times New Roman" w:hAnsi="Times New Roman" w:cs="Times New Roman"/>
          <w:sz w:val="28"/>
          <w:szCs w:val="24"/>
        </w:rPr>
        <w:t>………</w:t>
      </w:r>
      <w:r w:rsidR="00320643">
        <w:rPr>
          <w:rFonts w:ascii="Times New Roman" w:hAnsi="Times New Roman" w:cs="Times New Roman"/>
          <w:sz w:val="28"/>
          <w:szCs w:val="24"/>
        </w:rPr>
        <w:t>…...</w:t>
      </w:r>
      <w:r w:rsidR="005F4DAE" w:rsidRPr="005F4DAE">
        <w:rPr>
          <w:rFonts w:ascii="Times New Roman" w:hAnsi="Times New Roman" w:cs="Times New Roman"/>
          <w:sz w:val="28"/>
          <w:szCs w:val="24"/>
        </w:rPr>
        <w:t>………………………………………3</w:t>
      </w:r>
    </w:p>
    <w:p w14:paraId="0873F976" w14:textId="33A306F8" w:rsidR="0041641C" w:rsidRPr="005F4DAE" w:rsidRDefault="0041641C" w:rsidP="0041641C">
      <w:pPr>
        <w:spacing w:line="360" w:lineRule="auto"/>
        <w:rPr>
          <w:rFonts w:ascii="Times New Roman" w:hAnsi="Times New Roman" w:cs="Times New Roman"/>
          <w:sz w:val="28"/>
          <w:szCs w:val="24"/>
        </w:rPr>
      </w:pPr>
      <w:r w:rsidRPr="005F4DAE">
        <w:rPr>
          <w:rFonts w:ascii="Times New Roman" w:hAnsi="Times New Roman" w:cs="Times New Roman"/>
          <w:sz w:val="28"/>
          <w:szCs w:val="24"/>
        </w:rPr>
        <w:t>Введение</w:t>
      </w:r>
      <w:r w:rsidR="005F4DAE" w:rsidRPr="005F4DAE">
        <w:rPr>
          <w:rFonts w:ascii="Times New Roman" w:hAnsi="Times New Roman" w:cs="Times New Roman"/>
          <w:sz w:val="28"/>
          <w:szCs w:val="24"/>
        </w:rPr>
        <w:t>……………………………………………………</w:t>
      </w:r>
      <w:r w:rsidR="00B03AB5" w:rsidRPr="005F4DAE">
        <w:rPr>
          <w:rFonts w:ascii="Times New Roman" w:hAnsi="Times New Roman" w:cs="Times New Roman"/>
          <w:sz w:val="28"/>
          <w:szCs w:val="24"/>
        </w:rPr>
        <w:t>……</w:t>
      </w:r>
      <w:r w:rsidR="005F4DAE" w:rsidRPr="005F4DAE">
        <w:rPr>
          <w:rFonts w:ascii="Times New Roman" w:hAnsi="Times New Roman" w:cs="Times New Roman"/>
          <w:sz w:val="28"/>
          <w:szCs w:val="24"/>
        </w:rPr>
        <w:t>…………</w:t>
      </w:r>
      <w:r w:rsidR="00B03AB5">
        <w:rPr>
          <w:rFonts w:ascii="Times New Roman" w:hAnsi="Times New Roman" w:cs="Times New Roman"/>
          <w:sz w:val="28"/>
          <w:szCs w:val="24"/>
        </w:rPr>
        <w:t>...</w:t>
      </w:r>
      <w:r w:rsidR="00B03AB5" w:rsidRPr="005F4DAE">
        <w:rPr>
          <w:rFonts w:ascii="Times New Roman" w:hAnsi="Times New Roman" w:cs="Times New Roman"/>
          <w:sz w:val="28"/>
          <w:szCs w:val="24"/>
        </w:rPr>
        <w:t>……</w:t>
      </w:r>
      <w:r w:rsidR="005F4DAE" w:rsidRPr="005F4DAE">
        <w:rPr>
          <w:rFonts w:ascii="Times New Roman" w:hAnsi="Times New Roman" w:cs="Times New Roman"/>
          <w:sz w:val="28"/>
          <w:szCs w:val="24"/>
        </w:rPr>
        <w:t>4</w:t>
      </w:r>
    </w:p>
    <w:p w14:paraId="6435C6DB" w14:textId="6A9D5835" w:rsidR="0041641C" w:rsidRPr="005F4DAE" w:rsidRDefault="0041641C" w:rsidP="0041641C">
      <w:pPr>
        <w:spacing w:line="360" w:lineRule="auto"/>
        <w:rPr>
          <w:rFonts w:ascii="Times New Roman" w:hAnsi="Times New Roman" w:cs="Times New Roman"/>
          <w:sz w:val="28"/>
          <w:szCs w:val="24"/>
        </w:rPr>
      </w:pPr>
      <w:r w:rsidRPr="005F4DAE">
        <w:rPr>
          <w:rFonts w:ascii="Times New Roman" w:hAnsi="Times New Roman" w:cs="Times New Roman"/>
          <w:sz w:val="28"/>
          <w:szCs w:val="24"/>
        </w:rPr>
        <w:t>Глава 1. Обзор литературы</w:t>
      </w:r>
      <w:r w:rsidR="00B03AB5">
        <w:rPr>
          <w:rFonts w:ascii="Times New Roman" w:hAnsi="Times New Roman" w:cs="Times New Roman"/>
          <w:sz w:val="28"/>
          <w:szCs w:val="24"/>
        </w:rPr>
        <w:t>……...</w:t>
      </w:r>
      <w:r w:rsidR="005F4DAE" w:rsidRPr="005F4DAE">
        <w:rPr>
          <w:rFonts w:ascii="Times New Roman" w:hAnsi="Times New Roman" w:cs="Times New Roman"/>
          <w:sz w:val="28"/>
          <w:szCs w:val="24"/>
        </w:rPr>
        <w:t>………………………………………………..6</w:t>
      </w:r>
    </w:p>
    <w:p w14:paraId="7E1AB917" w14:textId="505F8F04" w:rsidR="0041641C" w:rsidRPr="005F4DAE" w:rsidRDefault="0041641C" w:rsidP="0041641C">
      <w:pPr>
        <w:pStyle w:val="a9"/>
        <w:numPr>
          <w:ilvl w:val="1"/>
          <w:numId w:val="1"/>
        </w:numPr>
        <w:rPr>
          <w:rFonts w:cs="Times New Roman"/>
          <w:sz w:val="28"/>
          <w:szCs w:val="24"/>
        </w:rPr>
      </w:pPr>
      <w:r w:rsidRPr="005F4DAE">
        <w:rPr>
          <w:rFonts w:cs="Times New Roman"/>
          <w:sz w:val="28"/>
          <w:szCs w:val="24"/>
        </w:rPr>
        <w:t>Этиология и патогенез</w:t>
      </w:r>
      <w:r w:rsidR="005F4DAE" w:rsidRPr="005F4DAE">
        <w:rPr>
          <w:rFonts w:cs="Times New Roman"/>
          <w:sz w:val="28"/>
          <w:szCs w:val="24"/>
        </w:rPr>
        <w:t>………………………………………………………...6</w:t>
      </w:r>
    </w:p>
    <w:p w14:paraId="623B9905" w14:textId="27DE0197" w:rsidR="0041641C" w:rsidRPr="005F4DAE" w:rsidRDefault="0041641C" w:rsidP="0041641C">
      <w:pPr>
        <w:pStyle w:val="a9"/>
        <w:numPr>
          <w:ilvl w:val="1"/>
          <w:numId w:val="1"/>
        </w:numPr>
        <w:rPr>
          <w:rFonts w:cs="Times New Roman"/>
          <w:sz w:val="28"/>
          <w:szCs w:val="24"/>
        </w:rPr>
      </w:pPr>
      <w:r w:rsidRPr="005F4DAE">
        <w:rPr>
          <w:rFonts w:cs="Times New Roman"/>
          <w:sz w:val="28"/>
          <w:szCs w:val="24"/>
        </w:rPr>
        <w:t>Диагностика</w:t>
      </w:r>
      <w:r w:rsidR="005F4DAE" w:rsidRPr="005F4DAE">
        <w:rPr>
          <w:rFonts w:cs="Times New Roman"/>
          <w:sz w:val="28"/>
          <w:szCs w:val="24"/>
        </w:rPr>
        <w:t>……………………………………………………………………7</w:t>
      </w:r>
    </w:p>
    <w:p w14:paraId="236A43CA" w14:textId="6DAEC942" w:rsidR="0041641C" w:rsidRPr="005F4DAE" w:rsidRDefault="0041641C" w:rsidP="0041641C">
      <w:pPr>
        <w:pStyle w:val="a9"/>
        <w:numPr>
          <w:ilvl w:val="2"/>
          <w:numId w:val="1"/>
        </w:numPr>
        <w:rPr>
          <w:rFonts w:cs="Times New Roman"/>
          <w:sz w:val="28"/>
          <w:szCs w:val="24"/>
        </w:rPr>
      </w:pPr>
      <w:r w:rsidRPr="005F4DAE">
        <w:rPr>
          <w:rFonts w:cs="Times New Roman"/>
          <w:sz w:val="28"/>
          <w:szCs w:val="24"/>
        </w:rPr>
        <w:t>УЗИ и ТАБ</w:t>
      </w:r>
      <w:r w:rsidR="00B03AB5" w:rsidRPr="005F4DAE">
        <w:rPr>
          <w:rFonts w:cs="Times New Roman"/>
          <w:sz w:val="28"/>
          <w:szCs w:val="24"/>
        </w:rPr>
        <w:t>……………………………………………………………</w:t>
      </w:r>
      <w:r w:rsidR="00B03AB5">
        <w:rPr>
          <w:rFonts w:cs="Times New Roman"/>
          <w:sz w:val="28"/>
          <w:szCs w:val="24"/>
        </w:rPr>
        <w:t>.</w:t>
      </w:r>
      <w:r w:rsidR="00B03AB5" w:rsidRPr="005F4DAE">
        <w:rPr>
          <w:rFonts w:cs="Times New Roman"/>
          <w:sz w:val="28"/>
          <w:szCs w:val="24"/>
        </w:rPr>
        <w:t>……</w:t>
      </w:r>
      <w:r w:rsidR="00B03AB5">
        <w:rPr>
          <w:rFonts w:cs="Times New Roman"/>
          <w:sz w:val="28"/>
          <w:szCs w:val="24"/>
        </w:rPr>
        <w:t>7</w:t>
      </w:r>
    </w:p>
    <w:p w14:paraId="3EB7503C" w14:textId="4B57DFEE" w:rsidR="0041641C" w:rsidRPr="005F4DAE" w:rsidRDefault="0041641C" w:rsidP="0041641C">
      <w:pPr>
        <w:pStyle w:val="a9"/>
        <w:numPr>
          <w:ilvl w:val="2"/>
          <w:numId w:val="1"/>
        </w:numPr>
        <w:rPr>
          <w:rFonts w:cs="Times New Roman"/>
          <w:sz w:val="28"/>
          <w:szCs w:val="24"/>
        </w:rPr>
      </w:pPr>
      <w:r w:rsidRPr="005F4DAE">
        <w:rPr>
          <w:rFonts w:cs="Times New Roman"/>
          <w:sz w:val="28"/>
          <w:szCs w:val="24"/>
        </w:rPr>
        <w:t>Лабораторные методы</w:t>
      </w:r>
      <w:r w:rsidR="00B03AB5">
        <w:rPr>
          <w:rFonts w:cs="Times New Roman"/>
          <w:sz w:val="28"/>
          <w:szCs w:val="24"/>
        </w:rPr>
        <w:t>……………………………………………………..9</w:t>
      </w:r>
    </w:p>
    <w:p w14:paraId="198DDBF3" w14:textId="39FE7EB1" w:rsidR="0041641C" w:rsidRPr="005F4DAE" w:rsidRDefault="0041641C" w:rsidP="0041641C">
      <w:pPr>
        <w:pStyle w:val="a9"/>
        <w:numPr>
          <w:ilvl w:val="2"/>
          <w:numId w:val="1"/>
        </w:numPr>
        <w:rPr>
          <w:rFonts w:cs="Times New Roman"/>
          <w:sz w:val="28"/>
          <w:szCs w:val="24"/>
        </w:rPr>
      </w:pPr>
      <w:r w:rsidRPr="005F4DAE">
        <w:rPr>
          <w:rFonts w:cs="Times New Roman"/>
          <w:sz w:val="28"/>
          <w:szCs w:val="24"/>
        </w:rPr>
        <w:t>Лучевые методы диагностики</w:t>
      </w:r>
      <w:r w:rsidR="00B03AB5">
        <w:rPr>
          <w:rFonts w:cs="Times New Roman"/>
          <w:sz w:val="28"/>
          <w:szCs w:val="24"/>
        </w:rPr>
        <w:t>…………………………...…………</w:t>
      </w:r>
      <w:r w:rsidR="00320643">
        <w:rPr>
          <w:rFonts w:cs="Times New Roman"/>
          <w:sz w:val="28"/>
          <w:szCs w:val="24"/>
        </w:rPr>
        <w:t>……</w:t>
      </w:r>
      <w:r w:rsidR="00B03AB5">
        <w:rPr>
          <w:rFonts w:cs="Times New Roman"/>
          <w:sz w:val="28"/>
          <w:szCs w:val="24"/>
        </w:rPr>
        <w:t>13</w:t>
      </w:r>
    </w:p>
    <w:p w14:paraId="723BBE0F" w14:textId="734F1BF2" w:rsidR="0041641C" w:rsidRPr="005F4DAE" w:rsidRDefault="0041641C" w:rsidP="0041641C">
      <w:pPr>
        <w:pStyle w:val="a9"/>
        <w:numPr>
          <w:ilvl w:val="2"/>
          <w:numId w:val="1"/>
        </w:numPr>
        <w:rPr>
          <w:rFonts w:cs="Times New Roman"/>
          <w:sz w:val="28"/>
          <w:szCs w:val="24"/>
        </w:rPr>
      </w:pPr>
      <w:r w:rsidRPr="005F4DAE">
        <w:rPr>
          <w:rFonts w:cs="Times New Roman"/>
          <w:sz w:val="28"/>
          <w:szCs w:val="24"/>
        </w:rPr>
        <w:t>Стадирование</w:t>
      </w:r>
      <w:r w:rsidR="00B03AB5">
        <w:rPr>
          <w:rFonts w:cs="Times New Roman"/>
          <w:sz w:val="28"/>
          <w:szCs w:val="24"/>
        </w:rPr>
        <w:t>……………………………………………………………..14</w:t>
      </w:r>
    </w:p>
    <w:p w14:paraId="78F73BE8" w14:textId="3CF01657" w:rsidR="0041641C" w:rsidRPr="005F4DAE" w:rsidRDefault="0041641C" w:rsidP="0041641C">
      <w:pPr>
        <w:pStyle w:val="a9"/>
        <w:numPr>
          <w:ilvl w:val="1"/>
          <w:numId w:val="1"/>
        </w:numPr>
        <w:rPr>
          <w:rFonts w:cs="Times New Roman"/>
          <w:sz w:val="28"/>
          <w:szCs w:val="24"/>
        </w:rPr>
      </w:pPr>
      <w:r w:rsidRPr="005F4DAE">
        <w:rPr>
          <w:rFonts w:cs="Times New Roman"/>
          <w:sz w:val="28"/>
          <w:szCs w:val="24"/>
        </w:rPr>
        <w:t>Морфология</w:t>
      </w:r>
      <w:r w:rsidR="00B03AB5">
        <w:rPr>
          <w:rFonts w:cs="Times New Roman"/>
          <w:sz w:val="28"/>
          <w:szCs w:val="24"/>
        </w:rPr>
        <w:t>………………………………………………………………….16</w:t>
      </w:r>
    </w:p>
    <w:p w14:paraId="3FC23A3A" w14:textId="4BAC3E78" w:rsidR="0041641C" w:rsidRPr="005F4DAE" w:rsidRDefault="0041641C" w:rsidP="0041641C">
      <w:pPr>
        <w:pStyle w:val="a9"/>
        <w:numPr>
          <w:ilvl w:val="1"/>
          <w:numId w:val="1"/>
        </w:numPr>
        <w:rPr>
          <w:rFonts w:cs="Times New Roman"/>
          <w:sz w:val="28"/>
          <w:szCs w:val="24"/>
        </w:rPr>
      </w:pPr>
      <w:r w:rsidRPr="005F4DAE">
        <w:rPr>
          <w:rFonts w:cs="Times New Roman"/>
          <w:sz w:val="28"/>
          <w:szCs w:val="24"/>
        </w:rPr>
        <w:t>Клинические проявления</w:t>
      </w:r>
      <w:r w:rsidR="00320643">
        <w:rPr>
          <w:rFonts w:cs="Times New Roman"/>
          <w:sz w:val="28"/>
          <w:szCs w:val="24"/>
        </w:rPr>
        <w:t>……………………………………………………18</w:t>
      </w:r>
    </w:p>
    <w:p w14:paraId="1940A228" w14:textId="679AF587" w:rsidR="0041641C" w:rsidRPr="005F4DAE" w:rsidRDefault="0041641C" w:rsidP="0041641C">
      <w:pPr>
        <w:pStyle w:val="a9"/>
        <w:numPr>
          <w:ilvl w:val="1"/>
          <w:numId w:val="1"/>
        </w:numPr>
        <w:rPr>
          <w:rFonts w:cs="Times New Roman"/>
          <w:sz w:val="28"/>
          <w:szCs w:val="24"/>
        </w:rPr>
      </w:pPr>
      <w:r w:rsidRPr="005F4DAE">
        <w:rPr>
          <w:rFonts w:cs="Times New Roman"/>
          <w:sz w:val="28"/>
          <w:szCs w:val="24"/>
        </w:rPr>
        <w:t>Хирургическое лечение</w:t>
      </w:r>
      <w:r w:rsidR="00320643">
        <w:rPr>
          <w:rFonts w:cs="Times New Roman"/>
          <w:sz w:val="28"/>
          <w:szCs w:val="24"/>
        </w:rPr>
        <w:t>……………………………………………………</w:t>
      </w:r>
      <w:r w:rsidR="00550725">
        <w:rPr>
          <w:rFonts w:cs="Times New Roman"/>
          <w:sz w:val="28"/>
          <w:szCs w:val="24"/>
        </w:rPr>
        <w:t>...</w:t>
      </w:r>
      <w:r w:rsidR="00320643">
        <w:rPr>
          <w:rFonts w:cs="Times New Roman"/>
          <w:sz w:val="28"/>
          <w:szCs w:val="24"/>
        </w:rPr>
        <w:t>19</w:t>
      </w:r>
    </w:p>
    <w:p w14:paraId="5F999F43" w14:textId="1F38058D" w:rsidR="0041641C" w:rsidRPr="005F4DAE" w:rsidRDefault="0041641C" w:rsidP="0041641C">
      <w:pPr>
        <w:pStyle w:val="a9"/>
        <w:numPr>
          <w:ilvl w:val="2"/>
          <w:numId w:val="1"/>
        </w:numPr>
        <w:rPr>
          <w:rFonts w:cs="Times New Roman"/>
          <w:sz w:val="28"/>
          <w:szCs w:val="24"/>
        </w:rPr>
      </w:pPr>
      <w:r w:rsidRPr="005F4DAE">
        <w:rPr>
          <w:rFonts w:cs="Times New Roman"/>
          <w:sz w:val="28"/>
          <w:szCs w:val="24"/>
        </w:rPr>
        <w:t>Тиреоидэктомия</w:t>
      </w:r>
      <w:r w:rsidR="00320643">
        <w:rPr>
          <w:rFonts w:cs="Times New Roman"/>
          <w:sz w:val="28"/>
          <w:szCs w:val="24"/>
        </w:rPr>
        <w:t>…………………………………………………………..19</w:t>
      </w:r>
    </w:p>
    <w:p w14:paraId="237FB92A" w14:textId="3B01FD18" w:rsidR="0041641C" w:rsidRPr="005F4DAE" w:rsidRDefault="0041641C" w:rsidP="0041641C">
      <w:pPr>
        <w:pStyle w:val="a9"/>
        <w:numPr>
          <w:ilvl w:val="2"/>
          <w:numId w:val="1"/>
        </w:numPr>
        <w:rPr>
          <w:rFonts w:cs="Times New Roman"/>
          <w:sz w:val="28"/>
          <w:szCs w:val="24"/>
        </w:rPr>
      </w:pPr>
      <w:r w:rsidRPr="005F4DAE">
        <w:rPr>
          <w:rFonts w:cs="Times New Roman"/>
          <w:sz w:val="28"/>
          <w:szCs w:val="24"/>
        </w:rPr>
        <w:t>Лимфодиссекция</w:t>
      </w:r>
      <w:r w:rsidR="00320643">
        <w:rPr>
          <w:rFonts w:cs="Times New Roman"/>
          <w:sz w:val="28"/>
          <w:szCs w:val="24"/>
        </w:rPr>
        <w:t>………………………………………………………….21</w:t>
      </w:r>
    </w:p>
    <w:p w14:paraId="75EF4257" w14:textId="0922E8DA" w:rsidR="0041641C" w:rsidRPr="005F4DAE" w:rsidRDefault="0041641C" w:rsidP="0041641C">
      <w:pPr>
        <w:pStyle w:val="a9"/>
        <w:numPr>
          <w:ilvl w:val="1"/>
          <w:numId w:val="1"/>
        </w:numPr>
        <w:rPr>
          <w:rFonts w:cs="Times New Roman"/>
          <w:sz w:val="28"/>
          <w:szCs w:val="24"/>
        </w:rPr>
      </w:pPr>
      <w:r w:rsidRPr="005F4DAE">
        <w:rPr>
          <w:rFonts w:cs="Times New Roman"/>
          <w:sz w:val="28"/>
          <w:szCs w:val="24"/>
        </w:rPr>
        <w:t xml:space="preserve">Системное лечение </w:t>
      </w:r>
      <w:r w:rsidR="00320643">
        <w:rPr>
          <w:rFonts w:cs="Times New Roman"/>
          <w:sz w:val="28"/>
          <w:szCs w:val="24"/>
        </w:rPr>
        <w:t>…………………………………………………………..21</w:t>
      </w:r>
    </w:p>
    <w:p w14:paraId="76D10BBF" w14:textId="2F5B2A31" w:rsidR="0041641C" w:rsidRPr="005F4DAE" w:rsidRDefault="0041641C" w:rsidP="0041641C">
      <w:pPr>
        <w:pStyle w:val="a9"/>
        <w:numPr>
          <w:ilvl w:val="1"/>
          <w:numId w:val="1"/>
        </w:numPr>
        <w:rPr>
          <w:rFonts w:cs="Times New Roman"/>
          <w:sz w:val="28"/>
          <w:szCs w:val="24"/>
        </w:rPr>
      </w:pPr>
      <w:r w:rsidRPr="005F4DAE">
        <w:rPr>
          <w:rFonts w:cs="Times New Roman"/>
          <w:sz w:val="28"/>
          <w:szCs w:val="24"/>
        </w:rPr>
        <w:t>Лучевые методы лечения</w:t>
      </w:r>
      <w:r w:rsidR="00320643">
        <w:rPr>
          <w:rFonts w:cs="Times New Roman"/>
          <w:sz w:val="28"/>
          <w:szCs w:val="24"/>
        </w:rPr>
        <w:t>…………………………………………………</w:t>
      </w:r>
      <w:r w:rsidR="00550725">
        <w:rPr>
          <w:rFonts w:cs="Times New Roman"/>
          <w:sz w:val="28"/>
          <w:szCs w:val="24"/>
        </w:rPr>
        <w:t>…</w:t>
      </w:r>
      <w:r w:rsidR="00320643">
        <w:rPr>
          <w:rFonts w:cs="Times New Roman"/>
          <w:sz w:val="28"/>
          <w:szCs w:val="24"/>
        </w:rPr>
        <w:t>23</w:t>
      </w:r>
    </w:p>
    <w:p w14:paraId="4CBCA03D" w14:textId="2E6B4AD1" w:rsidR="0041641C" w:rsidRPr="005F4DAE" w:rsidRDefault="0041641C" w:rsidP="0041641C">
      <w:pPr>
        <w:spacing w:line="360" w:lineRule="auto"/>
        <w:rPr>
          <w:rFonts w:ascii="Times New Roman" w:hAnsi="Times New Roman" w:cs="Times New Roman"/>
          <w:sz w:val="28"/>
          <w:szCs w:val="24"/>
        </w:rPr>
      </w:pPr>
      <w:r w:rsidRPr="005F4DAE">
        <w:rPr>
          <w:rFonts w:ascii="Times New Roman" w:hAnsi="Times New Roman" w:cs="Times New Roman"/>
          <w:sz w:val="28"/>
          <w:szCs w:val="24"/>
        </w:rPr>
        <w:t>Глава 2. Материалы и методы исследования</w:t>
      </w:r>
      <w:r w:rsidR="00550725">
        <w:rPr>
          <w:rFonts w:ascii="Times New Roman" w:hAnsi="Times New Roman" w:cs="Times New Roman"/>
          <w:sz w:val="28"/>
          <w:szCs w:val="24"/>
        </w:rPr>
        <w:t>………………………………….24</w:t>
      </w:r>
    </w:p>
    <w:p w14:paraId="7B5C15C1" w14:textId="33F6D7B2" w:rsidR="0041641C" w:rsidRPr="005F4DAE" w:rsidRDefault="0041641C" w:rsidP="0041641C">
      <w:pPr>
        <w:spacing w:line="360" w:lineRule="auto"/>
        <w:rPr>
          <w:rFonts w:ascii="Times New Roman" w:hAnsi="Times New Roman" w:cs="Times New Roman"/>
          <w:sz w:val="28"/>
          <w:szCs w:val="24"/>
        </w:rPr>
      </w:pPr>
      <w:r w:rsidRPr="005F4DAE">
        <w:rPr>
          <w:rFonts w:ascii="Times New Roman" w:hAnsi="Times New Roman" w:cs="Times New Roman"/>
          <w:sz w:val="28"/>
          <w:szCs w:val="24"/>
        </w:rPr>
        <w:t>Глава 3. Результаты и их обсуждения</w:t>
      </w:r>
      <w:r w:rsidR="00550725">
        <w:rPr>
          <w:rFonts w:ascii="Times New Roman" w:hAnsi="Times New Roman" w:cs="Times New Roman"/>
          <w:sz w:val="28"/>
          <w:szCs w:val="24"/>
        </w:rPr>
        <w:t>………………………………………….3</w:t>
      </w:r>
      <w:r w:rsidR="001C5029">
        <w:rPr>
          <w:rFonts w:ascii="Times New Roman" w:hAnsi="Times New Roman" w:cs="Times New Roman"/>
          <w:sz w:val="28"/>
          <w:szCs w:val="24"/>
        </w:rPr>
        <w:t>7</w:t>
      </w:r>
    </w:p>
    <w:p w14:paraId="4C634720" w14:textId="489F1C85" w:rsidR="00386B59" w:rsidRDefault="00386B59" w:rsidP="0041641C">
      <w:pPr>
        <w:rPr>
          <w:rFonts w:ascii="Times New Roman" w:hAnsi="Times New Roman" w:cs="Times New Roman"/>
          <w:sz w:val="28"/>
          <w:szCs w:val="24"/>
        </w:rPr>
      </w:pPr>
      <w:r>
        <w:rPr>
          <w:rFonts w:ascii="Times New Roman" w:hAnsi="Times New Roman" w:cs="Times New Roman"/>
          <w:sz w:val="28"/>
          <w:szCs w:val="24"/>
        </w:rPr>
        <w:t>Заключение</w:t>
      </w:r>
      <w:r w:rsidR="000C6191">
        <w:rPr>
          <w:rFonts w:ascii="Times New Roman" w:hAnsi="Times New Roman" w:cs="Times New Roman"/>
          <w:sz w:val="28"/>
          <w:szCs w:val="24"/>
        </w:rPr>
        <w:t>……………………………………………………………………….4</w:t>
      </w:r>
      <w:r w:rsidR="001C5029">
        <w:rPr>
          <w:rFonts w:ascii="Times New Roman" w:hAnsi="Times New Roman" w:cs="Times New Roman"/>
          <w:sz w:val="28"/>
          <w:szCs w:val="24"/>
        </w:rPr>
        <w:t>5</w:t>
      </w:r>
    </w:p>
    <w:p w14:paraId="16BB85E7" w14:textId="710CEC50" w:rsidR="0041641C" w:rsidRPr="005F4DAE" w:rsidRDefault="0041641C" w:rsidP="0041641C">
      <w:pPr>
        <w:rPr>
          <w:rFonts w:ascii="Times New Roman" w:hAnsi="Times New Roman" w:cs="Times New Roman"/>
          <w:sz w:val="28"/>
          <w:szCs w:val="24"/>
        </w:rPr>
      </w:pPr>
      <w:r w:rsidRPr="005F4DAE">
        <w:rPr>
          <w:rFonts w:ascii="Times New Roman" w:hAnsi="Times New Roman" w:cs="Times New Roman"/>
          <w:sz w:val="28"/>
          <w:szCs w:val="24"/>
        </w:rPr>
        <w:t>Выводы</w:t>
      </w:r>
      <w:r w:rsidR="000C6191">
        <w:rPr>
          <w:rFonts w:ascii="Times New Roman" w:hAnsi="Times New Roman" w:cs="Times New Roman"/>
          <w:sz w:val="28"/>
          <w:szCs w:val="24"/>
        </w:rPr>
        <w:t>…………………………………………………………………………...4</w:t>
      </w:r>
      <w:r w:rsidR="001C5029">
        <w:rPr>
          <w:rFonts w:ascii="Times New Roman" w:hAnsi="Times New Roman" w:cs="Times New Roman"/>
          <w:sz w:val="28"/>
          <w:szCs w:val="24"/>
        </w:rPr>
        <w:t>7</w:t>
      </w:r>
      <w:r w:rsidRPr="005F4DAE">
        <w:rPr>
          <w:rFonts w:ascii="Times New Roman" w:hAnsi="Times New Roman" w:cs="Times New Roman"/>
          <w:sz w:val="28"/>
          <w:szCs w:val="24"/>
        </w:rPr>
        <w:t xml:space="preserve"> </w:t>
      </w:r>
    </w:p>
    <w:p w14:paraId="330C9AE7" w14:textId="09B2BC1C" w:rsidR="0041641C" w:rsidRPr="005F4DAE" w:rsidRDefault="0041641C" w:rsidP="0041641C">
      <w:pPr>
        <w:spacing w:line="360" w:lineRule="auto"/>
        <w:rPr>
          <w:rFonts w:ascii="Times New Roman" w:hAnsi="Times New Roman" w:cs="Times New Roman"/>
          <w:sz w:val="28"/>
          <w:szCs w:val="24"/>
        </w:rPr>
      </w:pPr>
      <w:r w:rsidRPr="005F4DAE">
        <w:rPr>
          <w:rFonts w:ascii="Times New Roman" w:hAnsi="Times New Roman" w:cs="Times New Roman"/>
          <w:sz w:val="28"/>
          <w:szCs w:val="24"/>
        </w:rPr>
        <w:t>Список литературы</w:t>
      </w:r>
      <w:r w:rsidR="000C6191">
        <w:rPr>
          <w:rFonts w:ascii="Times New Roman" w:hAnsi="Times New Roman" w:cs="Times New Roman"/>
          <w:sz w:val="28"/>
          <w:szCs w:val="24"/>
        </w:rPr>
        <w:t>………………………………………………………………4</w:t>
      </w:r>
      <w:r w:rsidR="001C5029">
        <w:rPr>
          <w:rFonts w:ascii="Times New Roman" w:hAnsi="Times New Roman" w:cs="Times New Roman"/>
          <w:sz w:val="28"/>
          <w:szCs w:val="24"/>
        </w:rPr>
        <w:t>8</w:t>
      </w:r>
    </w:p>
    <w:p w14:paraId="059F5B4D" w14:textId="77777777" w:rsidR="0041641C" w:rsidRPr="00C43F71" w:rsidRDefault="0041641C" w:rsidP="0041641C">
      <w:pPr>
        <w:spacing w:line="360" w:lineRule="auto"/>
        <w:jc w:val="both"/>
        <w:rPr>
          <w:sz w:val="32"/>
          <w:szCs w:val="32"/>
        </w:rPr>
      </w:pPr>
    </w:p>
    <w:p w14:paraId="4D7E421C" w14:textId="77777777" w:rsidR="0041641C" w:rsidRDefault="0041641C" w:rsidP="0041641C">
      <w:pPr>
        <w:ind w:left="-284"/>
      </w:pPr>
    </w:p>
    <w:p w14:paraId="6121AA5D" w14:textId="77777777" w:rsidR="0041641C" w:rsidRDefault="0041641C" w:rsidP="0041641C">
      <w:pPr>
        <w:ind w:left="-284"/>
      </w:pPr>
    </w:p>
    <w:p w14:paraId="63918FD1" w14:textId="77777777" w:rsidR="0041641C" w:rsidRDefault="0041641C" w:rsidP="0041641C"/>
    <w:p w14:paraId="153C0BD9" w14:textId="77777777" w:rsidR="00320643" w:rsidRDefault="00320643" w:rsidP="0041641C">
      <w:pPr>
        <w:rPr>
          <w:b/>
          <w:bCs/>
          <w:sz w:val="28"/>
          <w:szCs w:val="24"/>
        </w:rPr>
      </w:pPr>
    </w:p>
    <w:p w14:paraId="6247438E" w14:textId="64EDE376" w:rsidR="0041641C" w:rsidRDefault="0041641C" w:rsidP="0041641C">
      <w:pPr>
        <w:rPr>
          <w:b/>
          <w:bCs/>
          <w:sz w:val="28"/>
          <w:szCs w:val="24"/>
        </w:rPr>
      </w:pPr>
      <w:r>
        <w:rPr>
          <w:b/>
          <w:bCs/>
          <w:sz w:val="28"/>
          <w:szCs w:val="24"/>
        </w:rPr>
        <w:lastRenderedPageBreak/>
        <w:t>Список условных сокращений</w:t>
      </w:r>
    </w:p>
    <w:p w14:paraId="62F77760" w14:textId="77777777" w:rsidR="0041641C" w:rsidRDefault="0041641C" w:rsidP="0041641C">
      <w:pPr>
        <w:rPr>
          <w:sz w:val="28"/>
          <w:szCs w:val="24"/>
        </w:rPr>
      </w:pPr>
      <w:r>
        <w:rPr>
          <w:sz w:val="28"/>
          <w:szCs w:val="24"/>
        </w:rPr>
        <w:t>АТА – американская тиреоидологическая ассоциация</w:t>
      </w:r>
    </w:p>
    <w:p w14:paraId="4AAB8114" w14:textId="77777777" w:rsidR="0041641C" w:rsidRPr="001B06B1" w:rsidRDefault="0041641C" w:rsidP="0041641C">
      <w:pPr>
        <w:rPr>
          <w:sz w:val="28"/>
          <w:szCs w:val="24"/>
        </w:rPr>
      </w:pPr>
      <w:r>
        <w:rPr>
          <w:sz w:val="28"/>
          <w:szCs w:val="24"/>
        </w:rPr>
        <w:t xml:space="preserve">АД – артериальное давление </w:t>
      </w:r>
    </w:p>
    <w:p w14:paraId="3083C8FD" w14:textId="77777777" w:rsidR="0041641C" w:rsidRDefault="0041641C" w:rsidP="0041641C">
      <w:pPr>
        <w:rPr>
          <w:sz w:val="28"/>
          <w:szCs w:val="24"/>
        </w:rPr>
      </w:pPr>
      <w:r>
        <w:rPr>
          <w:sz w:val="28"/>
          <w:szCs w:val="24"/>
        </w:rPr>
        <w:t>ВУК – время удвоения кальцитонина</w:t>
      </w:r>
    </w:p>
    <w:p w14:paraId="4AC25AE4" w14:textId="77777777" w:rsidR="0041641C" w:rsidRDefault="0041641C" w:rsidP="0041641C">
      <w:pPr>
        <w:rPr>
          <w:sz w:val="28"/>
          <w:szCs w:val="24"/>
        </w:rPr>
      </w:pPr>
      <w:r>
        <w:rPr>
          <w:sz w:val="28"/>
          <w:szCs w:val="24"/>
        </w:rPr>
        <w:t>ГТЭ - гемитиреоидэктомия</w:t>
      </w:r>
    </w:p>
    <w:p w14:paraId="1D25B386" w14:textId="77777777" w:rsidR="0041641C" w:rsidRDefault="0041641C" w:rsidP="0041641C">
      <w:pPr>
        <w:rPr>
          <w:sz w:val="28"/>
          <w:szCs w:val="24"/>
        </w:rPr>
      </w:pPr>
      <w:r>
        <w:rPr>
          <w:sz w:val="28"/>
          <w:szCs w:val="24"/>
        </w:rPr>
        <w:t>КТ- компьютерная томография</w:t>
      </w:r>
    </w:p>
    <w:p w14:paraId="4A64D539" w14:textId="77777777" w:rsidR="0041641C" w:rsidRPr="004859AD" w:rsidRDefault="0041641C" w:rsidP="0041641C">
      <w:pPr>
        <w:rPr>
          <w:sz w:val="28"/>
          <w:szCs w:val="24"/>
        </w:rPr>
      </w:pPr>
      <w:r>
        <w:rPr>
          <w:sz w:val="28"/>
          <w:szCs w:val="24"/>
        </w:rPr>
        <w:t>ЛУ – лимфатические узлы</w:t>
      </w:r>
    </w:p>
    <w:p w14:paraId="1954D8BB" w14:textId="77777777" w:rsidR="0041641C" w:rsidRDefault="0041641C" w:rsidP="0041641C">
      <w:pPr>
        <w:rPr>
          <w:sz w:val="28"/>
          <w:szCs w:val="24"/>
        </w:rPr>
      </w:pPr>
      <w:r>
        <w:rPr>
          <w:sz w:val="28"/>
          <w:szCs w:val="24"/>
        </w:rPr>
        <w:t>МК- медуллярная карцинома</w:t>
      </w:r>
    </w:p>
    <w:p w14:paraId="670B3C6C" w14:textId="77777777" w:rsidR="0041641C" w:rsidRDefault="0041641C" w:rsidP="0041641C">
      <w:pPr>
        <w:rPr>
          <w:sz w:val="28"/>
          <w:szCs w:val="24"/>
        </w:rPr>
      </w:pPr>
      <w:r>
        <w:rPr>
          <w:sz w:val="28"/>
          <w:szCs w:val="24"/>
        </w:rPr>
        <w:t>МРЩЖ – медуллярный рак щитовидной железы</w:t>
      </w:r>
    </w:p>
    <w:p w14:paraId="3519E7CE" w14:textId="77777777" w:rsidR="0041641C" w:rsidRDefault="0041641C" w:rsidP="0041641C">
      <w:pPr>
        <w:rPr>
          <w:sz w:val="28"/>
          <w:szCs w:val="24"/>
        </w:rPr>
      </w:pPr>
      <w:r>
        <w:rPr>
          <w:sz w:val="28"/>
          <w:szCs w:val="24"/>
        </w:rPr>
        <w:t>МРТ – магнитно-резонансная томография</w:t>
      </w:r>
    </w:p>
    <w:p w14:paraId="3DDEAB3E" w14:textId="77777777" w:rsidR="0041641C" w:rsidRDefault="0041641C" w:rsidP="0041641C">
      <w:pPr>
        <w:rPr>
          <w:sz w:val="28"/>
          <w:szCs w:val="24"/>
        </w:rPr>
      </w:pPr>
      <w:r>
        <w:rPr>
          <w:sz w:val="28"/>
          <w:szCs w:val="24"/>
        </w:rPr>
        <w:t>МЭН – множественная эндокринная неоплазия</w:t>
      </w:r>
    </w:p>
    <w:p w14:paraId="225C4876" w14:textId="77777777" w:rsidR="0041641C" w:rsidRPr="009D46D7" w:rsidRDefault="0041641C" w:rsidP="0041641C">
      <w:pPr>
        <w:rPr>
          <w:sz w:val="28"/>
          <w:szCs w:val="24"/>
        </w:rPr>
      </w:pPr>
      <w:r>
        <w:rPr>
          <w:sz w:val="28"/>
          <w:szCs w:val="24"/>
        </w:rPr>
        <w:t>ПЭТ- позитронно-эмиссионная томография</w:t>
      </w:r>
    </w:p>
    <w:p w14:paraId="49548FAA" w14:textId="77777777" w:rsidR="0041641C" w:rsidRDefault="0041641C" w:rsidP="0041641C">
      <w:pPr>
        <w:rPr>
          <w:sz w:val="28"/>
          <w:szCs w:val="24"/>
        </w:rPr>
      </w:pPr>
      <w:r>
        <w:rPr>
          <w:sz w:val="28"/>
          <w:szCs w:val="24"/>
        </w:rPr>
        <w:t>РЭА – раково-эмбриональный антиген</w:t>
      </w:r>
    </w:p>
    <w:p w14:paraId="4C183A75" w14:textId="77777777" w:rsidR="0041641C" w:rsidRDefault="0041641C" w:rsidP="0041641C">
      <w:pPr>
        <w:rPr>
          <w:sz w:val="28"/>
          <w:szCs w:val="24"/>
        </w:rPr>
      </w:pPr>
      <w:r>
        <w:rPr>
          <w:sz w:val="28"/>
          <w:szCs w:val="24"/>
        </w:rPr>
        <w:t>ТАБ – тонкоигольно-аспирационная биопсия</w:t>
      </w:r>
    </w:p>
    <w:p w14:paraId="58878234" w14:textId="77777777" w:rsidR="0041641C" w:rsidRDefault="0041641C" w:rsidP="0041641C">
      <w:pPr>
        <w:rPr>
          <w:sz w:val="28"/>
          <w:szCs w:val="24"/>
        </w:rPr>
      </w:pPr>
      <w:r>
        <w:rPr>
          <w:sz w:val="28"/>
          <w:szCs w:val="24"/>
        </w:rPr>
        <w:t>ТЭ -тиреоидэктомия</w:t>
      </w:r>
    </w:p>
    <w:p w14:paraId="619AEDB7" w14:textId="77777777" w:rsidR="0041641C" w:rsidRDefault="0041641C" w:rsidP="0041641C">
      <w:pPr>
        <w:rPr>
          <w:sz w:val="28"/>
          <w:szCs w:val="24"/>
        </w:rPr>
      </w:pPr>
      <w:r>
        <w:rPr>
          <w:sz w:val="28"/>
          <w:szCs w:val="24"/>
        </w:rPr>
        <w:t xml:space="preserve">УЗИ – ультразвуковое исследование </w:t>
      </w:r>
    </w:p>
    <w:p w14:paraId="0F9E63BE" w14:textId="77777777" w:rsidR="0041641C" w:rsidRDefault="0041641C" w:rsidP="0041641C">
      <w:pPr>
        <w:rPr>
          <w:sz w:val="28"/>
          <w:szCs w:val="24"/>
        </w:rPr>
      </w:pPr>
      <w:r>
        <w:rPr>
          <w:sz w:val="28"/>
          <w:szCs w:val="24"/>
        </w:rPr>
        <w:t xml:space="preserve">ЩЖ – щитовидная железа </w:t>
      </w:r>
    </w:p>
    <w:p w14:paraId="4A6536D5" w14:textId="77777777" w:rsidR="0041641C" w:rsidRPr="001D189C" w:rsidRDefault="0041641C" w:rsidP="0041641C">
      <w:pPr>
        <w:rPr>
          <w:sz w:val="28"/>
          <w:szCs w:val="24"/>
          <w:lang w:val="en-US"/>
        </w:rPr>
      </w:pPr>
      <w:r>
        <w:rPr>
          <w:sz w:val="28"/>
          <w:szCs w:val="24"/>
          <w:lang w:val="en-US"/>
        </w:rPr>
        <w:t>FDA</w:t>
      </w:r>
      <w:r w:rsidRPr="001D189C">
        <w:rPr>
          <w:sz w:val="28"/>
          <w:szCs w:val="24"/>
          <w:lang w:val="en-US"/>
        </w:rPr>
        <w:t xml:space="preserve"> – </w:t>
      </w:r>
      <w:r>
        <w:rPr>
          <w:sz w:val="28"/>
          <w:szCs w:val="24"/>
          <w:lang w:val="en-US"/>
        </w:rPr>
        <w:t>Food</w:t>
      </w:r>
      <w:r w:rsidRPr="001D189C">
        <w:rPr>
          <w:sz w:val="28"/>
          <w:szCs w:val="24"/>
          <w:lang w:val="en-US"/>
        </w:rPr>
        <w:t xml:space="preserve"> </w:t>
      </w:r>
      <w:r>
        <w:rPr>
          <w:sz w:val="28"/>
          <w:szCs w:val="24"/>
          <w:lang w:val="en-US"/>
        </w:rPr>
        <w:t>and</w:t>
      </w:r>
      <w:r w:rsidRPr="001D189C">
        <w:rPr>
          <w:sz w:val="28"/>
          <w:szCs w:val="24"/>
          <w:lang w:val="en-US"/>
        </w:rPr>
        <w:t xml:space="preserve"> </w:t>
      </w:r>
      <w:r>
        <w:rPr>
          <w:sz w:val="28"/>
          <w:szCs w:val="24"/>
          <w:lang w:val="en-US"/>
        </w:rPr>
        <w:t>Drug</w:t>
      </w:r>
      <w:r w:rsidRPr="001D189C">
        <w:rPr>
          <w:sz w:val="28"/>
          <w:szCs w:val="24"/>
          <w:lang w:val="en-US"/>
        </w:rPr>
        <w:t xml:space="preserve"> </w:t>
      </w:r>
      <w:r>
        <w:rPr>
          <w:sz w:val="28"/>
          <w:szCs w:val="24"/>
          <w:lang w:val="en-US"/>
        </w:rPr>
        <w:t>Administration</w:t>
      </w:r>
    </w:p>
    <w:p w14:paraId="27F555CF" w14:textId="77777777" w:rsidR="0041641C" w:rsidRPr="001D189C" w:rsidRDefault="0041641C" w:rsidP="0041641C">
      <w:pPr>
        <w:rPr>
          <w:sz w:val="28"/>
          <w:szCs w:val="24"/>
          <w:lang w:val="en-US"/>
        </w:rPr>
      </w:pPr>
      <w:r>
        <w:rPr>
          <w:sz w:val="28"/>
          <w:szCs w:val="24"/>
          <w:lang w:val="en-US"/>
        </w:rPr>
        <w:t>EBRT</w:t>
      </w:r>
      <w:r w:rsidRPr="001D189C">
        <w:rPr>
          <w:sz w:val="28"/>
          <w:szCs w:val="24"/>
          <w:lang w:val="en-US"/>
        </w:rPr>
        <w:t xml:space="preserve">- </w:t>
      </w:r>
      <w:r w:rsidRPr="009D46D7">
        <w:rPr>
          <w:sz w:val="28"/>
          <w:szCs w:val="24"/>
          <w:lang w:val="en-US"/>
        </w:rPr>
        <w:t>External beam radiotherapy</w:t>
      </w:r>
    </w:p>
    <w:p w14:paraId="09E9A42B" w14:textId="77777777" w:rsidR="0041641C" w:rsidRPr="001D189C" w:rsidRDefault="0041641C" w:rsidP="0041641C">
      <w:pPr>
        <w:rPr>
          <w:sz w:val="28"/>
          <w:szCs w:val="24"/>
          <w:lang w:val="en-US"/>
        </w:rPr>
      </w:pPr>
      <w:r>
        <w:rPr>
          <w:sz w:val="28"/>
          <w:szCs w:val="24"/>
          <w:lang w:val="en-US"/>
        </w:rPr>
        <w:t>CGRP</w:t>
      </w:r>
      <w:r w:rsidRPr="001D189C">
        <w:rPr>
          <w:sz w:val="28"/>
          <w:szCs w:val="24"/>
          <w:lang w:val="en-US"/>
        </w:rPr>
        <w:t>- Calcitonin gene-related peptide</w:t>
      </w:r>
    </w:p>
    <w:p w14:paraId="634BC169" w14:textId="77777777" w:rsidR="0041641C" w:rsidRPr="001D189C" w:rsidRDefault="0041641C" w:rsidP="0041641C">
      <w:pPr>
        <w:rPr>
          <w:sz w:val="28"/>
          <w:szCs w:val="24"/>
          <w:lang w:val="en-US"/>
        </w:rPr>
      </w:pPr>
    </w:p>
    <w:p w14:paraId="6C47D765" w14:textId="77777777" w:rsidR="0041641C" w:rsidRPr="001D189C" w:rsidRDefault="0041641C" w:rsidP="0041641C">
      <w:pPr>
        <w:rPr>
          <w:sz w:val="28"/>
          <w:szCs w:val="24"/>
          <w:lang w:val="en-US"/>
        </w:rPr>
      </w:pPr>
    </w:p>
    <w:p w14:paraId="1B1F405E" w14:textId="77777777" w:rsidR="0041641C" w:rsidRPr="001D189C" w:rsidRDefault="0041641C" w:rsidP="0041641C">
      <w:pPr>
        <w:rPr>
          <w:sz w:val="28"/>
          <w:szCs w:val="24"/>
          <w:lang w:val="en-US"/>
        </w:rPr>
      </w:pPr>
    </w:p>
    <w:p w14:paraId="18F52799" w14:textId="77777777" w:rsidR="0041641C" w:rsidRPr="001D189C" w:rsidRDefault="0041641C" w:rsidP="0041641C">
      <w:pPr>
        <w:rPr>
          <w:sz w:val="28"/>
          <w:szCs w:val="24"/>
          <w:lang w:val="en-US"/>
        </w:rPr>
      </w:pPr>
    </w:p>
    <w:p w14:paraId="0FFCDD12" w14:textId="77777777" w:rsidR="0041641C" w:rsidRPr="001D189C" w:rsidRDefault="0041641C" w:rsidP="0041641C">
      <w:pPr>
        <w:rPr>
          <w:sz w:val="28"/>
          <w:szCs w:val="24"/>
          <w:lang w:val="en-US"/>
        </w:rPr>
      </w:pPr>
    </w:p>
    <w:p w14:paraId="041F36CF" w14:textId="77777777" w:rsidR="0041641C" w:rsidRPr="001D189C" w:rsidRDefault="0041641C" w:rsidP="0041641C">
      <w:pPr>
        <w:rPr>
          <w:sz w:val="28"/>
          <w:szCs w:val="24"/>
          <w:lang w:val="en-US"/>
        </w:rPr>
      </w:pPr>
    </w:p>
    <w:p w14:paraId="768CAC8A" w14:textId="77777777" w:rsidR="00564616" w:rsidRPr="004E38DC" w:rsidRDefault="00564616" w:rsidP="0041641C">
      <w:pPr>
        <w:spacing w:line="360" w:lineRule="auto"/>
        <w:jc w:val="both"/>
        <w:rPr>
          <w:rFonts w:ascii="Times New Roman" w:hAnsi="Times New Roman" w:cs="Times New Roman"/>
          <w:b/>
          <w:bCs/>
          <w:sz w:val="28"/>
          <w:szCs w:val="28"/>
          <w:lang w:val="en-US"/>
        </w:rPr>
      </w:pPr>
    </w:p>
    <w:p w14:paraId="3C864884" w14:textId="6F78561E" w:rsidR="0041641C" w:rsidRPr="001D189C" w:rsidRDefault="0041641C" w:rsidP="0041641C">
      <w:pPr>
        <w:spacing w:line="360" w:lineRule="auto"/>
        <w:jc w:val="both"/>
        <w:rPr>
          <w:rFonts w:ascii="Times New Roman" w:hAnsi="Times New Roman" w:cs="Times New Roman"/>
          <w:b/>
          <w:bCs/>
          <w:sz w:val="28"/>
          <w:szCs w:val="28"/>
          <w:lang w:val="en-US"/>
        </w:rPr>
      </w:pPr>
      <w:r w:rsidRPr="000C21A1">
        <w:rPr>
          <w:rFonts w:ascii="Times New Roman" w:hAnsi="Times New Roman" w:cs="Times New Roman"/>
          <w:b/>
          <w:bCs/>
          <w:sz w:val="28"/>
          <w:szCs w:val="28"/>
        </w:rPr>
        <w:lastRenderedPageBreak/>
        <w:t>Введение</w:t>
      </w:r>
    </w:p>
    <w:p w14:paraId="0698B4F7" w14:textId="77777777" w:rsidR="0041641C" w:rsidRPr="000C21A1" w:rsidRDefault="0041641C" w:rsidP="0041641C">
      <w:pPr>
        <w:spacing w:line="360" w:lineRule="auto"/>
        <w:jc w:val="both"/>
        <w:rPr>
          <w:rFonts w:ascii="Times New Roman" w:hAnsi="Times New Roman" w:cs="Times New Roman"/>
          <w:sz w:val="28"/>
          <w:szCs w:val="28"/>
        </w:rPr>
      </w:pPr>
      <w:r w:rsidRPr="000C21A1">
        <w:rPr>
          <w:rFonts w:ascii="Times New Roman" w:hAnsi="Times New Roman" w:cs="Times New Roman"/>
          <w:sz w:val="28"/>
          <w:szCs w:val="28"/>
        </w:rPr>
        <w:t>Медуллярный рак щитовидной железы (МРЩЖ) — это нейроэндокринная опухоль из парафолликулярных С-клеток щитовидной железы, вырабатывающих кальцитонин и составляющая 2-4% от всех карцином щитовидной железы. МРЩЖ может быть генетически детерминированным (20-25%) и спорадическим (75-80%). В первом случае медуллярная карцинома является одним из проявлений синдромов МЭН 2А (синдром Сиппла) или МЭН 2В (синдром Горлина), раньше также выделяли изолированную семейную форму МРЩЖ, однако в настоящее время её рассматривают как вариант МЭН 2А синдрома с изолированным поражением щитовидной железы.[1</w:t>
      </w:r>
      <w:r>
        <w:rPr>
          <w:rFonts w:ascii="Times New Roman" w:hAnsi="Times New Roman" w:cs="Times New Roman"/>
          <w:sz w:val="28"/>
          <w:szCs w:val="28"/>
        </w:rPr>
        <w:t>1</w:t>
      </w:r>
      <w:r w:rsidRPr="000C21A1">
        <w:rPr>
          <w:rFonts w:ascii="Times New Roman" w:hAnsi="Times New Roman" w:cs="Times New Roman"/>
          <w:sz w:val="28"/>
          <w:szCs w:val="28"/>
        </w:rPr>
        <w:t>] При этом в некоторых проведенных исследованиях было установлено, что спорадическая и наследственная формы имеют ряд отличительных особенностей в своём клиническом течении. Так, было замечено, что спорадическая форма по сравнению с наследственной имеет как правило большую частоту случаев инвазии в крупные сосуды, больший средний диаметр, более поздний возраст манифестации, большую частоту метастазирования в регионарные лимфоузлы и более низкий процент десятилетней выживаемости.[</w:t>
      </w:r>
      <w:r>
        <w:rPr>
          <w:rFonts w:ascii="Times New Roman" w:hAnsi="Times New Roman" w:cs="Times New Roman"/>
          <w:sz w:val="28"/>
          <w:szCs w:val="28"/>
        </w:rPr>
        <w:t>1</w:t>
      </w:r>
      <w:r w:rsidRPr="000C21A1">
        <w:rPr>
          <w:rFonts w:ascii="Times New Roman" w:hAnsi="Times New Roman" w:cs="Times New Roman"/>
          <w:sz w:val="28"/>
          <w:szCs w:val="28"/>
        </w:rPr>
        <w:t>] Однако наиболее значимым отличием спорадической формы является её односторонняя локализация, в то время как для наследственной формы характерно мультифокальное расположение опухолевых очагов. Учитывая особенность строения ненаследственной карциномы, есть основания полагать, что выполнение органосохраняющей операции при данной форме наиболее оптимально.[</w:t>
      </w:r>
      <w:r>
        <w:rPr>
          <w:rFonts w:ascii="Times New Roman" w:hAnsi="Times New Roman" w:cs="Times New Roman"/>
          <w:sz w:val="28"/>
          <w:szCs w:val="28"/>
        </w:rPr>
        <w:t>9</w:t>
      </w:r>
      <w:r w:rsidRPr="000C21A1">
        <w:rPr>
          <w:rFonts w:ascii="Times New Roman" w:hAnsi="Times New Roman" w:cs="Times New Roman"/>
          <w:sz w:val="28"/>
          <w:szCs w:val="28"/>
        </w:rPr>
        <w:t>]</w:t>
      </w:r>
    </w:p>
    <w:p w14:paraId="2B63265F" w14:textId="77777777" w:rsidR="0041641C" w:rsidRPr="000C21A1" w:rsidRDefault="0041641C" w:rsidP="0041641C">
      <w:pPr>
        <w:spacing w:line="360" w:lineRule="auto"/>
        <w:jc w:val="both"/>
        <w:rPr>
          <w:rFonts w:ascii="Times New Roman" w:hAnsi="Times New Roman" w:cs="Times New Roman"/>
          <w:sz w:val="28"/>
          <w:szCs w:val="28"/>
        </w:rPr>
      </w:pPr>
      <w:r w:rsidRPr="000C21A1">
        <w:rPr>
          <w:rFonts w:ascii="Times New Roman" w:hAnsi="Times New Roman" w:cs="Times New Roman"/>
          <w:sz w:val="28"/>
          <w:szCs w:val="28"/>
        </w:rPr>
        <w:t>Большинство как отечественных, так и зарубежных специалистов убеждены, что в независимости от формы медуллярного рака тиреоидэктомия является единственным возможным видом оперативного вмешательства. Однако с момента появления возможности проводить генотипирование пациентов с МРЩЖ накопились данные о том, что при спорадической форме гемитиреоидэктомия является радикальной операцией.</w:t>
      </w:r>
    </w:p>
    <w:p w14:paraId="15C3DEA9" w14:textId="77777777" w:rsidR="0041641C" w:rsidRPr="001C5029" w:rsidRDefault="0041641C" w:rsidP="0041641C">
      <w:pPr>
        <w:spacing w:line="360" w:lineRule="auto"/>
        <w:ind w:firstLine="709"/>
        <w:contextualSpacing/>
        <w:jc w:val="both"/>
        <w:rPr>
          <w:rFonts w:ascii="Times New Roman" w:hAnsi="Times New Roman" w:cs="Times New Roman"/>
          <w:sz w:val="28"/>
          <w:szCs w:val="28"/>
        </w:rPr>
      </w:pPr>
      <w:bookmarkStart w:id="3" w:name="_Hlk104470143"/>
      <w:r w:rsidRPr="001C5029">
        <w:rPr>
          <w:rFonts w:ascii="Times New Roman" w:hAnsi="Times New Roman" w:cs="Times New Roman"/>
          <w:sz w:val="28"/>
          <w:szCs w:val="28"/>
        </w:rPr>
        <w:lastRenderedPageBreak/>
        <w:t>Цель работы – обосновать возможность выполнения органосохраняющей операции пациентам без клинических признаков семейной формы</w:t>
      </w:r>
    </w:p>
    <w:p w14:paraId="1641AC33" w14:textId="77777777" w:rsidR="0041641C" w:rsidRPr="001C5029" w:rsidRDefault="0041641C" w:rsidP="0041641C">
      <w:pPr>
        <w:spacing w:line="360" w:lineRule="auto"/>
        <w:jc w:val="both"/>
        <w:rPr>
          <w:rFonts w:ascii="Times New Roman" w:hAnsi="Times New Roman" w:cs="Times New Roman"/>
          <w:sz w:val="28"/>
          <w:szCs w:val="28"/>
        </w:rPr>
      </w:pPr>
      <w:r w:rsidRPr="001C5029">
        <w:rPr>
          <w:rFonts w:ascii="Times New Roman" w:hAnsi="Times New Roman" w:cs="Times New Roman"/>
          <w:sz w:val="28"/>
          <w:szCs w:val="28"/>
        </w:rPr>
        <w:t>Задачи:</w:t>
      </w:r>
    </w:p>
    <w:p w14:paraId="7077D9D8" w14:textId="550496F9" w:rsidR="0041641C" w:rsidRPr="001C5029" w:rsidRDefault="0041641C" w:rsidP="0041641C">
      <w:pPr>
        <w:pStyle w:val="a9"/>
        <w:numPr>
          <w:ilvl w:val="0"/>
          <w:numId w:val="2"/>
        </w:numPr>
        <w:overflowPunct w:val="0"/>
        <w:autoSpaceDE w:val="0"/>
        <w:autoSpaceDN w:val="0"/>
        <w:adjustRightInd w:val="0"/>
        <w:spacing w:after="0"/>
        <w:textAlignment w:val="baseline"/>
        <w:rPr>
          <w:rFonts w:cs="Times New Roman"/>
          <w:sz w:val="28"/>
          <w:szCs w:val="28"/>
        </w:rPr>
      </w:pPr>
      <w:r w:rsidRPr="001C5029">
        <w:rPr>
          <w:rFonts w:cs="Times New Roman"/>
          <w:sz w:val="28"/>
          <w:szCs w:val="28"/>
        </w:rPr>
        <w:t>Ретроспективно оценить вероятность билатерального поражения щитовидной железы у пациентов с семейной и спорадической формами, а также, оценить чувствительность и специфичность УЗИ</w:t>
      </w:r>
      <w:r w:rsidR="00D25A01">
        <w:rPr>
          <w:rFonts w:cs="Times New Roman"/>
          <w:sz w:val="28"/>
          <w:szCs w:val="28"/>
        </w:rPr>
        <w:t xml:space="preserve"> </w:t>
      </w:r>
      <w:r w:rsidRPr="001C5029">
        <w:rPr>
          <w:rFonts w:cs="Times New Roman"/>
          <w:sz w:val="28"/>
          <w:szCs w:val="28"/>
        </w:rPr>
        <w:t>в предсказании семейной формы.</w:t>
      </w:r>
    </w:p>
    <w:p w14:paraId="40ED31F3" w14:textId="77777777" w:rsidR="0041641C" w:rsidRPr="001C5029" w:rsidRDefault="0041641C" w:rsidP="0041641C">
      <w:pPr>
        <w:pStyle w:val="a9"/>
        <w:numPr>
          <w:ilvl w:val="0"/>
          <w:numId w:val="2"/>
        </w:numPr>
        <w:overflowPunct w:val="0"/>
        <w:autoSpaceDE w:val="0"/>
        <w:autoSpaceDN w:val="0"/>
        <w:adjustRightInd w:val="0"/>
        <w:spacing w:after="0"/>
        <w:textAlignment w:val="baseline"/>
        <w:rPr>
          <w:rFonts w:cs="Times New Roman"/>
          <w:sz w:val="28"/>
          <w:szCs w:val="28"/>
        </w:rPr>
      </w:pPr>
      <w:r w:rsidRPr="001C5029">
        <w:rPr>
          <w:rFonts w:cs="Times New Roman"/>
          <w:sz w:val="28"/>
          <w:szCs w:val="28"/>
        </w:rPr>
        <w:t>Оценить результаты хирургического лечения пациентов, которым была выполнена гемитиреоидэктомия и сравнить их с контрольной группой.</w:t>
      </w:r>
    </w:p>
    <w:p w14:paraId="66A20221" w14:textId="77777777" w:rsidR="00352F53" w:rsidRPr="001C5029" w:rsidRDefault="00AE3E00" w:rsidP="0041641C">
      <w:pPr>
        <w:numPr>
          <w:ilvl w:val="0"/>
          <w:numId w:val="2"/>
        </w:numPr>
        <w:spacing w:line="360" w:lineRule="auto"/>
        <w:contextualSpacing/>
        <w:jc w:val="both"/>
        <w:rPr>
          <w:rFonts w:ascii="Times New Roman" w:hAnsi="Times New Roman" w:cs="Times New Roman"/>
          <w:sz w:val="28"/>
          <w:szCs w:val="28"/>
        </w:rPr>
      </w:pPr>
      <w:r w:rsidRPr="001C5029">
        <w:rPr>
          <w:rFonts w:ascii="Times New Roman" w:hAnsi="Times New Roman" w:cs="Times New Roman"/>
          <w:sz w:val="28"/>
          <w:szCs w:val="28"/>
        </w:rPr>
        <w:t>Оценить результаты хирургического лечения у пациентов с высоким уровнем риска</w:t>
      </w:r>
    </w:p>
    <w:bookmarkEnd w:id="3"/>
    <w:p w14:paraId="7038976F" w14:textId="77777777" w:rsidR="0041641C" w:rsidRPr="00352F53" w:rsidRDefault="0041641C" w:rsidP="0041641C">
      <w:pPr>
        <w:spacing w:line="360" w:lineRule="auto"/>
        <w:jc w:val="both"/>
        <w:rPr>
          <w:rFonts w:ascii="Times New Roman" w:hAnsi="Times New Roman" w:cs="Times New Roman"/>
          <w:sz w:val="28"/>
          <w:szCs w:val="28"/>
        </w:rPr>
      </w:pPr>
    </w:p>
    <w:p w14:paraId="4616694C" w14:textId="77777777" w:rsidR="0041641C" w:rsidRDefault="0041641C" w:rsidP="0041641C">
      <w:pPr>
        <w:spacing w:line="360" w:lineRule="auto"/>
        <w:jc w:val="both"/>
        <w:rPr>
          <w:rFonts w:ascii="Times New Roman" w:hAnsi="Times New Roman" w:cs="Times New Roman"/>
          <w:b/>
          <w:bCs/>
          <w:sz w:val="28"/>
          <w:szCs w:val="28"/>
        </w:rPr>
      </w:pPr>
    </w:p>
    <w:p w14:paraId="64D258B5" w14:textId="77777777" w:rsidR="0041641C" w:rsidRDefault="0041641C" w:rsidP="0041641C">
      <w:pPr>
        <w:spacing w:line="360" w:lineRule="auto"/>
        <w:jc w:val="both"/>
        <w:rPr>
          <w:rFonts w:ascii="Times New Roman" w:hAnsi="Times New Roman" w:cs="Times New Roman"/>
          <w:b/>
          <w:bCs/>
          <w:sz w:val="28"/>
          <w:szCs w:val="28"/>
        </w:rPr>
      </w:pPr>
    </w:p>
    <w:p w14:paraId="74A1F842" w14:textId="77777777" w:rsidR="0041641C" w:rsidRDefault="0041641C" w:rsidP="0041641C">
      <w:pPr>
        <w:spacing w:line="360" w:lineRule="auto"/>
        <w:rPr>
          <w:rFonts w:ascii="Times New Roman" w:hAnsi="Times New Roman" w:cs="Times New Roman"/>
          <w:b/>
          <w:bCs/>
          <w:sz w:val="28"/>
          <w:szCs w:val="28"/>
        </w:rPr>
      </w:pPr>
    </w:p>
    <w:p w14:paraId="04BDFA62" w14:textId="77777777" w:rsidR="0041641C" w:rsidRDefault="0041641C" w:rsidP="0041641C">
      <w:pPr>
        <w:spacing w:line="360" w:lineRule="auto"/>
        <w:rPr>
          <w:rFonts w:ascii="Times New Roman" w:hAnsi="Times New Roman" w:cs="Times New Roman"/>
          <w:b/>
          <w:bCs/>
          <w:sz w:val="28"/>
          <w:szCs w:val="28"/>
        </w:rPr>
      </w:pPr>
    </w:p>
    <w:p w14:paraId="073B4591" w14:textId="77777777" w:rsidR="0041641C" w:rsidRDefault="0041641C" w:rsidP="0041641C">
      <w:pPr>
        <w:spacing w:line="360" w:lineRule="auto"/>
        <w:rPr>
          <w:rFonts w:ascii="Times New Roman" w:hAnsi="Times New Roman" w:cs="Times New Roman"/>
          <w:b/>
          <w:bCs/>
          <w:sz w:val="28"/>
          <w:szCs w:val="28"/>
        </w:rPr>
      </w:pPr>
    </w:p>
    <w:p w14:paraId="54EA68DD" w14:textId="77777777" w:rsidR="00E775F5" w:rsidRDefault="00E775F5" w:rsidP="0041641C">
      <w:pPr>
        <w:spacing w:line="360" w:lineRule="auto"/>
        <w:jc w:val="both"/>
        <w:rPr>
          <w:rFonts w:ascii="Times New Roman" w:hAnsi="Times New Roman" w:cs="Times New Roman"/>
          <w:b/>
          <w:bCs/>
          <w:sz w:val="28"/>
          <w:szCs w:val="28"/>
        </w:rPr>
      </w:pPr>
    </w:p>
    <w:p w14:paraId="35288043" w14:textId="77777777" w:rsidR="00E775F5" w:rsidRDefault="00E775F5" w:rsidP="0041641C">
      <w:pPr>
        <w:spacing w:line="360" w:lineRule="auto"/>
        <w:jc w:val="both"/>
        <w:rPr>
          <w:rFonts w:ascii="Times New Roman" w:hAnsi="Times New Roman" w:cs="Times New Roman"/>
          <w:b/>
          <w:bCs/>
          <w:sz w:val="28"/>
          <w:szCs w:val="28"/>
        </w:rPr>
      </w:pPr>
    </w:p>
    <w:p w14:paraId="7AC5932C" w14:textId="77777777" w:rsidR="00E775F5" w:rsidRDefault="00E775F5" w:rsidP="0041641C">
      <w:pPr>
        <w:spacing w:line="360" w:lineRule="auto"/>
        <w:jc w:val="both"/>
        <w:rPr>
          <w:rFonts w:ascii="Times New Roman" w:hAnsi="Times New Roman" w:cs="Times New Roman"/>
          <w:b/>
          <w:bCs/>
          <w:sz w:val="28"/>
          <w:szCs w:val="28"/>
        </w:rPr>
      </w:pPr>
    </w:p>
    <w:p w14:paraId="4B1E9287" w14:textId="77777777" w:rsidR="00E775F5" w:rsidRDefault="00E775F5" w:rsidP="0041641C">
      <w:pPr>
        <w:spacing w:line="360" w:lineRule="auto"/>
        <w:jc w:val="both"/>
        <w:rPr>
          <w:rFonts w:ascii="Times New Roman" w:hAnsi="Times New Roman" w:cs="Times New Roman"/>
          <w:b/>
          <w:bCs/>
          <w:sz w:val="28"/>
          <w:szCs w:val="28"/>
        </w:rPr>
      </w:pPr>
    </w:p>
    <w:p w14:paraId="7B7BA902" w14:textId="77777777" w:rsidR="00E775F5" w:rsidRDefault="00E775F5" w:rsidP="0041641C">
      <w:pPr>
        <w:spacing w:line="360" w:lineRule="auto"/>
        <w:jc w:val="both"/>
        <w:rPr>
          <w:rFonts w:ascii="Times New Roman" w:hAnsi="Times New Roman" w:cs="Times New Roman"/>
          <w:b/>
          <w:bCs/>
          <w:sz w:val="28"/>
          <w:szCs w:val="28"/>
        </w:rPr>
      </w:pPr>
    </w:p>
    <w:p w14:paraId="37938E45" w14:textId="77777777" w:rsidR="00564616" w:rsidRDefault="00564616" w:rsidP="0041641C">
      <w:pPr>
        <w:spacing w:line="360" w:lineRule="auto"/>
        <w:jc w:val="both"/>
        <w:rPr>
          <w:rFonts w:ascii="Times New Roman" w:hAnsi="Times New Roman" w:cs="Times New Roman"/>
          <w:b/>
          <w:bCs/>
          <w:sz w:val="28"/>
          <w:szCs w:val="28"/>
        </w:rPr>
      </w:pPr>
    </w:p>
    <w:p w14:paraId="659544AC" w14:textId="77777777" w:rsidR="00564616" w:rsidRDefault="00564616" w:rsidP="0041641C">
      <w:pPr>
        <w:spacing w:line="360" w:lineRule="auto"/>
        <w:jc w:val="both"/>
        <w:rPr>
          <w:rFonts w:ascii="Times New Roman" w:hAnsi="Times New Roman" w:cs="Times New Roman"/>
          <w:b/>
          <w:bCs/>
          <w:sz w:val="28"/>
          <w:szCs w:val="28"/>
        </w:rPr>
      </w:pPr>
    </w:p>
    <w:p w14:paraId="0856BF44" w14:textId="32C5B3F3" w:rsidR="0041641C" w:rsidRDefault="0041641C" w:rsidP="0041641C">
      <w:pPr>
        <w:spacing w:line="360" w:lineRule="auto"/>
        <w:jc w:val="both"/>
        <w:rPr>
          <w:rFonts w:ascii="Times New Roman" w:hAnsi="Times New Roman" w:cs="Times New Roman"/>
          <w:b/>
          <w:bCs/>
          <w:sz w:val="28"/>
          <w:szCs w:val="28"/>
        </w:rPr>
      </w:pPr>
      <w:r w:rsidRPr="008E5734">
        <w:rPr>
          <w:rFonts w:ascii="Times New Roman" w:hAnsi="Times New Roman" w:cs="Times New Roman"/>
          <w:b/>
          <w:bCs/>
          <w:sz w:val="28"/>
          <w:szCs w:val="28"/>
        </w:rPr>
        <w:lastRenderedPageBreak/>
        <w:t>Глава 1. Обзор литературы</w:t>
      </w:r>
    </w:p>
    <w:p w14:paraId="02F44F46" w14:textId="77777777" w:rsidR="0041641C" w:rsidRDefault="0041641C" w:rsidP="0041641C">
      <w:pPr>
        <w:pStyle w:val="a9"/>
        <w:numPr>
          <w:ilvl w:val="1"/>
          <w:numId w:val="3"/>
        </w:numPr>
        <w:rPr>
          <w:rFonts w:cs="Times New Roman"/>
          <w:b/>
          <w:bCs/>
          <w:sz w:val="28"/>
          <w:szCs w:val="28"/>
        </w:rPr>
      </w:pPr>
      <w:r w:rsidRPr="008E5734">
        <w:rPr>
          <w:rFonts w:cs="Times New Roman"/>
          <w:b/>
          <w:bCs/>
          <w:sz w:val="28"/>
          <w:szCs w:val="28"/>
        </w:rPr>
        <w:t>Этиология и патогенез</w:t>
      </w:r>
    </w:p>
    <w:p w14:paraId="73AA7C66" w14:textId="3C290C2D" w:rsidR="0041641C" w:rsidRPr="00E775F5" w:rsidRDefault="0041641C" w:rsidP="0041641C">
      <w:pPr>
        <w:spacing w:line="360" w:lineRule="auto"/>
        <w:jc w:val="both"/>
        <w:rPr>
          <w:rFonts w:ascii="Times New Roman" w:hAnsi="Times New Roman"/>
          <w:sz w:val="28"/>
          <w:szCs w:val="28"/>
        </w:rPr>
      </w:pPr>
      <w:r w:rsidRPr="008E5734">
        <w:rPr>
          <w:rFonts w:ascii="Times New Roman" w:hAnsi="Times New Roman"/>
          <w:sz w:val="28"/>
          <w:szCs w:val="28"/>
        </w:rPr>
        <w:t xml:space="preserve">Наследственная карцинома обусловлена мутациями гена </w:t>
      </w:r>
      <w:r w:rsidRPr="008E5734">
        <w:rPr>
          <w:rFonts w:ascii="Times New Roman" w:hAnsi="Times New Roman"/>
          <w:sz w:val="28"/>
          <w:szCs w:val="28"/>
          <w:lang w:val="en-US"/>
        </w:rPr>
        <w:t>RET</w:t>
      </w:r>
      <w:r w:rsidRPr="008E5734">
        <w:rPr>
          <w:rFonts w:ascii="Times New Roman" w:hAnsi="Times New Roman"/>
          <w:sz w:val="28"/>
          <w:szCs w:val="28"/>
        </w:rPr>
        <w:t xml:space="preserve"> длинного плеча десятой хромосомы (10</w:t>
      </w:r>
      <w:r w:rsidRPr="008E5734">
        <w:rPr>
          <w:rFonts w:ascii="Times New Roman" w:hAnsi="Times New Roman"/>
          <w:sz w:val="28"/>
          <w:szCs w:val="28"/>
          <w:lang w:val="en-US"/>
        </w:rPr>
        <w:t>q</w:t>
      </w:r>
      <w:r w:rsidRPr="008E5734">
        <w:rPr>
          <w:rFonts w:ascii="Times New Roman" w:hAnsi="Times New Roman"/>
          <w:sz w:val="28"/>
          <w:szCs w:val="28"/>
        </w:rPr>
        <w:t xml:space="preserve">11.2) и приводит к неправильному синтезу рецептора тирозинкиназы, активация которого приводит к бесконтрольной пролиферации </w:t>
      </w:r>
      <w:r w:rsidRPr="008E5734">
        <w:rPr>
          <w:rFonts w:ascii="Times New Roman" w:hAnsi="Times New Roman"/>
          <w:sz w:val="28"/>
          <w:szCs w:val="28"/>
          <w:lang w:val="en-US"/>
        </w:rPr>
        <w:t>C</w:t>
      </w:r>
      <w:r w:rsidRPr="008E5734">
        <w:rPr>
          <w:rFonts w:ascii="Times New Roman" w:hAnsi="Times New Roman"/>
          <w:sz w:val="28"/>
          <w:szCs w:val="28"/>
        </w:rPr>
        <w:t>-клеток щитовидной железы</w:t>
      </w:r>
      <w:r w:rsidRPr="00056D91">
        <w:rPr>
          <w:rFonts w:ascii="Times New Roman" w:hAnsi="Times New Roman"/>
          <w:sz w:val="28"/>
          <w:szCs w:val="28"/>
        </w:rPr>
        <w:t xml:space="preserve"> </w:t>
      </w:r>
      <w:r w:rsidRPr="00295960">
        <w:rPr>
          <w:rFonts w:ascii="Times New Roman" w:hAnsi="Times New Roman"/>
          <w:sz w:val="28"/>
          <w:szCs w:val="28"/>
        </w:rPr>
        <w:t>[1</w:t>
      </w:r>
      <w:r w:rsidRPr="00D42137">
        <w:rPr>
          <w:rFonts w:ascii="Times New Roman" w:hAnsi="Times New Roman"/>
          <w:sz w:val="28"/>
          <w:szCs w:val="28"/>
        </w:rPr>
        <w:t>2]</w:t>
      </w:r>
      <w:r>
        <w:rPr>
          <w:rFonts w:ascii="Times New Roman" w:hAnsi="Times New Roman"/>
          <w:sz w:val="28"/>
          <w:szCs w:val="28"/>
        </w:rPr>
        <w:t xml:space="preserve">. При этом было установлено, что наследственная форма в отличие от спорадической развивается как правило на фоне С-клеточной гиперплазии </w:t>
      </w:r>
      <w:r w:rsidRPr="00056D91">
        <w:rPr>
          <w:rFonts w:ascii="Times New Roman" w:hAnsi="Times New Roman"/>
          <w:sz w:val="28"/>
          <w:szCs w:val="28"/>
        </w:rPr>
        <w:t>[6]</w:t>
      </w:r>
      <w:r w:rsidRPr="008F5474">
        <w:rPr>
          <w:rFonts w:ascii="Times New Roman" w:hAnsi="Times New Roman"/>
          <w:sz w:val="28"/>
          <w:szCs w:val="28"/>
        </w:rPr>
        <w:t>[13]</w:t>
      </w:r>
      <w:r>
        <w:rPr>
          <w:rFonts w:ascii="Times New Roman" w:hAnsi="Times New Roman"/>
          <w:sz w:val="28"/>
          <w:szCs w:val="28"/>
        </w:rPr>
        <w:t xml:space="preserve">. </w:t>
      </w:r>
      <w:r w:rsidRPr="008E5734">
        <w:rPr>
          <w:rFonts w:ascii="Times New Roman" w:hAnsi="Times New Roman"/>
          <w:sz w:val="28"/>
          <w:szCs w:val="28"/>
        </w:rPr>
        <w:t xml:space="preserve">Ген </w:t>
      </w:r>
      <w:r w:rsidRPr="008E5734">
        <w:rPr>
          <w:rFonts w:ascii="Times New Roman" w:hAnsi="Times New Roman"/>
          <w:sz w:val="28"/>
          <w:szCs w:val="28"/>
          <w:lang w:val="en-US"/>
        </w:rPr>
        <w:t>RET</w:t>
      </w:r>
      <w:r w:rsidRPr="008E5734">
        <w:rPr>
          <w:rFonts w:ascii="Times New Roman" w:hAnsi="Times New Roman"/>
          <w:sz w:val="28"/>
          <w:szCs w:val="28"/>
        </w:rPr>
        <w:t xml:space="preserve"> функционирует в разных тканях, вследствие чего развивается синдром множественной эндокринной неоплазии второго типа</w:t>
      </w:r>
      <w:r w:rsidRPr="00B342D1">
        <w:rPr>
          <w:rFonts w:ascii="Times New Roman" w:hAnsi="Times New Roman"/>
          <w:sz w:val="28"/>
          <w:szCs w:val="28"/>
        </w:rPr>
        <w:t xml:space="preserve"> [12]</w:t>
      </w:r>
      <w:r>
        <w:rPr>
          <w:rFonts w:ascii="Times New Roman" w:hAnsi="Times New Roman"/>
          <w:sz w:val="28"/>
          <w:szCs w:val="28"/>
        </w:rPr>
        <w:t xml:space="preserve">, его мутация может передаваться по наследству или же возникать </w:t>
      </w:r>
      <w:r>
        <w:rPr>
          <w:rFonts w:ascii="Times New Roman" w:hAnsi="Times New Roman"/>
          <w:sz w:val="28"/>
          <w:szCs w:val="28"/>
          <w:lang w:val="en-US"/>
        </w:rPr>
        <w:t>de</w:t>
      </w:r>
      <w:r w:rsidRPr="00C81578">
        <w:rPr>
          <w:rFonts w:ascii="Times New Roman" w:hAnsi="Times New Roman"/>
          <w:sz w:val="28"/>
          <w:szCs w:val="28"/>
        </w:rPr>
        <w:t>-</w:t>
      </w:r>
      <w:r>
        <w:rPr>
          <w:rFonts w:ascii="Times New Roman" w:hAnsi="Times New Roman"/>
          <w:sz w:val="28"/>
          <w:szCs w:val="28"/>
          <w:lang w:val="en-US"/>
        </w:rPr>
        <w:t>novo</w:t>
      </w:r>
      <w:r w:rsidRPr="00C81578">
        <w:rPr>
          <w:rFonts w:ascii="Times New Roman" w:hAnsi="Times New Roman"/>
          <w:sz w:val="28"/>
          <w:szCs w:val="28"/>
        </w:rPr>
        <w:t>.</w:t>
      </w:r>
      <w:r w:rsidRPr="00786026">
        <w:rPr>
          <w:rFonts w:ascii="Times New Roman" w:hAnsi="Times New Roman"/>
          <w:sz w:val="28"/>
          <w:szCs w:val="28"/>
        </w:rPr>
        <w:t xml:space="preserve"> </w:t>
      </w:r>
      <w:r>
        <w:rPr>
          <w:rFonts w:ascii="Times New Roman" w:hAnsi="Times New Roman"/>
          <w:sz w:val="28"/>
          <w:szCs w:val="28"/>
        </w:rPr>
        <w:t xml:space="preserve">В проведённых исследованиях было установлено, что мутации </w:t>
      </w:r>
      <w:r>
        <w:rPr>
          <w:rFonts w:ascii="Times New Roman" w:hAnsi="Times New Roman"/>
          <w:sz w:val="28"/>
          <w:szCs w:val="28"/>
          <w:lang w:val="en-US"/>
        </w:rPr>
        <w:t>de</w:t>
      </w:r>
      <w:r w:rsidRPr="00786026">
        <w:rPr>
          <w:rFonts w:ascii="Times New Roman" w:hAnsi="Times New Roman"/>
          <w:sz w:val="28"/>
          <w:szCs w:val="28"/>
        </w:rPr>
        <w:t>-</w:t>
      </w:r>
      <w:r>
        <w:rPr>
          <w:rFonts w:ascii="Times New Roman" w:hAnsi="Times New Roman"/>
          <w:sz w:val="28"/>
          <w:szCs w:val="28"/>
          <w:lang w:val="en-US"/>
        </w:rPr>
        <w:t>novo</w:t>
      </w:r>
      <w:r>
        <w:rPr>
          <w:rFonts w:ascii="Times New Roman" w:hAnsi="Times New Roman"/>
          <w:sz w:val="28"/>
          <w:szCs w:val="28"/>
        </w:rPr>
        <w:t xml:space="preserve"> наблюдаются в 4-10% случаев при МЭН 2А и большинстве случаев МЭН 2В синдрома</w:t>
      </w:r>
      <w:r w:rsidRPr="00DE2763">
        <w:rPr>
          <w:rFonts w:ascii="Times New Roman" w:hAnsi="Times New Roman"/>
          <w:sz w:val="28"/>
          <w:szCs w:val="28"/>
        </w:rPr>
        <w:t xml:space="preserve"> [13]. </w:t>
      </w:r>
      <w:r w:rsidRPr="008E5734">
        <w:rPr>
          <w:rFonts w:ascii="Times New Roman" w:hAnsi="Times New Roman"/>
          <w:sz w:val="28"/>
          <w:szCs w:val="28"/>
        </w:rPr>
        <w:t>При этом сам ген</w:t>
      </w:r>
      <w:r w:rsidRPr="00DE2763">
        <w:rPr>
          <w:rFonts w:ascii="Times New Roman" w:hAnsi="Times New Roman"/>
          <w:sz w:val="28"/>
          <w:szCs w:val="28"/>
        </w:rPr>
        <w:t xml:space="preserve"> </w:t>
      </w:r>
      <w:r>
        <w:rPr>
          <w:rFonts w:ascii="Times New Roman" w:hAnsi="Times New Roman"/>
          <w:sz w:val="28"/>
          <w:szCs w:val="28"/>
          <w:lang w:val="en-US"/>
        </w:rPr>
        <w:t>RET</w:t>
      </w:r>
      <w:r w:rsidRPr="008E5734">
        <w:rPr>
          <w:rFonts w:ascii="Times New Roman" w:hAnsi="Times New Roman"/>
          <w:sz w:val="28"/>
          <w:szCs w:val="28"/>
        </w:rPr>
        <w:t xml:space="preserve"> состоит 12 экзонов и разновидность МЭН синдрома и его проявление зависит от того в каких именно экзонах произошли мутации, их фенотипической пенетрантности. Так, из наследственных форм наиболее часто встречается МЭН 2А синдром</w:t>
      </w:r>
      <w:r>
        <w:rPr>
          <w:rFonts w:ascii="Times New Roman" w:hAnsi="Times New Roman"/>
          <w:sz w:val="28"/>
          <w:szCs w:val="28"/>
        </w:rPr>
        <w:t xml:space="preserve"> </w:t>
      </w:r>
      <w:r w:rsidRPr="00295960">
        <w:rPr>
          <w:rFonts w:ascii="Times New Roman" w:hAnsi="Times New Roman"/>
          <w:sz w:val="28"/>
          <w:szCs w:val="28"/>
        </w:rPr>
        <w:t>[1</w:t>
      </w:r>
      <w:r w:rsidRPr="00D42137">
        <w:rPr>
          <w:rFonts w:ascii="Times New Roman" w:hAnsi="Times New Roman"/>
          <w:sz w:val="28"/>
          <w:szCs w:val="28"/>
        </w:rPr>
        <w:t>2]</w:t>
      </w:r>
      <w:r w:rsidRPr="008E5734">
        <w:rPr>
          <w:rFonts w:ascii="Times New Roman" w:hAnsi="Times New Roman"/>
          <w:sz w:val="28"/>
          <w:szCs w:val="28"/>
        </w:rPr>
        <w:t xml:space="preserve">. Спорадическая медуллярная карцинома может быть обусловлена </w:t>
      </w:r>
      <w:r w:rsidRPr="008E5734">
        <w:rPr>
          <w:rFonts w:ascii="Times New Roman" w:hAnsi="Times New Roman"/>
          <w:sz w:val="28"/>
          <w:szCs w:val="28"/>
          <w:lang w:val="en-US"/>
        </w:rPr>
        <w:t>H</w:t>
      </w:r>
      <w:r w:rsidRPr="008E5734">
        <w:rPr>
          <w:rFonts w:ascii="Times New Roman" w:hAnsi="Times New Roman"/>
          <w:sz w:val="28"/>
          <w:szCs w:val="28"/>
        </w:rPr>
        <w:t>-</w:t>
      </w:r>
      <w:r w:rsidRPr="008E5734">
        <w:rPr>
          <w:rFonts w:ascii="Times New Roman" w:hAnsi="Times New Roman"/>
          <w:sz w:val="28"/>
          <w:szCs w:val="28"/>
          <w:lang w:val="en-US"/>
        </w:rPr>
        <w:t>RAS</w:t>
      </w:r>
      <w:r w:rsidRPr="008E5734">
        <w:rPr>
          <w:rFonts w:ascii="Times New Roman" w:hAnsi="Times New Roman"/>
          <w:sz w:val="28"/>
          <w:szCs w:val="28"/>
        </w:rPr>
        <w:t xml:space="preserve">, </w:t>
      </w:r>
      <w:r w:rsidRPr="008E5734">
        <w:rPr>
          <w:rFonts w:ascii="Times New Roman" w:hAnsi="Times New Roman"/>
          <w:sz w:val="28"/>
          <w:szCs w:val="28"/>
          <w:lang w:val="en-US"/>
        </w:rPr>
        <w:t>K</w:t>
      </w:r>
      <w:r w:rsidRPr="008E5734">
        <w:rPr>
          <w:rFonts w:ascii="Times New Roman" w:hAnsi="Times New Roman"/>
          <w:sz w:val="28"/>
          <w:szCs w:val="28"/>
        </w:rPr>
        <w:t>-</w:t>
      </w:r>
      <w:r w:rsidRPr="008E5734">
        <w:rPr>
          <w:rFonts w:ascii="Times New Roman" w:hAnsi="Times New Roman"/>
          <w:sz w:val="28"/>
          <w:szCs w:val="28"/>
          <w:lang w:val="en-US"/>
        </w:rPr>
        <w:t>RAS</w:t>
      </w:r>
      <w:r w:rsidRPr="008E5734">
        <w:rPr>
          <w:rFonts w:ascii="Times New Roman" w:hAnsi="Times New Roman"/>
          <w:sz w:val="28"/>
          <w:szCs w:val="28"/>
        </w:rPr>
        <w:t xml:space="preserve">, </w:t>
      </w:r>
      <w:r w:rsidRPr="008E5734">
        <w:rPr>
          <w:rFonts w:ascii="Times New Roman" w:hAnsi="Times New Roman"/>
          <w:sz w:val="28"/>
          <w:szCs w:val="28"/>
          <w:lang w:val="en-US"/>
        </w:rPr>
        <w:t>N</w:t>
      </w:r>
      <w:r w:rsidRPr="008E5734">
        <w:rPr>
          <w:rFonts w:ascii="Times New Roman" w:hAnsi="Times New Roman"/>
          <w:sz w:val="28"/>
          <w:szCs w:val="28"/>
        </w:rPr>
        <w:t>-</w:t>
      </w:r>
      <w:r w:rsidRPr="008E5734">
        <w:rPr>
          <w:rFonts w:ascii="Times New Roman" w:hAnsi="Times New Roman"/>
          <w:sz w:val="28"/>
          <w:szCs w:val="28"/>
          <w:lang w:val="en-US"/>
        </w:rPr>
        <w:t>RAS</w:t>
      </w:r>
      <w:r>
        <w:rPr>
          <w:rFonts w:ascii="Times New Roman" w:hAnsi="Times New Roman"/>
          <w:sz w:val="28"/>
          <w:szCs w:val="28"/>
        </w:rPr>
        <w:t xml:space="preserve"> </w:t>
      </w:r>
      <w:r w:rsidRPr="008E5734">
        <w:rPr>
          <w:rFonts w:ascii="Times New Roman" w:hAnsi="Times New Roman"/>
          <w:sz w:val="28"/>
          <w:szCs w:val="28"/>
        </w:rPr>
        <w:t xml:space="preserve">и </w:t>
      </w:r>
      <w:r w:rsidRPr="008E5734">
        <w:rPr>
          <w:rFonts w:ascii="Times New Roman" w:hAnsi="Times New Roman"/>
          <w:sz w:val="28"/>
          <w:szCs w:val="28"/>
          <w:lang w:val="en-US"/>
        </w:rPr>
        <w:t>RET</w:t>
      </w:r>
      <w:r w:rsidRPr="008E5734">
        <w:rPr>
          <w:rFonts w:ascii="Times New Roman" w:hAnsi="Times New Roman"/>
          <w:sz w:val="28"/>
          <w:szCs w:val="28"/>
        </w:rPr>
        <w:t xml:space="preserve"> мутациями</w:t>
      </w:r>
      <w:r>
        <w:rPr>
          <w:rFonts w:ascii="Times New Roman" w:hAnsi="Times New Roman"/>
          <w:sz w:val="28"/>
          <w:szCs w:val="28"/>
        </w:rPr>
        <w:t xml:space="preserve">. При этом во всех случаях семейные формы связаны с герминогенной мутацией гена </w:t>
      </w:r>
      <w:r>
        <w:rPr>
          <w:rFonts w:ascii="Times New Roman" w:hAnsi="Times New Roman"/>
          <w:sz w:val="28"/>
          <w:szCs w:val="28"/>
          <w:lang w:val="en-US"/>
        </w:rPr>
        <w:t>RET</w:t>
      </w:r>
      <w:r>
        <w:rPr>
          <w:rFonts w:ascii="Times New Roman" w:hAnsi="Times New Roman"/>
          <w:sz w:val="28"/>
          <w:szCs w:val="28"/>
        </w:rPr>
        <w:t xml:space="preserve"> в то время, как только 50% спорадических форм связаны с соматическими </w:t>
      </w:r>
      <w:r>
        <w:rPr>
          <w:rFonts w:ascii="Times New Roman" w:hAnsi="Times New Roman"/>
          <w:sz w:val="28"/>
          <w:szCs w:val="28"/>
          <w:lang w:val="en-US"/>
        </w:rPr>
        <w:t>RET</w:t>
      </w:r>
      <w:r w:rsidRPr="001055B8">
        <w:rPr>
          <w:rFonts w:ascii="Times New Roman" w:hAnsi="Times New Roman"/>
          <w:sz w:val="28"/>
          <w:szCs w:val="28"/>
        </w:rPr>
        <w:t>-</w:t>
      </w:r>
      <w:r>
        <w:rPr>
          <w:rFonts w:ascii="Times New Roman" w:hAnsi="Times New Roman"/>
          <w:sz w:val="28"/>
          <w:szCs w:val="28"/>
        </w:rPr>
        <w:t xml:space="preserve">мутациями. У пациентов с отсутствием соматической мутацией </w:t>
      </w:r>
      <w:r>
        <w:rPr>
          <w:rFonts w:ascii="Times New Roman" w:hAnsi="Times New Roman"/>
          <w:sz w:val="28"/>
          <w:szCs w:val="28"/>
          <w:lang w:val="en-US"/>
        </w:rPr>
        <w:t>RET</w:t>
      </w:r>
      <w:r>
        <w:rPr>
          <w:rFonts w:ascii="Times New Roman" w:hAnsi="Times New Roman"/>
          <w:sz w:val="28"/>
          <w:szCs w:val="28"/>
        </w:rPr>
        <w:t xml:space="preserve"> обнаруживаются мутации </w:t>
      </w:r>
      <w:r w:rsidRPr="008E5734">
        <w:rPr>
          <w:rFonts w:ascii="Times New Roman" w:hAnsi="Times New Roman"/>
          <w:sz w:val="28"/>
          <w:szCs w:val="28"/>
          <w:lang w:val="en-US"/>
        </w:rPr>
        <w:t>H</w:t>
      </w:r>
      <w:r w:rsidRPr="008E5734">
        <w:rPr>
          <w:rFonts w:ascii="Times New Roman" w:hAnsi="Times New Roman"/>
          <w:sz w:val="28"/>
          <w:szCs w:val="28"/>
        </w:rPr>
        <w:t>-</w:t>
      </w:r>
      <w:r w:rsidRPr="008E5734">
        <w:rPr>
          <w:rFonts w:ascii="Times New Roman" w:hAnsi="Times New Roman"/>
          <w:sz w:val="28"/>
          <w:szCs w:val="28"/>
          <w:lang w:val="en-US"/>
        </w:rPr>
        <w:t>RAS</w:t>
      </w:r>
      <w:r w:rsidRPr="008E5734">
        <w:rPr>
          <w:rFonts w:ascii="Times New Roman" w:hAnsi="Times New Roman"/>
          <w:sz w:val="28"/>
          <w:szCs w:val="28"/>
        </w:rPr>
        <w:t xml:space="preserve">, </w:t>
      </w:r>
      <w:r w:rsidRPr="008E5734">
        <w:rPr>
          <w:rFonts w:ascii="Times New Roman" w:hAnsi="Times New Roman"/>
          <w:sz w:val="28"/>
          <w:szCs w:val="28"/>
          <w:lang w:val="en-US"/>
        </w:rPr>
        <w:t>K</w:t>
      </w:r>
      <w:r w:rsidRPr="008E5734">
        <w:rPr>
          <w:rFonts w:ascii="Times New Roman" w:hAnsi="Times New Roman"/>
          <w:sz w:val="28"/>
          <w:szCs w:val="28"/>
        </w:rPr>
        <w:t>-</w:t>
      </w:r>
      <w:r w:rsidRPr="008E5734">
        <w:rPr>
          <w:rFonts w:ascii="Times New Roman" w:hAnsi="Times New Roman"/>
          <w:sz w:val="28"/>
          <w:szCs w:val="28"/>
          <w:lang w:val="en-US"/>
        </w:rPr>
        <w:t>RAS</w:t>
      </w:r>
      <w:r>
        <w:rPr>
          <w:rFonts w:ascii="Times New Roman" w:hAnsi="Times New Roman"/>
          <w:sz w:val="28"/>
          <w:szCs w:val="28"/>
        </w:rPr>
        <w:t xml:space="preserve"> и </w:t>
      </w:r>
      <w:r w:rsidRPr="008E5734">
        <w:rPr>
          <w:rFonts w:ascii="Times New Roman" w:hAnsi="Times New Roman"/>
          <w:sz w:val="28"/>
          <w:szCs w:val="28"/>
          <w:lang w:val="en-US"/>
        </w:rPr>
        <w:t>N</w:t>
      </w:r>
      <w:r w:rsidRPr="008E5734">
        <w:rPr>
          <w:rFonts w:ascii="Times New Roman" w:hAnsi="Times New Roman"/>
          <w:sz w:val="28"/>
          <w:szCs w:val="28"/>
        </w:rPr>
        <w:t>-</w:t>
      </w:r>
      <w:r w:rsidRPr="008E5734">
        <w:rPr>
          <w:rFonts w:ascii="Times New Roman" w:hAnsi="Times New Roman"/>
          <w:sz w:val="28"/>
          <w:szCs w:val="28"/>
          <w:lang w:val="en-US"/>
        </w:rPr>
        <w:t>RAS</w:t>
      </w:r>
      <w:r>
        <w:rPr>
          <w:rFonts w:ascii="Times New Roman" w:hAnsi="Times New Roman"/>
          <w:sz w:val="28"/>
          <w:szCs w:val="28"/>
        </w:rPr>
        <w:t xml:space="preserve"> в 18-80% случаев. Б</w:t>
      </w:r>
      <w:r w:rsidRPr="008E5734">
        <w:rPr>
          <w:rFonts w:ascii="Times New Roman" w:hAnsi="Times New Roman"/>
          <w:sz w:val="28"/>
          <w:szCs w:val="28"/>
        </w:rPr>
        <w:t xml:space="preserve">ыло установлено, что наличие </w:t>
      </w:r>
      <w:r>
        <w:rPr>
          <w:rFonts w:ascii="Times New Roman" w:hAnsi="Times New Roman"/>
          <w:sz w:val="28"/>
          <w:szCs w:val="28"/>
          <w:lang w:val="en-US"/>
        </w:rPr>
        <w:t>RET</w:t>
      </w:r>
      <w:r w:rsidRPr="00D36987">
        <w:rPr>
          <w:rFonts w:ascii="Times New Roman" w:hAnsi="Times New Roman"/>
          <w:sz w:val="28"/>
          <w:szCs w:val="28"/>
        </w:rPr>
        <w:t>-</w:t>
      </w:r>
      <w:r w:rsidRPr="008E5734">
        <w:rPr>
          <w:rFonts w:ascii="Times New Roman" w:hAnsi="Times New Roman"/>
          <w:sz w:val="28"/>
          <w:szCs w:val="28"/>
        </w:rPr>
        <w:t xml:space="preserve">мутации в кодоне М918Т приводит к более агрессивному течению рака и плохому прогнозу. Были проведены исследования, в которых было установлено, что чем больше размер диагностированной спорадической медуллярной карциномы, тем больше вероятность наличия </w:t>
      </w:r>
      <w:r w:rsidRPr="008E5734">
        <w:rPr>
          <w:rFonts w:ascii="Times New Roman" w:hAnsi="Times New Roman"/>
          <w:sz w:val="28"/>
          <w:szCs w:val="28"/>
          <w:lang w:val="en-US"/>
        </w:rPr>
        <w:t>RET</w:t>
      </w:r>
      <w:r w:rsidRPr="008E5734">
        <w:rPr>
          <w:rFonts w:ascii="Times New Roman" w:hAnsi="Times New Roman"/>
          <w:sz w:val="28"/>
          <w:szCs w:val="28"/>
        </w:rPr>
        <w:t>-мутации у пациента</w:t>
      </w:r>
      <w:r w:rsidRPr="00B729AF">
        <w:rPr>
          <w:rFonts w:ascii="Times New Roman" w:hAnsi="Times New Roman"/>
          <w:sz w:val="28"/>
          <w:szCs w:val="28"/>
        </w:rPr>
        <w:t xml:space="preserve"> [11]</w:t>
      </w:r>
      <w:r w:rsidRPr="008E5734">
        <w:rPr>
          <w:rFonts w:ascii="Times New Roman" w:hAnsi="Times New Roman"/>
          <w:sz w:val="28"/>
          <w:szCs w:val="28"/>
        </w:rPr>
        <w:t>.</w:t>
      </w:r>
      <w:r w:rsidRPr="008B0D75">
        <w:rPr>
          <w:rFonts w:ascii="Times New Roman" w:hAnsi="Times New Roman"/>
          <w:sz w:val="28"/>
          <w:szCs w:val="28"/>
        </w:rPr>
        <w:t xml:space="preserve"> </w:t>
      </w:r>
    </w:p>
    <w:p w14:paraId="18630EDD" w14:textId="77777777" w:rsidR="00E775F5" w:rsidRDefault="00E775F5" w:rsidP="0041641C">
      <w:pPr>
        <w:spacing w:line="360" w:lineRule="auto"/>
        <w:jc w:val="both"/>
        <w:rPr>
          <w:rFonts w:ascii="Times New Roman" w:hAnsi="Times New Roman" w:cs="Times New Roman"/>
          <w:b/>
          <w:bCs/>
          <w:sz w:val="28"/>
          <w:szCs w:val="28"/>
        </w:rPr>
      </w:pPr>
    </w:p>
    <w:p w14:paraId="6E734166" w14:textId="78636693" w:rsidR="0041641C" w:rsidRPr="00DA1E8C" w:rsidRDefault="0041641C" w:rsidP="0041641C">
      <w:pPr>
        <w:spacing w:line="360" w:lineRule="auto"/>
        <w:jc w:val="both"/>
        <w:rPr>
          <w:rFonts w:ascii="Times New Roman" w:hAnsi="Times New Roman" w:cs="Times New Roman"/>
          <w:b/>
          <w:bCs/>
          <w:sz w:val="28"/>
          <w:szCs w:val="28"/>
        </w:rPr>
      </w:pPr>
      <w:r w:rsidRPr="00DA1E8C">
        <w:rPr>
          <w:rFonts w:ascii="Times New Roman" w:hAnsi="Times New Roman" w:cs="Times New Roman"/>
          <w:b/>
          <w:bCs/>
          <w:sz w:val="28"/>
          <w:szCs w:val="28"/>
        </w:rPr>
        <w:lastRenderedPageBreak/>
        <w:t>1.2 Диагностика</w:t>
      </w:r>
    </w:p>
    <w:p w14:paraId="56A0D912" w14:textId="77777777" w:rsidR="0041641C" w:rsidRPr="000800B1" w:rsidRDefault="0041641C" w:rsidP="0041641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1.2.1 </w:t>
      </w:r>
      <w:r w:rsidRPr="00DA1E8C">
        <w:rPr>
          <w:rFonts w:ascii="Times New Roman" w:hAnsi="Times New Roman" w:cs="Times New Roman"/>
          <w:b/>
          <w:bCs/>
          <w:sz w:val="28"/>
          <w:szCs w:val="28"/>
        </w:rPr>
        <w:t>УЗИ и ТАБ</w:t>
      </w:r>
    </w:p>
    <w:p w14:paraId="73B45A7B" w14:textId="204C506D"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УЗИ щитовидной железы и лимфоузлов шеи рекомендуется проводить всем пациентам с новообразованиями щитовидной в качестве первичной диагностики. Данный метод обследования позволяет определить показания к биопсии. Согласно рекомендациям американской тиреоидологической ассоциации (АТА) по диагностике и лечению МРЩЖ необходимо выполнять тонкоигольную аспирационную биопсию (ТАБ) узлов, размер которых равен или превышает 1 см </w:t>
      </w:r>
      <w:r w:rsidRPr="008C605D">
        <w:rPr>
          <w:rFonts w:ascii="Times New Roman" w:hAnsi="Times New Roman" w:cs="Times New Roman"/>
          <w:sz w:val="28"/>
          <w:szCs w:val="28"/>
        </w:rPr>
        <w:t>[11]</w:t>
      </w:r>
      <w:r>
        <w:rPr>
          <w:rFonts w:ascii="Times New Roman" w:hAnsi="Times New Roman" w:cs="Times New Roman"/>
          <w:sz w:val="28"/>
          <w:szCs w:val="28"/>
        </w:rPr>
        <w:t xml:space="preserve">. В клинической практике также применяется классификация </w:t>
      </w:r>
      <w:r>
        <w:rPr>
          <w:rFonts w:ascii="Times New Roman" w:hAnsi="Times New Roman" w:cs="Times New Roman"/>
          <w:sz w:val="28"/>
          <w:szCs w:val="28"/>
          <w:lang w:val="en-US"/>
        </w:rPr>
        <w:t>TIRADS</w:t>
      </w:r>
      <w:r>
        <w:rPr>
          <w:rFonts w:ascii="Times New Roman" w:hAnsi="Times New Roman" w:cs="Times New Roman"/>
          <w:sz w:val="28"/>
          <w:szCs w:val="28"/>
        </w:rPr>
        <w:t>, имеющая шесть градаций (</w:t>
      </w:r>
      <w:r>
        <w:rPr>
          <w:rFonts w:ascii="Times New Roman" w:hAnsi="Times New Roman" w:cs="Times New Roman"/>
          <w:sz w:val="28"/>
          <w:szCs w:val="28"/>
          <w:lang w:val="en-US"/>
        </w:rPr>
        <w:t>TIRADS</w:t>
      </w:r>
      <w:r w:rsidRPr="008C605D">
        <w:rPr>
          <w:rFonts w:ascii="Times New Roman" w:hAnsi="Times New Roman" w:cs="Times New Roman"/>
          <w:sz w:val="28"/>
          <w:szCs w:val="28"/>
        </w:rPr>
        <w:t xml:space="preserve"> 2009)</w:t>
      </w:r>
      <w:r>
        <w:rPr>
          <w:rFonts w:ascii="Times New Roman" w:hAnsi="Times New Roman" w:cs="Times New Roman"/>
          <w:sz w:val="28"/>
          <w:szCs w:val="28"/>
        </w:rPr>
        <w:t>, в зависимости от наличия признаков, указывающих на вероятную злокачественность, таких как наличие анэхогенных образований с гиперэхогенными участками, отсутствие капсулы, наличие множественных микрокальцинатов, гиперваскуляризации, нечётких контуров и краёв. При этом последняя градация (</w:t>
      </w:r>
      <w:r>
        <w:rPr>
          <w:rFonts w:ascii="Times New Roman" w:hAnsi="Times New Roman" w:cs="Times New Roman"/>
          <w:sz w:val="28"/>
          <w:szCs w:val="28"/>
          <w:lang w:val="en-US"/>
        </w:rPr>
        <w:t>TIRADS</w:t>
      </w:r>
      <w:r w:rsidRPr="00193575">
        <w:rPr>
          <w:rFonts w:ascii="Times New Roman" w:hAnsi="Times New Roman" w:cs="Times New Roman"/>
          <w:sz w:val="28"/>
          <w:szCs w:val="28"/>
        </w:rPr>
        <w:t xml:space="preserve"> 6)</w:t>
      </w:r>
      <w:r>
        <w:rPr>
          <w:rFonts w:ascii="Times New Roman" w:hAnsi="Times New Roman" w:cs="Times New Roman"/>
          <w:sz w:val="28"/>
          <w:szCs w:val="28"/>
        </w:rPr>
        <w:t xml:space="preserve"> по данной шкале указывает на практически 100% вероятность злокачественности новообразования. Однако важно понимать, что важнейшим методом диагностики МРЩЖ является определение базального уровня кальцитонина и данная классификация была разработана для того, чтобы правильно определить показания для морфологического исследования, так как выполнять биопсию всех узлов не является целесообразным и экономически оправданным. Так, узлы, классифицируемые как </w:t>
      </w:r>
      <w:r>
        <w:rPr>
          <w:rFonts w:ascii="Times New Roman" w:hAnsi="Times New Roman" w:cs="Times New Roman"/>
          <w:sz w:val="28"/>
          <w:szCs w:val="28"/>
          <w:lang w:val="en-US"/>
        </w:rPr>
        <w:t>TIRADS</w:t>
      </w:r>
      <w:r w:rsidRPr="00217AB4">
        <w:rPr>
          <w:rFonts w:ascii="Times New Roman" w:hAnsi="Times New Roman" w:cs="Times New Roman"/>
          <w:sz w:val="28"/>
          <w:szCs w:val="28"/>
        </w:rPr>
        <w:t xml:space="preserve"> 2 </w:t>
      </w:r>
      <w:r>
        <w:rPr>
          <w:rFonts w:ascii="Times New Roman" w:hAnsi="Times New Roman" w:cs="Times New Roman"/>
          <w:sz w:val="28"/>
          <w:szCs w:val="28"/>
        </w:rPr>
        <w:t xml:space="preserve">как правило не требуют выполнения биопсии, биопсия </w:t>
      </w:r>
      <w:r>
        <w:rPr>
          <w:rFonts w:ascii="Times New Roman" w:hAnsi="Times New Roman" w:cs="Times New Roman"/>
          <w:sz w:val="28"/>
          <w:szCs w:val="28"/>
          <w:lang w:val="en-US"/>
        </w:rPr>
        <w:t>TIRADS</w:t>
      </w:r>
      <w:r w:rsidRPr="00217AB4">
        <w:rPr>
          <w:rFonts w:ascii="Times New Roman" w:hAnsi="Times New Roman" w:cs="Times New Roman"/>
          <w:sz w:val="28"/>
          <w:szCs w:val="28"/>
        </w:rPr>
        <w:t xml:space="preserve"> 3 </w:t>
      </w:r>
      <w:r>
        <w:rPr>
          <w:rFonts w:ascii="Times New Roman" w:hAnsi="Times New Roman" w:cs="Times New Roman"/>
          <w:sz w:val="28"/>
          <w:szCs w:val="28"/>
        </w:rPr>
        <w:t xml:space="preserve">выполняется в тех случаях, когда это клинически оправдано: увеличение размеров узла за время наблюдения за ним, пациент не может регулярно наблюдаться в клинике, был рак щитовидной железы в семейном анамнезе. Пациентам, имеющим узлы </w:t>
      </w:r>
      <w:r>
        <w:rPr>
          <w:rFonts w:ascii="Times New Roman" w:hAnsi="Times New Roman" w:cs="Times New Roman"/>
          <w:sz w:val="28"/>
          <w:szCs w:val="28"/>
          <w:lang w:val="en-US"/>
        </w:rPr>
        <w:t>TIRADS</w:t>
      </w:r>
      <w:r w:rsidRPr="001A2FDE">
        <w:rPr>
          <w:rFonts w:ascii="Times New Roman" w:hAnsi="Times New Roman" w:cs="Times New Roman"/>
          <w:sz w:val="28"/>
          <w:szCs w:val="28"/>
        </w:rPr>
        <w:t xml:space="preserve"> </w:t>
      </w:r>
      <w:r>
        <w:rPr>
          <w:rFonts w:ascii="Times New Roman" w:hAnsi="Times New Roman" w:cs="Times New Roman"/>
          <w:sz w:val="28"/>
          <w:szCs w:val="28"/>
        </w:rPr>
        <w:t xml:space="preserve">4 или </w:t>
      </w:r>
      <w:r>
        <w:rPr>
          <w:rFonts w:ascii="Times New Roman" w:hAnsi="Times New Roman" w:cs="Times New Roman"/>
          <w:sz w:val="28"/>
          <w:szCs w:val="28"/>
          <w:lang w:val="en-US"/>
        </w:rPr>
        <w:t>TIRADS</w:t>
      </w:r>
      <w:r w:rsidRPr="001A2FDE">
        <w:rPr>
          <w:rFonts w:ascii="Times New Roman" w:hAnsi="Times New Roman" w:cs="Times New Roman"/>
          <w:sz w:val="28"/>
          <w:szCs w:val="28"/>
        </w:rPr>
        <w:t xml:space="preserve"> </w:t>
      </w:r>
      <w:r>
        <w:rPr>
          <w:rFonts w:ascii="Times New Roman" w:hAnsi="Times New Roman" w:cs="Times New Roman"/>
          <w:sz w:val="28"/>
          <w:szCs w:val="28"/>
        </w:rPr>
        <w:t>5</w:t>
      </w:r>
      <w:r w:rsidRPr="001A2FDE">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выполнять ТАБ и зачастую последующее оперативное вмешательство </w:t>
      </w:r>
      <w:r w:rsidRPr="008C605D">
        <w:rPr>
          <w:rFonts w:ascii="Times New Roman" w:hAnsi="Times New Roman" w:cs="Times New Roman"/>
          <w:sz w:val="28"/>
          <w:szCs w:val="28"/>
        </w:rPr>
        <w:t>[4]</w:t>
      </w:r>
      <w:r>
        <w:rPr>
          <w:rFonts w:ascii="Times New Roman" w:hAnsi="Times New Roman" w:cs="Times New Roman"/>
          <w:sz w:val="28"/>
          <w:szCs w:val="28"/>
        </w:rPr>
        <w:t>.</w:t>
      </w:r>
      <w:r w:rsidRPr="0043103B">
        <w:rPr>
          <w:rFonts w:ascii="Times New Roman" w:hAnsi="Times New Roman" w:cs="Times New Roman"/>
          <w:sz w:val="28"/>
          <w:szCs w:val="28"/>
        </w:rPr>
        <w:t xml:space="preserve"> </w:t>
      </w:r>
      <w:r>
        <w:rPr>
          <w:rFonts w:ascii="Times New Roman" w:hAnsi="Times New Roman" w:cs="Times New Roman"/>
          <w:sz w:val="28"/>
          <w:szCs w:val="28"/>
        </w:rPr>
        <w:t xml:space="preserve">В одном из метаанализов статей, посвящённых УЗИ-диагностике медуллярного рака были выделены признаки, которые в большей </w:t>
      </w:r>
      <w:r>
        <w:rPr>
          <w:rFonts w:ascii="Times New Roman" w:hAnsi="Times New Roman" w:cs="Times New Roman"/>
          <w:sz w:val="28"/>
          <w:szCs w:val="28"/>
        </w:rPr>
        <w:lastRenderedPageBreak/>
        <w:t xml:space="preserve">или в меньшей степени характерны для данной патологии. Так, солидное строение (частота 79.2%), гипоэхогенность </w:t>
      </w:r>
      <w:r w:rsidRPr="00EE60C8">
        <w:rPr>
          <w:rFonts w:ascii="Times New Roman" w:hAnsi="Times New Roman" w:cs="Times New Roman"/>
          <w:sz w:val="28"/>
          <w:szCs w:val="28"/>
        </w:rPr>
        <w:t>(</w:t>
      </w:r>
      <w:r>
        <w:rPr>
          <w:rFonts w:ascii="Times New Roman" w:hAnsi="Times New Roman" w:cs="Times New Roman"/>
          <w:sz w:val="28"/>
          <w:szCs w:val="28"/>
        </w:rPr>
        <w:t xml:space="preserve">частота 83.4%), отсутствие </w:t>
      </w:r>
      <w:r w:rsidR="004E38DC">
        <w:rPr>
          <w:rFonts w:ascii="Times New Roman" w:hAnsi="Times New Roman" w:cs="Times New Roman"/>
          <w:sz w:val="28"/>
          <w:szCs w:val="28"/>
        </w:rPr>
        <w:t>или нечёткий хало</w:t>
      </w:r>
      <w:r>
        <w:rPr>
          <w:rFonts w:ascii="Times New Roman" w:hAnsi="Times New Roman" w:cs="Times New Roman"/>
          <w:sz w:val="28"/>
          <w:szCs w:val="28"/>
        </w:rPr>
        <w:t xml:space="preserve"> (частота 89.9%) при медуллярной карциноме встречаются наиболее часто </w:t>
      </w:r>
      <w:r w:rsidRPr="00A11213">
        <w:rPr>
          <w:rFonts w:ascii="Times New Roman" w:hAnsi="Times New Roman" w:cs="Times New Roman"/>
          <w:sz w:val="28"/>
          <w:szCs w:val="28"/>
        </w:rPr>
        <w:t>[14]</w:t>
      </w:r>
      <w:r>
        <w:rPr>
          <w:rFonts w:ascii="Times New Roman" w:hAnsi="Times New Roman" w:cs="Times New Roman"/>
          <w:sz w:val="28"/>
          <w:szCs w:val="28"/>
        </w:rPr>
        <w:t xml:space="preserve">. Для оценки результатов биопсии применяется классификация </w:t>
      </w:r>
      <w:r>
        <w:rPr>
          <w:rFonts w:ascii="Times New Roman" w:hAnsi="Times New Roman" w:cs="Times New Roman"/>
          <w:sz w:val="28"/>
          <w:szCs w:val="28"/>
          <w:lang w:val="en-US"/>
        </w:rPr>
        <w:t>Bethesda</w:t>
      </w:r>
      <w:r>
        <w:rPr>
          <w:rFonts w:ascii="Times New Roman" w:hAnsi="Times New Roman" w:cs="Times New Roman"/>
          <w:sz w:val="28"/>
          <w:szCs w:val="28"/>
        </w:rPr>
        <w:t xml:space="preserve">, которая также включает в себя шесть градаций. Отнесение исследованного материала в ту или иную категорию по данным биопсии определяет врачебную тактику в отношении данного пациента. Так, наличие в образце кистозной жидкости, артефактов и\или менее шести групп клеток (в каждой группе должно быть не менее 10 клеток) является показанием к повторной биопсии (категория 1). Также в случае, если гистологический анализ не информативен и есть подозрения на наличие МРЩЖ, то рекомендуется определение уровня кальцитонина в смыве из пункционной иглы и проведение иммуногистохимического исследования биоптата на наличие таких маркеров как кальцитонин, карциноэмбриональный антиген и хромограмин. К второй диагностической категории относят доброкачественные изменения щитовидной железы (от 60% до 70% всех результатов ТАБ). Наиболее частым паттерном в данной категории является доброкачественный фолликулярный узел. Ложноотрицательные результаты биопсии встречаются в 0-3% случаев, однако таким пациентам показано диагностическое наблюдение с интервалами от 6 до 18 месяцев, которое включает в себя пальпацию и УЗИ. Если отмечается рост узла или появление «подозрительных» признаков на УЗИ, то показано выполнение повторной биопсии. Также в данную категорию относят лимфоцитарный тиреоидит (Хасимото) и гранулематозный тиреоидит. К третьей диагностической группе, которая является результатом от 3 до 6% всех биопсий, относят атипию неопределённого значения или фолликулярные изменения неясного значения. Риск наличия злокачественного процесса здесь составляет от 5 до 15% и как правило таких пациентов направляют на повторную биопсию спустя некоторое время. Четвёртая категория – фолликулярная неоплазия (или подозрение на неё), которая в ряде случаев (до 30%) оказывается </w:t>
      </w:r>
      <w:r>
        <w:rPr>
          <w:rFonts w:ascii="Times New Roman" w:hAnsi="Times New Roman" w:cs="Times New Roman"/>
          <w:sz w:val="28"/>
          <w:szCs w:val="28"/>
        </w:rPr>
        <w:lastRenderedPageBreak/>
        <w:t xml:space="preserve">злокачественной и ассоциирована с фолликулярной карциномой щитовидной железы. Как правило для данной группы пациентов выполняется лобэктомия. К пятой и шестой диагностическим группам относят подозрение на рак щитовидной железы и рак щитовидной железы соответственно и всегда являются показаниями к операции за исключением тех случаев, когда новообразование щитовидной железы является метастазом </w:t>
      </w:r>
      <w:r w:rsidRPr="008C605D">
        <w:rPr>
          <w:rFonts w:ascii="Times New Roman" w:hAnsi="Times New Roman" w:cs="Times New Roman"/>
          <w:sz w:val="28"/>
          <w:szCs w:val="28"/>
        </w:rPr>
        <w:t>[</w:t>
      </w:r>
      <w:r>
        <w:rPr>
          <w:rFonts w:ascii="Times New Roman" w:hAnsi="Times New Roman" w:cs="Times New Roman"/>
          <w:sz w:val="28"/>
          <w:szCs w:val="28"/>
        </w:rPr>
        <w:t>2</w:t>
      </w:r>
      <w:r w:rsidRPr="008C605D">
        <w:rPr>
          <w:rFonts w:ascii="Times New Roman" w:hAnsi="Times New Roman" w:cs="Times New Roman"/>
          <w:sz w:val="28"/>
          <w:szCs w:val="28"/>
        </w:rPr>
        <w:t>]</w:t>
      </w:r>
      <w:r>
        <w:rPr>
          <w:rFonts w:ascii="Times New Roman" w:hAnsi="Times New Roman" w:cs="Times New Roman"/>
          <w:sz w:val="28"/>
          <w:szCs w:val="28"/>
        </w:rPr>
        <w:t xml:space="preserve">. </w:t>
      </w:r>
    </w:p>
    <w:p w14:paraId="69F060F9" w14:textId="77777777" w:rsidR="00E775F5" w:rsidRDefault="00E775F5" w:rsidP="0041641C">
      <w:pPr>
        <w:spacing w:line="360" w:lineRule="auto"/>
        <w:jc w:val="both"/>
        <w:rPr>
          <w:rFonts w:ascii="Times New Roman" w:hAnsi="Times New Roman" w:cs="Times New Roman"/>
          <w:b/>
          <w:bCs/>
          <w:sz w:val="28"/>
          <w:szCs w:val="28"/>
        </w:rPr>
      </w:pPr>
    </w:p>
    <w:p w14:paraId="690023CE" w14:textId="224FC975" w:rsidR="0041641C" w:rsidRPr="002B3A3A" w:rsidRDefault="0041641C" w:rsidP="0041641C">
      <w:pPr>
        <w:spacing w:line="360" w:lineRule="auto"/>
        <w:jc w:val="both"/>
        <w:rPr>
          <w:rFonts w:ascii="Times New Roman" w:hAnsi="Times New Roman" w:cs="Times New Roman"/>
          <w:b/>
          <w:bCs/>
          <w:sz w:val="28"/>
          <w:szCs w:val="28"/>
        </w:rPr>
      </w:pPr>
      <w:r w:rsidRPr="002B3A3A">
        <w:rPr>
          <w:rFonts w:ascii="Times New Roman" w:hAnsi="Times New Roman" w:cs="Times New Roman"/>
          <w:b/>
          <w:bCs/>
          <w:sz w:val="28"/>
          <w:szCs w:val="28"/>
        </w:rPr>
        <w:t>1.2.2 Лабораторные методы</w:t>
      </w:r>
    </w:p>
    <w:p w14:paraId="461F5C69" w14:textId="037A984A" w:rsidR="00E775F5" w:rsidRDefault="0041641C" w:rsidP="00E775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 пациентам с подозрением на МРЩЖ рекомендуется определение базального сывороточного уровня кальцитонина. Данное исследование имеет как диагностическое, так и прогностическое значение. Референтные значения могут зависеть от конкретной лаборатории, однако в российских рекомендациях верхняя граница нормы 12 и 5 пг\мл для мужчин и женщин соответственно (по некоторым данным до 10 пг\мл для мужчин). Повышенный уровень кальцитонина может наблюдаться и при других патологиях, таких как хроническая почечная недостаточность, аутоиммунный тиреоидит, рак предстательной железы, мастоцитоз, мелкоклеточный и крупноклеточный рак лёгкого, различные кишечные и лёгочные нейроэндокринные опухоли. Именно поэтому данный лабораторный показатель не может быть единственным критерием постановки диагноза, хотя и превосходит по чувствительности УЗИ и ТАБ. Высоко специфичным критерием МРЩЖ является уровень базального кальцитонина в крови выше 100 пг\мл при наличии узлового зоба и цитологическое подтверждение диагноза в данном случае не рекомендуется. Если базальный уровень кальцитонина повышен, но ниже 100 пг\мл то в таком случае рекомендуется проведение стимулированного теста на кальцитонин с внутривенным введением раствора глюконата кальция с последующим определение уровня кальцитонина через 2 и 5 минут после введения. Если базальный предоперационный уровень кальцитонина 500 пг\мл и выше, то значительно повышается вероятность </w:t>
      </w:r>
      <w:r>
        <w:rPr>
          <w:rFonts w:ascii="Times New Roman" w:hAnsi="Times New Roman" w:cs="Times New Roman"/>
          <w:sz w:val="28"/>
          <w:szCs w:val="28"/>
        </w:rPr>
        <w:lastRenderedPageBreak/>
        <w:t>появления отдалённых метастазов, если ниже 20 пг\мл, то крайне маловероятно наличие метастазов в регионарные лимфоузлы</w:t>
      </w:r>
      <w:r w:rsidRPr="00E87B82">
        <w:rPr>
          <w:rFonts w:ascii="Times New Roman" w:hAnsi="Times New Roman" w:cs="Times New Roman"/>
          <w:sz w:val="28"/>
          <w:szCs w:val="28"/>
        </w:rPr>
        <w:t xml:space="preserve"> [11][12]</w:t>
      </w:r>
      <w:r>
        <w:rPr>
          <w:rFonts w:ascii="Times New Roman" w:hAnsi="Times New Roman" w:cs="Times New Roman"/>
          <w:sz w:val="28"/>
          <w:szCs w:val="28"/>
        </w:rPr>
        <w:t>. Была также выявлена корреляция между базальным уровнем кальцитонина, размером опухоли и метастазированием в регионарные лимфоузлы. Так, в одном из исследований, группу из 170 пациентов разделили на 8 категорий в зависимости от уровня кальцитонина. В первой категории кальцитонин не превышал 20 пг\мл, в восьмой – превышал 7000 пг\мл. Было замечено, что размер опухоли начинает значительно возрастать, среди пациентов, чей уровень кальцитонина превышает 200 пг\мл (4-8 категории), если кальцитонин превышает 1000 пг\мл, то существенно возрастает количество метастазов в регионарные лимфоузлы (6-8 категории).</w:t>
      </w:r>
    </w:p>
    <w:p w14:paraId="2452D795" w14:textId="72E4946F" w:rsidR="0041641C" w:rsidRDefault="0041641C" w:rsidP="0041641C">
      <w:pPr>
        <w:tabs>
          <w:tab w:val="left" w:pos="410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1.1 Корреляция между уровнем кальцитонина, размером опухоли и количеством метастазов в регионарные ЛУ </w:t>
      </w:r>
    </w:p>
    <w:p w14:paraId="192543BA" w14:textId="77777777" w:rsidR="0041641C" w:rsidRDefault="0041641C" w:rsidP="0041641C">
      <w:pPr>
        <w:spacing w:line="360" w:lineRule="auto"/>
        <w:jc w:val="both"/>
        <w:rPr>
          <w:rFonts w:ascii="Times New Roman" w:hAnsi="Times New Roman" w:cs="Times New Roman"/>
          <w:sz w:val="28"/>
          <w:szCs w:val="28"/>
        </w:rPr>
      </w:pPr>
      <w:r>
        <w:rPr>
          <w:noProof/>
        </w:rPr>
        <w:drawing>
          <wp:inline distT="0" distB="0" distL="0" distR="0" wp14:anchorId="3C1FAB54" wp14:editId="25FC84CB">
            <wp:extent cx="6215119" cy="2258171"/>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2565" cy="2260877"/>
                    </a:xfrm>
                    <a:prstGeom prst="rect">
                      <a:avLst/>
                    </a:prstGeom>
                    <a:noFill/>
                    <a:ln>
                      <a:noFill/>
                    </a:ln>
                  </pic:spPr>
                </pic:pic>
              </a:graphicData>
            </a:graphic>
          </wp:inline>
        </w:drawing>
      </w:r>
    </w:p>
    <w:p w14:paraId="45A3ECD2"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исследуемой группе метастазы в центральные лимфоузлы шеи были обнаружены среди пациентов всех восьми категорий, метастазы в ипсилатеральные лимфоузлы выявлялись только в тех случаях, когда кальцитонин превышал 20 пг\мл, метастазы в контралатеральные лимфоузлы были характерны только для пациентов с кальцитонином выше 200 пг\мл. Практически все пациенты, с диагностированными отдалёнными метастазами имели уровень базального кальцитонина выше 500 пг\мл. Стоит добавить, что среди пациентов первых двух категорий (кальцитонин </w:t>
      </w:r>
      <w:r w:rsidRPr="00046A4D">
        <w:rPr>
          <w:rFonts w:ascii="Times New Roman" w:hAnsi="Times New Roman" w:cs="Times New Roman"/>
          <w:sz w:val="28"/>
          <w:szCs w:val="28"/>
        </w:rPr>
        <w:t xml:space="preserve">&lt;100 </w:t>
      </w:r>
      <w:r>
        <w:rPr>
          <w:rFonts w:ascii="Times New Roman" w:hAnsi="Times New Roman" w:cs="Times New Roman"/>
          <w:sz w:val="28"/>
          <w:szCs w:val="28"/>
        </w:rPr>
        <w:t xml:space="preserve">пг\мл) </w:t>
      </w:r>
      <w:r>
        <w:rPr>
          <w:rFonts w:ascii="Times New Roman" w:hAnsi="Times New Roman" w:cs="Times New Roman"/>
          <w:sz w:val="28"/>
          <w:szCs w:val="28"/>
        </w:rPr>
        <w:lastRenderedPageBreak/>
        <w:t>вероятность наличия метастазов в центральную группу лимфоузлов не превышала 9,1%, в то время как для пациентов с более высоким уровнем кальцитонина (3-8 категории) такая вероятность была существенно выше. Таким образом можно выделить три пороговых значения предоперационного уровня кальцитонина, которые коррелируют с размером опухоли и помогают определить прогноз заболевания, выбрать методы дальнейшего обследования и наиболее оптимальный объём хирургического вмешательства</w:t>
      </w:r>
      <w:r w:rsidRPr="00975C65">
        <w:rPr>
          <w:rFonts w:ascii="Times New Roman" w:hAnsi="Times New Roman" w:cs="Times New Roman"/>
          <w:sz w:val="28"/>
          <w:szCs w:val="28"/>
        </w:rPr>
        <w:t xml:space="preserve"> </w:t>
      </w:r>
      <w:r w:rsidRPr="00D721B4">
        <w:rPr>
          <w:rFonts w:ascii="Times New Roman" w:hAnsi="Times New Roman" w:cs="Times New Roman"/>
          <w:sz w:val="28"/>
          <w:szCs w:val="28"/>
        </w:rPr>
        <w:t>[10]</w:t>
      </w:r>
      <w:r>
        <w:rPr>
          <w:rFonts w:ascii="Times New Roman" w:hAnsi="Times New Roman" w:cs="Times New Roman"/>
          <w:sz w:val="28"/>
          <w:szCs w:val="28"/>
        </w:rPr>
        <w:t>.</w:t>
      </w:r>
    </w:p>
    <w:p w14:paraId="3CC0FB3F"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Стоит отметить, что не во всех случаях размер опухоли коррелирует с предоперационным уровнем кальцитонина. В исключительно редких случаях наличие медуллярной карциномы диаметром до 10 мм и более сопровождается нормальным либо незначительно повышенным уровнем кальцитонина и РЭА. При этом гистологическая окраска на кальцитонин таких опухолей положительная или слабоположительная. В настоящий момент точно не известна причина такого явления, однако есть гипотезы, согласно которым в опухолевых клетках нарушается процесс синтеза кальцитонина и\или его депонирование и секреция. В результате этого синтезируются аберрантные формы кальцитонина или его белки предшественники, которые не распознаются иммунологическими методами диагностики</w:t>
      </w:r>
      <w:r w:rsidRPr="00AF4D63">
        <w:rPr>
          <w:rFonts w:ascii="Times New Roman" w:hAnsi="Times New Roman" w:cs="Times New Roman"/>
          <w:sz w:val="28"/>
          <w:szCs w:val="28"/>
        </w:rPr>
        <w:t xml:space="preserve"> [23]</w:t>
      </w:r>
      <w:r>
        <w:rPr>
          <w:rFonts w:ascii="Times New Roman" w:hAnsi="Times New Roman" w:cs="Times New Roman"/>
          <w:sz w:val="28"/>
          <w:szCs w:val="28"/>
        </w:rPr>
        <w:t>.</w:t>
      </w:r>
    </w:p>
    <w:p w14:paraId="52737A40" w14:textId="77777777" w:rsidR="0041641C" w:rsidRPr="006E4D8A" w:rsidRDefault="0041641C" w:rsidP="0041641C">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1.1 Метастазирование в лимфоузлы</w:t>
      </w:r>
    </w:p>
    <w:p w14:paraId="3325C557" w14:textId="77777777" w:rsidR="0041641C" w:rsidRPr="00D359FF" w:rsidRDefault="0041641C" w:rsidP="0041641C">
      <w:pPr>
        <w:spacing w:line="360" w:lineRule="auto"/>
        <w:jc w:val="both"/>
        <w:rPr>
          <w:noProof/>
        </w:rPr>
      </w:pPr>
      <w:r>
        <w:rPr>
          <w:noProof/>
        </w:rPr>
        <w:drawing>
          <wp:inline distT="0" distB="0" distL="0" distR="0" wp14:anchorId="637F19F7" wp14:editId="1E13F7BE">
            <wp:extent cx="6026345" cy="2089133"/>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369" t="40099" r="9460" b="10490"/>
                    <a:stretch/>
                  </pic:blipFill>
                  <pic:spPr bwMode="auto">
                    <a:xfrm>
                      <a:off x="0" y="0"/>
                      <a:ext cx="6075536" cy="2106186"/>
                    </a:xfrm>
                    <a:prstGeom prst="rect">
                      <a:avLst/>
                    </a:prstGeom>
                    <a:ln>
                      <a:noFill/>
                    </a:ln>
                    <a:extLst>
                      <a:ext uri="{53640926-AAD7-44D8-BBD7-CCE9431645EC}">
                        <a14:shadowObscured xmlns:a14="http://schemas.microsoft.com/office/drawing/2010/main"/>
                      </a:ext>
                    </a:extLst>
                  </pic:spPr>
                </pic:pic>
              </a:graphicData>
            </a:graphic>
          </wp:inline>
        </w:drawing>
      </w:r>
    </w:p>
    <w:p w14:paraId="4B105726"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также измерение кальцитонина в послеоперационном периоде с целью оценки эффективности лечения и определения прогноза заболевания. После </w:t>
      </w:r>
      <w:r>
        <w:rPr>
          <w:rFonts w:ascii="Times New Roman" w:hAnsi="Times New Roman" w:cs="Times New Roman"/>
          <w:sz w:val="28"/>
          <w:szCs w:val="28"/>
        </w:rPr>
        <w:lastRenderedPageBreak/>
        <w:t>резекции щитовидной железы некоторое время может сохранятся повышенный уровень кальцитонина в крови, но будет постепенно снижаться в течении трёх месяцев и по истечении данного периода следует оценивать данный показатель. Если уровень кальцитонина имеет нормальное значение (ниже 10</w:t>
      </w:r>
      <w:r w:rsidRPr="007A4568">
        <w:rPr>
          <w:rFonts w:ascii="Times New Roman" w:hAnsi="Times New Roman" w:cs="Times New Roman"/>
          <w:sz w:val="28"/>
          <w:szCs w:val="28"/>
        </w:rPr>
        <w:t xml:space="preserve"> </w:t>
      </w:r>
      <w:r>
        <w:rPr>
          <w:rFonts w:ascii="Times New Roman" w:hAnsi="Times New Roman" w:cs="Times New Roman"/>
          <w:sz w:val="28"/>
          <w:szCs w:val="28"/>
          <w:lang w:val="en-US"/>
        </w:rPr>
        <w:t>pg</w:t>
      </w:r>
      <w:r w:rsidRPr="007A4568">
        <w:rPr>
          <w:rFonts w:ascii="Times New Roman" w:hAnsi="Times New Roman" w:cs="Times New Roman"/>
          <w:sz w:val="28"/>
          <w:szCs w:val="28"/>
        </w:rPr>
        <w:t>\</w:t>
      </w:r>
      <w:r>
        <w:rPr>
          <w:rFonts w:ascii="Times New Roman" w:hAnsi="Times New Roman" w:cs="Times New Roman"/>
          <w:sz w:val="28"/>
          <w:szCs w:val="28"/>
          <w:lang w:val="en-US"/>
        </w:rPr>
        <w:t>ml</w:t>
      </w:r>
      <w:r w:rsidRPr="007A4568">
        <w:rPr>
          <w:rFonts w:ascii="Times New Roman" w:hAnsi="Times New Roman" w:cs="Times New Roman"/>
          <w:sz w:val="28"/>
          <w:szCs w:val="28"/>
        </w:rPr>
        <w:t>)</w:t>
      </w:r>
      <w:r>
        <w:rPr>
          <w:rFonts w:ascii="Times New Roman" w:hAnsi="Times New Roman" w:cs="Times New Roman"/>
          <w:sz w:val="28"/>
          <w:szCs w:val="28"/>
        </w:rPr>
        <w:t xml:space="preserve"> или не определяется, то его нужно измерять каждые 6 месяцев в течение года, далее ежегодно. Были проведены исследования в которых было установлено, что если уровень кальцитонина в послеоперационном периоде ниже 10 пг\мл, то трёх и пятилетняя выживаемость среди таких пациентов составляет 94% и 90% соответственно, в то время как для пациентов, чей уровень кальцитонина превышает 10 пг\мл трёх и пятилетняя выживаемость составляет 78% и 61%. Если после тиреоидэктомии уровень кальцитонина повышен, но меньше 150 пг\мл, то с наибольшей вероятностью это связано с рецидивом заболевания в шейных лимфоузлах. В такой ситуации рекомендуется выполнить пальпацию и УЗИ шейных лимфоузлов. В случае, когда метастазы в регионарных лимфоузлах не обнаруживаются, то необходимо повторно проводить данные обследования с измерением уровня кальцитонина каждые шесть месяцев. Если же уровень кальцитонина превышает 150 пг\мл, то необходимо исключать наличие отдалённых метастазов. Для этого необходимо выполнить УЗИ шеи, КТ грудной клетки, МРТ с контрастным усилением или трёхфазное КТ с контрастным усилением печени, сцинтиграфию костей и МРТ малого таза.</w:t>
      </w:r>
    </w:p>
    <w:p w14:paraId="4CEC1DA7"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целью определения прогноза для жизни пациента в клинической практике определяется такой показатель как время удвоения кальцитонина (ВУК). Это временной период, по окончании которого уровень кальцитонина возрастает в два раза по сравнению с предыдущим измерением. Было проведено исследование, согласно данным которого все пациенты, у которых ВУК составляло меньше 0,5 года умерли в течение первых трёх лет после операции, но ни один пациент, у которого ВУК составляло более 0,5 года не скончались в течение первых трёх лет. Также было отмечено, возникновение рецидивов в </w:t>
      </w:r>
      <w:r>
        <w:rPr>
          <w:rFonts w:ascii="Times New Roman" w:hAnsi="Times New Roman" w:cs="Times New Roman"/>
          <w:sz w:val="28"/>
          <w:szCs w:val="28"/>
        </w:rPr>
        <w:lastRenderedPageBreak/>
        <w:t>течение первых пяти лет при ВУК меньше 0,5 года отмечалось в 100% случаев, при ВУК от 0,5 до 1 года – 80% и при ВУК более одного года – 20%</w:t>
      </w:r>
      <w:r w:rsidRPr="000B3248">
        <w:rPr>
          <w:rFonts w:ascii="Times New Roman" w:hAnsi="Times New Roman" w:cs="Times New Roman"/>
          <w:sz w:val="28"/>
          <w:szCs w:val="28"/>
        </w:rPr>
        <w:t xml:space="preserve"> [7].</w:t>
      </w:r>
      <w:r>
        <w:rPr>
          <w:rFonts w:ascii="Times New Roman" w:hAnsi="Times New Roman" w:cs="Times New Roman"/>
          <w:sz w:val="28"/>
          <w:szCs w:val="28"/>
        </w:rPr>
        <w:t xml:space="preserve"> По другим данным пациентов в зависимости от ВУК следует делить на три группы: группа высокого риска (ВУК меньше 0,5 года) – десятилетняя выживаемость 8%, группа среднего риска (ВУК 0,5 – 2 года) – десятилетняя выживаемость – 37%, группа низкого риска (ВУК более 2 лет) – десятилетняя выживаемость – 100%</w:t>
      </w:r>
      <w:r w:rsidRPr="000B3248">
        <w:rPr>
          <w:rFonts w:ascii="Times New Roman" w:hAnsi="Times New Roman" w:cs="Times New Roman"/>
          <w:sz w:val="28"/>
          <w:szCs w:val="28"/>
        </w:rPr>
        <w:t xml:space="preserve"> [22]</w:t>
      </w:r>
      <w:r>
        <w:rPr>
          <w:rFonts w:ascii="Times New Roman" w:hAnsi="Times New Roman" w:cs="Times New Roman"/>
          <w:sz w:val="28"/>
          <w:szCs w:val="28"/>
        </w:rPr>
        <w:t>.</w:t>
      </w:r>
    </w:p>
    <w:p w14:paraId="193A6923"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Ещё одним важным лабораторным показателем является карциноэмбриональный антиген (раковый эмбриональный антиген).  РЭА не является специфическим маркёром для МРЩЖ и его, как правило, определяют вместе с кальцитонином для составления прогноза течения болезни</w:t>
      </w:r>
      <w:r w:rsidRPr="00E87B82">
        <w:rPr>
          <w:rFonts w:ascii="Times New Roman" w:hAnsi="Times New Roman" w:cs="Times New Roman"/>
          <w:sz w:val="28"/>
          <w:szCs w:val="28"/>
        </w:rPr>
        <w:t>.</w:t>
      </w:r>
      <w:r>
        <w:rPr>
          <w:rFonts w:ascii="Times New Roman" w:hAnsi="Times New Roman" w:cs="Times New Roman"/>
          <w:sz w:val="28"/>
          <w:szCs w:val="28"/>
        </w:rPr>
        <w:t xml:space="preserve"> Данный показатель более важен в послеоперационном периоде. Как правило при прогрессировании МРЩЖ его уровень нарастает в месте с кальцитонином. Если уровень кальцитонина в крови нарастает, но показатель РЭА остается на том же уровне или даже становится меньше, то с определённой вероятностью это говорит о наличии низкодифференцированной карциномы щитовидной железы.</w:t>
      </w:r>
    </w:p>
    <w:p w14:paraId="70E0128B"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на основании данных лабораторных и инструментальных методов исследования, а также анамнеза пациента можно подозревать наличие МРЩЖ, то необходимо выполнить генетическое исследование на наличие гена </w:t>
      </w:r>
      <w:r>
        <w:rPr>
          <w:rFonts w:ascii="Times New Roman" w:hAnsi="Times New Roman" w:cs="Times New Roman"/>
          <w:sz w:val="28"/>
          <w:szCs w:val="28"/>
          <w:lang w:val="en-US"/>
        </w:rPr>
        <w:t>RET</w:t>
      </w:r>
      <w:r>
        <w:rPr>
          <w:rFonts w:ascii="Times New Roman" w:hAnsi="Times New Roman" w:cs="Times New Roman"/>
          <w:sz w:val="28"/>
          <w:szCs w:val="28"/>
        </w:rPr>
        <w:t>, с целью дифференциальной диагностики наследственной и спорадической форм</w:t>
      </w:r>
      <w:r w:rsidRPr="000B3248">
        <w:rPr>
          <w:rFonts w:ascii="Times New Roman" w:hAnsi="Times New Roman" w:cs="Times New Roman"/>
          <w:sz w:val="28"/>
          <w:szCs w:val="28"/>
        </w:rPr>
        <w:t xml:space="preserve"> [11]</w:t>
      </w:r>
      <w:r>
        <w:rPr>
          <w:rFonts w:ascii="Times New Roman" w:hAnsi="Times New Roman" w:cs="Times New Roman"/>
          <w:sz w:val="28"/>
          <w:szCs w:val="28"/>
        </w:rPr>
        <w:t xml:space="preserve">. </w:t>
      </w:r>
    </w:p>
    <w:p w14:paraId="4FB17F76" w14:textId="77777777" w:rsidR="00E775F5" w:rsidRDefault="00E775F5" w:rsidP="0041641C">
      <w:pPr>
        <w:spacing w:line="360" w:lineRule="auto"/>
        <w:jc w:val="both"/>
        <w:rPr>
          <w:rFonts w:ascii="Times New Roman" w:hAnsi="Times New Roman" w:cs="Times New Roman"/>
          <w:b/>
          <w:bCs/>
          <w:sz w:val="28"/>
          <w:szCs w:val="28"/>
        </w:rPr>
      </w:pPr>
    </w:p>
    <w:p w14:paraId="5F344C7D" w14:textId="077286FE" w:rsidR="0041641C" w:rsidRDefault="0041641C" w:rsidP="0041641C">
      <w:pPr>
        <w:spacing w:line="360" w:lineRule="auto"/>
        <w:jc w:val="both"/>
        <w:rPr>
          <w:rFonts w:ascii="Times New Roman" w:hAnsi="Times New Roman" w:cs="Times New Roman"/>
          <w:b/>
          <w:bCs/>
          <w:sz w:val="28"/>
          <w:szCs w:val="28"/>
        </w:rPr>
      </w:pPr>
      <w:r w:rsidRPr="00897DCB">
        <w:rPr>
          <w:rFonts w:ascii="Times New Roman" w:hAnsi="Times New Roman" w:cs="Times New Roman"/>
          <w:b/>
          <w:bCs/>
          <w:sz w:val="28"/>
          <w:szCs w:val="28"/>
        </w:rPr>
        <w:t>1.2.3 Лучевые методы диагностики</w:t>
      </w:r>
    </w:p>
    <w:p w14:paraId="2EA0569D" w14:textId="1130F746" w:rsidR="00E775F5" w:rsidRPr="00E775F5" w:rsidRDefault="0041641C" w:rsidP="00E775F5">
      <w:pPr>
        <w:autoSpaceDE w:val="0"/>
        <w:autoSpaceDN w:val="0"/>
        <w:adjustRightInd w:val="0"/>
        <w:spacing w:after="0" w:line="360" w:lineRule="auto"/>
        <w:jc w:val="both"/>
        <w:rPr>
          <w:rFonts w:ascii="Times New Roman" w:hAnsi="Times New Roman" w:cs="Times New Roman"/>
          <w:color w:val="131413"/>
          <w:sz w:val="28"/>
          <w:szCs w:val="28"/>
        </w:rPr>
      </w:pPr>
      <w:r w:rsidRPr="00C9057D">
        <w:rPr>
          <w:rFonts w:ascii="Times New Roman" w:hAnsi="Times New Roman" w:cs="Times New Roman"/>
          <w:sz w:val="28"/>
          <w:szCs w:val="28"/>
        </w:rPr>
        <w:t xml:space="preserve">Из лучевых методов диагностики </w:t>
      </w:r>
      <w:r>
        <w:rPr>
          <w:rFonts w:ascii="Times New Roman" w:hAnsi="Times New Roman" w:cs="Times New Roman"/>
          <w:sz w:val="28"/>
          <w:szCs w:val="28"/>
        </w:rPr>
        <w:t>при</w:t>
      </w:r>
      <w:r w:rsidRPr="00C9057D">
        <w:rPr>
          <w:rFonts w:ascii="Times New Roman" w:hAnsi="Times New Roman" w:cs="Times New Roman"/>
          <w:sz w:val="28"/>
          <w:szCs w:val="28"/>
        </w:rPr>
        <w:t xml:space="preserve"> обследовани</w:t>
      </w:r>
      <w:r>
        <w:rPr>
          <w:rFonts w:ascii="Times New Roman" w:hAnsi="Times New Roman" w:cs="Times New Roman"/>
          <w:sz w:val="28"/>
          <w:szCs w:val="28"/>
        </w:rPr>
        <w:t>и</w:t>
      </w:r>
      <w:r w:rsidRPr="00C9057D">
        <w:rPr>
          <w:rFonts w:ascii="Times New Roman" w:hAnsi="Times New Roman" w:cs="Times New Roman"/>
          <w:sz w:val="28"/>
          <w:szCs w:val="28"/>
        </w:rPr>
        <w:t xml:space="preserve"> пациентов с медуллярным раком наиболее часто применяют КТ и позитронно-эмиссионную томографию (ПЭТ) для обнаружения отдалённых метастазов и рецидивов опухоли. Для ПЭТ\КТ </w:t>
      </w:r>
      <w:r>
        <w:rPr>
          <w:rFonts w:ascii="Times New Roman" w:hAnsi="Times New Roman" w:cs="Times New Roman"/>
          <w:sz w:val="28"/>
          <w:szCs w:val="28"/>
        </w:rPr>
        <w:t>использую</w:t>
      </w:r>
      <w:r w:rsidRPr="00C9057D">
        <w:rPr>
          <w:rFonts w:ascii="Times New Roman" w:hAnsi="Times New Roman" w:cs="Times New Roman"/>
          <w:sz w:val="28"/>
          <w:szCs w:val="28"/>
        </w:rPr>
        <w:t>тся контрастные вещества</w:t>
      </w:r>
      <w:r>
        <w:rPr>
          <w:rFonts w:ascii="Times New Roman" w:hAnsi="Times New Roman" w:cs="Times New Roman"/>
          <w:sz w:val="28"/>
          <w:szCs w:val="28"/>
        </w:rPr>
        <w:t xml:space="preserve"> </w:t>
      </w:r>
      <w:r w:rsidRPr="00C9057D">
        <w:rPr>
          <w:rFonts w:ascii="Times New Roman" w:hAnsi="Times New Roman" w:cs="Times New Roman"/>
          <w:sz w:val="28"/>
          <w:szCs w:val="28"/>
        </w:rPr>
        <w:t xml:space="preserve">(трэйсеры), которые </w:t>
      </w:r>
      <w:r w:rsidRPr="00C9057D">
        <w:rPr>
          <w:rFonts w:ascii="Times New Roman" w:hAnsi="Times New Roman" w:cs="Times New Roman"/>
          <w:sz w:val="28"/>
          <w:szCs w:val="28"/>
        </w:rPr>
        <w:lastRenderedPageBreak/>
        <w:t xml:space="preserve">избирательно накапливаются тканями опухолями такие как </w:t>
      </w:r>
      <w:r w:rsidRPr="00C9057D">
        <w:rPr>
          <w:rFonts w:ascii="Times New Roman" w:hAnsi="Times New Roman" w:cs="Times New Roman"/>
          <w:sz w:val="28"/>
          <w:szCs w:val="28"/>
          <w:vertAlign w:val="superscript"/>
        </w:rPr>
        <w:t>18</w:t>
      </w:r>
      <w:r w:rsidRPr="00C9057D">
        <w:rPr>
          <w:rFonts w:ascii="Times New Roman" w:hAnsi="Times New Roman" w:cs="Times New Roman"/>
          <w:sz w:val="28"/>
          <w:szCs w:val="28"/>
          <w:lang w:val="en-US"/>
        </w:rPr>
        <w:t>FDG</w:t>
      </w:r>
      <w:r w:rsidRPr="00C9057D">
        <w:rPr>
          <w:rFonts w:ascii="Times New Roman" w:hAnsi="Times New Roman" w:cs="Times New Roman"/>
          <w:sz w:val="28"/>
          <w:szCs w:val="28"/>
        </w:rPr>
        <w:t xml:space="preserve">, </w:t>
      </w:r>
      <w:r w:rsidRPr="00C9057D">
        <w:rPr>
          <w:rFonts w:ascii="Times New Roman" w:hAnsi="Times New Roman" w:cs="Times New Roman"/>
          <w:sz w:val="28"/>
          <w:szCs w:val="28"/>
          <w:vertAlign w:val="superscript"/>
        </w:rPr>
        <w:t>18</w:t>
      </w:r>
      <w:r w:rsidRPr="00C9057D">
        <w:rPr>
          <w:rFonts w:ascii="Times New Roman" w:hAnsi="Times New Roman" w:cs="Times New Roman"/>
          <w:sz w:val="28"/>
          <w:szCs w:val="28"/>
          <w:lang w:val="en-US"/>
        </w:rPr>
        <w:t>F</w:t>
      </w:r>
      <w:r w:rsidRPr="00C9057D">
        <w:rPr>
          <w:rFonts w:ascii="Times New Roman" w:hAnsi="Times New Roman" w:cs="Times New Roman"/>
          <w:sz w:val="28"/>
          <w:szCs w:val="28"/>
        </w:rPr>
        <w:t>-</w:t>
      </w:r>
      <w:r w:rsidRPr="00C9057D">
        <w:rPr>
          <w:rFonts w:ascii="Times New Roman" w:hAnsi="Times New Roman" w:cs="Times New Roman"/>
          <w:sz w:val="28"/>
          <w:szCs w:val="28"/>
          <w:lang w:val="en-US"/>
        </w:rPr>
        <w:t>DOPA</w:t>
      </w:r>
      <w:r w:rsidRPr="00C9057D">
        <w:rPr>
          <w:rFonts w:ascii="Times New Roman" w:hAnsi="Times New Roman" w:cs="Times New Roman"/>
          <w:sz w:val="28"/>
          <w:szCs w:val="28"/>
        </w:rPr>
        <w:t xml:space="preserve">, </w:t>
      </w:r>
      <w:r w:rsidRPr="00C9057D">
        <w:rPr>
          <w:rFonts w:ascii="Times New Roman" w:hAnsi="Times New Roman" w:cs="Times New Roman"/>
          <w:sz w:val="28"/>
          <w:szCs w:val="28"/>
          <w:vertAlign w:val="superscript"/>
        </w:rPr>
        <w:t>68</w:t>
      </w:r>
      <w:r w:rsidRPr="00C9057D">
        <w:rPr>
          <w:rFonts w:ascii="Times New Roman" w:hAnsi="Times New Roman" w:cs="Times New Roman"/>
          <w:sz w:val="28"/>
          <w:szCs w:val="28"/>
          <w:lang w:val="en-US"/>
        </w:rPr>
        <w:t>Ga</w:t>
      </w:r>
      <w:r w:rsidRPr="00C9057D">
        <w:rPr>
          <w:rFonts w:ascii="Times New Roman" w:hAnsi="Times New Roman" w:cs="Times New Roman"/>
          <w:sz w:val="28"/>
          <w:szCs w:val="28"/>
        </w:rPr>
        <w:t>-</w:t>
      </w:r>
      <w:r w:rsidRPr="00C9057D">
        <w:rPr>
          <w:rFonts w:ascii="Times New Roman" w:hAnsi="Times New Roman" w:cs="Times New Roman"/>
          <w:sz w:val="28"/>
          <w:szCs w:val="28"/>
          <w:lang w:val="en-US"/>
        </w:rPr>
        <w:t>SSA</w:t>
      </w:r>
      <w:r w:rsidRPr="00C9057D">
        <w:rPr>
          <w:rFonts w:ascii="Times New Roman" w:hAnsi="Times New Roman" w:cs="Times New Roman"/>
          <w:sz w:val="28"/>
          <w:szCs w:val="28"/>
        </w:rPr>
        <w:t>. Накопление флуородиоксиглюкозы (</w:t>
      </w:r>
      <w:r w:rsidRPr="00C9057D">
        <w:rPr>
          <w:rFonts w:ascii="Times New Roman" w:hAnsi="Times New Roman" w:cs="Times New Roman"/>
          <w:sz w:val="28"/>
          <w:szCs w:val="28"/>
          <w:vertAlign w:val="superscript"/>
        </w:rPr>
        <w:t>18</w:t>
      </w:r>
      <w:r w:rsidRPr="00C9057D">
        <w:rPr>
          <w:rFonts w:ascii="Times New Roman" w:hAnsi="Times New Roman" w:cs="Times New Roman"/>
          <w:sz w:val="28"/>
          <w:szCs w:val="28"/>
          <w:lang w:val="en-US"/>
        </w:rPr>
        <w:t>FDG</w:t>
      </w:r>
      <w:r w:rsidRPr="00C9057D">
        <w:rPr>
          <w:rFonts w:ascii="Times New Roman" w:hAnsi="Times New Roman" w:cs="Times New Roman"/>
          <w:sz w:val="28"/>
          <w:szCs w:val="28"/>
        </w:rPr>
        <w:t>) клетками МРЩЖ связанно с повышенной экспрессией в них транспортёров глюкозы и гексогеназ</w:t>
      </w:r>
      <w:r>
        <w:rPr>
          <w:rFonts w:ascii="Times New Roman" w:hAnsi="Times New Roman" w:cs="Times New Roman"/>
          <w:sz w:val="28"/>
          <w:szCs w:val="28"/>
        </w:rPr>
        <w:t>ы</w:t>
      </w:r>
      <w:r w:rsidRPr="00C9057D">
        <w:rPr>
          <w:rFonts w:ascii="Times New Roman" w:hAnsi="Times New Roman" w:cs="Times New Roman"/>
          <w:sz w:val="28"/>
          <w:szCs w:val="28"/>
        </w:rPr>
        <w:t xml:space="preserve">. Накопление </w:t>
      </w:r>
      <w:r w:rsidRPr="00C9057D">
        <w:rPr>
          <w:rFonts w:ascii="Times New Roman" w:hAnsi="Times New Roman" w:cs="Times New Roman"/>
          <w:sz w:val="28"/>
          <w:szCs w:val="28"/>
          <w:vertAlign w:val="superscript"/>
        </w:rPr>
        <w:t>18</w:t>
      </w:r>
      <w:bookmarkStart w:id="4" w:name="_Hlk104393041"/>
      <w:r w:rsidRPr="00C9057D">
        <w:rPr>
          <w:rFonts w:ascii="Times New Roman" w:hAnsi="Times New Roman" w:cs="Times New Roman"/>
          <w:sz w:val="28"/>
          <w:szCs w:val="28"/>
          <w:lang w:val="en-US"/>
        </w:rPr>
        <w:t>FDG</w:t>
      </w:r>
      <w:bookmarkEnd w:id="4"/>
      <w:r w:rsidRPr="00C9057D">
        <w:rPr>
          <w:rFonts w:ascii="Times New Roman" w:hAnsi="Times New Roman" w:cs="Times New Roman"/>
          <w:sz w:val="28"/>
          <w:szCs w:val="28"/>
        </w:rPr>
        <w:t xml:space="preserve"> также коррелирует с низкой дифференцировкой и высокой пролиферативной активностью. </w:t>
      </w:r>
      <w:r w:rsidRPr="00C9057D">
        <w:rPr>
          <w:rFonts w:ascii="Times New Roman" w:hAnsi="Times New Roman" w:cs="Times New Roman"/>
          <w:sz w:val="28"/>
          <w:szCs w:val="28"/>
          <w:vertAlign w:val="superscript"/>
        </w:rPr>
        <w:t>18</w:t>
      </w:r>
      <w:r w:rsidRPr="00C9057D">
        <w:rPr>
          <w:rFonts w:ascii="Times New Roman" w:hAnsi="Times New Roman" w:cs="Times New Roman"/>
          <w:sz w:val="28"/>
          <w:szCs w:val="28"/>
          <w:lang w:val="en-US"/>
        </w:rPr>
        <w:t>F</w:t>
      </w:r>
      <w:r w:rsidRPr="00C9057D">
        <w:rPr>
          <w:rFonts w:ascii="Times New Roman" w:hAnsi="Times New Roman" w:cs="Times New Roman"/>
          <w:sz w:val="28"/>
          <w:szCs w:val="28"/>
        </w:rPr>
        <w:t>-</w:t>
      </w:r>
      <w:r w:rsidRPr="00C9057D">
        <w:rPr>
          <w:rFonts w:ascii="Times New Roman" w:hAnsi="Times New Roman" w:cs="Times New Roman"/>
          <w:sz w:val="28"/>
          <w:szCs w:val="28"/>
          <w:lang w:val="en-US"/>
        </w:rPr>
        <w:t>DOPA</w:t>
      </w:r>
      <w:r w:rsidRPr="00C9057D">
        <w:rPr>
          <w:rFonts w:ascii="Times New Roman" w:hAnsi="Times New Roman" w:cs="Times New Roman"/>
          <w:sz w:val="28"/>
          <w:szCs w:val="28"/>
        </w:rPr>
        <w:t xml:space="preserve"> попадает в клетку, взаимодействуя с аминокислотной трансферазой и при помощи фермента цитозольной декарбоксилазы переходит в </w:t>
      </w:r>
      <w:r w:rsidRPr="00C9057D">
        <w:rPr>
          <w:rFonts w:ascii="Times New Roman" w:hAnsi="Times New Roman" w:cs="Times New Roman"/>
          <w:sz w:val="28"/>
          <w:szCs w:val="28"/>
          <w:lang w:val="en-US"/>
        </w:rPr>
        <w:t>F</w:t>
      </w:r>
      <w:r w:rsidRPr="00C9057D">
        <w:rPr>
          <w:rFonts w:ascii="Times New Roman" w:hAnsi="Times New Roman" w:cs="Times New Roman"/>
          <w:sz w:val="28"/>
          <w:szCs w:val="28"/>
        </w:rPr>
        <w:t xml:space="preserve">-дофамин. Экспрессия данных ферментов повышена в клетках медуллярной карциномы вследствие чего </w:t>
      </w:r>
      <w:r w:rsidRPr="00C9057D">
        <w:rPr>
          <w:rFonts w:ascii="Times New Roman" w:hAnsi="Times New Roman" w:cs="Times New Roman"/>
          <w:sz w:val="28"/>
          <w:szCs w:val="28"/>
          <w:vertAlign w:val="superscript"/>
        </w:rPr>
        <w:t>18</w:t>
      </w:r>
      <w:r w:rsidRPr="00C9057D">
        <w:rPr>
          <w:rFonts w:ascii="Times New Roman" w:hAnsi="Times New Roman" w:cs="Times New Roman"/>
          <w:sz w:val="28"/>
          <w:szCs w:val="28"/>
          <w:lang w:val="en-US"/>
        </w:rPr>
        <w:t>F</w:t>
      </w:r>
      <w:r w:rsidRPr="00C9057D">
        <w:rPr>
          <w:rFonts w:ascii="Times New Roman" w:hAnsi="Times New Roman" w:cs="Times New Roman"/>
          <w:sz w:val="28"/>
          <w:szCs w:val="28"/>
        </w:rPr>
        <w:t>-</w:t>
      </w:r>
      <w:r w:rsidRPr="00C9057D">
        <w:rPr>
          <w:rFonts w:ascii="Times New Roman" w:hAnsi="Times New Roman" w:cs="Times New Roman"/>
          <w:sz w:val="28"/>
          <w:szCs w:val="28"/>
          <w:lang w:val="en-US"/>
        </w:rPr>
        <w:t>DOPA</w:t>
      </w:r>
      <w:r w:rsidRPr="00C9057D">
        <w:rPr>
          <w:rFonts w:ascii="Times New Roman" w:hAnsi="Times New Roman" w:cs="Times New Roman"/>
          <w:sz w:val="28"/>
          <w:szCs w:val="28"/>
        </w:rPr>
        <w:t xml:space="preserve"> более активно ими поглощается. </w:t>
      </w:r>
      <w:r>
        <w:rPr>
          <w:rFonts w:ascii="Times New Roman" w:hAnsi="Times New Roman" w:cs="Times New Roman"/>
          <w:sz w:val="28"/>
          <w:szCs w:val="28"/>
        </w:rPr>
        <w:t>Так как н</w:t>
      </w:r>
      <w:r w:rsidRPr="00C9057D">
        <w:rPr>
          <w:rFonts w:ascii="Times New Roman" w:hAnsi="Times New Roman" w:cs="Times New Roman"/>
          <w:sz w:val="28"/>
          <w:szCs w:val="28"/>
        </w:rPr>
        <w:t>ейроэндокринные опухоли</w:t>
      </w:r>
      <w:r>
        <w:rPr>
          <w:rFonts w:ascii="Times New Roman" w:hAnsi="Times New Roman" w:cs="Times New Roman"/>
          <w:sz w:val="28"/>
          <w:szCs w:val="28"/>
        </w:rPr>
        <w:t xml:space="preserve"> (в т.ч. МРЩЖ)</w:t>
      </w:r>
      <w:r w:rsidRPr="00C9057D">
        <w:rPr>
          <w:rFonts w:ascii="Times New Roman" w:hAnsi="Times New Roman" w:cs="Times New Roman"/>
          <w:sz w:val="28"/>
          <w:szCs w:val="28"/>
        </w:rPr>
        <w:t xml:space="preserve"> имеют более выраженную экспрессию рецепторов к соматостатину, </w:t>
      </w:r>
      <w:r w:rsidRPr="00C9057D">
        <w:rPr>
          <w:rFonts w:ascii="Times New Roman" w:hAnsi="Times New Roman" w:cs="Times New Roman"/>
          <w:sz w:val="28"/>
          <w:szCs w:val="28"/>
          <w:vertAlign w:val="superscript"/>
        </w:rPr>
        <w:t>68</w:t>
      </w:r>
      <w:r w:rsidRPr="00C9057D">
        <w:rPr>
          <w:rFonts w:ascii="Times New Roman" w:hAnsi="Times New Roman" w:cs="Times New Roman"/>
          <w:sz w:val="28"/>
          <w:szCs w:val="28"/>
          <w:lang w:val="en-US"/>
        </w:rPr>
        <w:t>Ga</w:t>
      </w:r>
      <w:r w:rsidRPr="00C9057D">
        <w:rPr>
          <w:rFonts w:ascii="Times New Roman" w:hAnsi="Times New Roman" w:cs="Times New Roman"/>
          <w:sz w:val="28"/>
          <w:szCs w:val="28"/>
        </w:rPr>
        <w:t>-</w:t>
      </w:r>
      <w:r w:rsidRPr="00C9057D">
        <w:rPr>
          <w:rFonts w:ascii="Times New Roman" w:hAnsi="Times New Roman" w:cs="Times New Roman"/>
          <w:sz w:val="28"/>
          <w:szCs w:val="28"/>
          <w:lang w:val="en-US"/>
        </w:rPr>
        <w:t>SSA</w:t>
      </w:r>
      <w:r w:rsidRPr="00C9057D">
        <w:rPr>
          <w:rFonts w:ascii="Times New Roman" w:hAnsi="Times New Roman" w:cs="Times New Roman"/>
          <w:sz w:val="28"/>
          <w:szCs w:val="28"/>
        </w:rPr>
        <w:t xml:space="preserve"> (аналог</w:t>
      </w:r>
      <w:r>
        <w:rPr>
          <w:rFonts w:ascii="Times New Roman" w:hAnsi="Times New Roman" w:cs="Times New Roman"/>
          <w:sz w:val="28"/>
          <w:szCs w:val="28"/>
        </w:rPr>
        <w:t>и</w:t>
      </w:r>
      <w:r w:rsidRPr="00C9057D">
        <w:rPr>
          <w:rFonts w:ascii="Times New Roman" w:hAnsi="Times New Roman" w:cs="Times New Roman"/>
          <w:sz w:val="28"/>
          <w:szCs w:val="28"/>
        </w:rPr>
        <w:t xml:space="preserve"> соматостатина с изотопом галия</w:t>
      </w:r>
      <w:r>
        <w:rPr>
          <w:rFonts w:ascii="Times New Roman" w:hAnsi="Times New Roman" w:cs="Times New Roman"/>
          <w:sz w:val="28"/>
          <w:szCs w:val="28"/>
        </w:rPr>
        <w:t xml:space="preserve">: </w:t>
      </w:r>
      <w:r w:rsidRPr="00323B4C">
        <w:rPr>
          <w:rFonts w:ascii="Times New Roman" w:hAnsi="Times New Roman" w:cs="Times New Roman"/>
          <w:color w:val="131413"/>
          <w:sz w:val="28"/>
          <w:szCs w:val="28"/>
        </w:rPr>
        <w:t>DOTATOC, DOTATATE, DOTANOC,</w:t>
      </w:r>
      <w:r>
        <w:rPr>
          <w:rFonts w:ascii="Times New Roman" w:hAnsi="Times New Roman" w:cs="Times New Roman"/>
          <w:color w:val="131413"/>
          <w:sz w:val="28"/>
          <w:szCs w:val="28"/>
        </w:rPr>
        <w:t xml:space="preserve"> </w:t>
      </w:r>
      <w:r w:rsidRPr="00323B4C">
        <w:rPr>
          <w:rFonts w:ascii="Times New Roman" w:hAnsi="Times New Roman" w:cs="Times New Roman"/>
          <w:color w:val="131413"/>
          <w:sz w:val="28"/>
          <w:szCs w:val="28"/>
        </w:rPr>
        <w:t>DOTALAN</w:t>
      </w:r>
      <w:r w:rsidRPr="00C9057D">
        <w:rPr>
          <w:rFonts w:ascii="Times New Roman" w:hAnsi="Times New Roman" w:cs="Times New Roman"/>
          <w:sz w:val="28"/>
          <w:szCs w:val="28"/>
        </w:rPr>
        <w:t xml:space="preserve">) </w:t>
      </w:r>
      <w:r>
        <w:rPr>
          <w:rFonts w:ascii="Times New Roman" w:hAnsi="Times New Roman" w:cs="Times New Roman"/>
          <w:sz w:val="28"/>
          <w:szCs w:val="28"/>
        </w:rPr>
        <w:t xml:space="preserve">могут применяться как для диагностики, так и для лечения данных новообразований </w:t>
      </w:r>
      <w:r w:rsidRPr="00897DCB">
        <w:rPr>
          <w:rFonts w:ascii="Times New Roman" w:hAnsi="Times New Roman" w:cs="Times New Roman"/>
          <w:sz w:val="28"/>
          <w:szCs w:val="28"/>
        </w:rPr>
        <w:t>[3</w:t>
      </w:r>
      <w:r w:rsidRPr="00BF0D2E">
        <w:rPr>
          <w:rFonts w:ascii="Times New Roman" w:hAnsi="Times New Roman" w:cs="Times New Roman"/>
          <w:sz w:val="28"/>
          <w:szCs w:val="28"/>
        </w:rPr>
        <w:t>]</w:t>
      </w:r>
      <w:r>
        <w:rPr>
          <w:rFonts w:ascii="Times New Roman" w:hAnsi="Times New Roman" w:cs="Times New Roman"/>
          <w:sz w:val="28"/>
          <w:szCs w:val="28"/>
        </w:rPr>
        <w:t xml:space="preserve">.  </w:t>
      </w:r>
      <w:r w:rsidRPr="00C9057D">
        <w:rPr>
          <w:rFonts w:ascii="Times New Roman" w:hAnsi="Times New Roman" w:cs="Times New Roman"/>
          <w:sz w:val="28"/>
          <w:szCs w:val="28"/>
        </w:rPr>
        <w:t xml:space="preserve">           </w:t>
      </w:r>
    </w:p>
    <w:p w14:paraId="5BB74E9D" w14:textId="77777777" w:rsidR="00E775F5" w:rsidRDefault="00E775F5" w:rsidP="0041641C">
      <w:pPr>
        <w:spacing w:line="360" w:lineRule="auto"/>
        <w:jc w:val="both"/>
        <w:rPr>
          <w:rFonts w:ascii="Times New Roman" w:hAnsi="Times New Roman" w:cs="Times New Roman"/>
          <w:b/>
          <w:bCs/>
          <w:sz w:val="28"/>
          <w:szCs w:val="28"/>
        </w:rPr>
      </w:pPr>
    </w:p>
    <w:p w14:paraId="6C47CBF9" w14:textId="6773ACC1" w:rsidR="0041641C" w:rsidRDefault="0041641C" w:rsidP="0041641C">
      <w:pPr>
        <w:spacing w:line="360" w:lineRule="auto"/>
        <w:jc w:val="both"/>
        <w:rPr>
          <w:rFonts w:ascii="Times New Roman" w:hAnsi="Times New Roman" w:cs="Times New Roman"/>
          <w:b/>
          <w:bCs/>
          <w:sz w:val="28"/>
          <w:szCs w:val="28"/>
        </w:rPr>
      </w:pPr>
      <w:r w:rsidRPr="00BD4BFC">
        <w:rPr>
          <w:rFonts w:ascii="Times New Roman" w:hAnsi="Times New Roman" w:cs="Times New Roman"/>
          <w:b/>
          <w:bCs/>
          <w:sz w:val="28"/>
          <w:szCs w:val="28"/>
        </w:rPr>
        <w:t>1.2.</w:t>
      </w:r>
      <w:r>
        <w:rPr>
          <w:rFonts w:ascii="Times New Roman" w:hAnsi="Times New Roman" w:cs="Times New Roman"/>
          <w:b/>
          <w:bCs/>
          <w:sz w:val="28"/>
          <w:szCs w:val="28"/>
        </w:rPr>
        <w:t>4</w:t>
      </w:r>
      <w:r w:rsidRPr="00BD4BFC">
        <w:rPr>
          <w:rFonts w:ascii="Times New Roman" w:hAnsi="Times New Roman" w:cs="Times New Roman"/>
          <w:b/>
          <w:bCs/>
          <w:sz w:val="28"/>
          <w:szCs w:val="28"/>
        </w:rPr>
        <w:t xml:space="preserve"> Стадирование         </w:t>
      </w:r>
    </w:p>
    <w:p w14:paraId="1968F4EA"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стадии </w:t>
      </w:r>
      <w:r>
        <w:rPr>
          <w:rFonts w:ascii="Times New Roman" w:hAnsi="Times New Roman" w:cs="Times New Roman"/>
          <w:sz w:val="28"/>
          <w:szCs w:val="28"/>
          <w:lang w:val="en-US"/>
        </w:rPr>
        <w:t>T</w:t>
      </w:r>
      <w:r w:rsidRPr="00FE2F70">
        <w:rPr>
          <w:rFonts w:ascii="Times New Roman" w:hAnsi="Times New Roman" w:cs="Times New Roman"/>
          <w:sz w:val="28"/>
          <w:szCs w:val="28"/>
        </w:rPr>
        <w:t xml:space="preserve"> </w:t>
      </w:r>
      <w:r>
        <w:rPr>
          <w:rFonts w:ascii="Times New Roman" w:hAnsi="Times New Roman" w:cs="Times New Roman"/>
          <w:sz w:val="28"/>
          <w:szCs w:val="28"/>
        </w:rPr>
        <w:t xml:space="preserve">в клинической практике наиболее часто применяют УЗИ. В клинических рекомендациях данный показатель оценивается только по размерам образования и его положения относительно капсулы органа, однако клиницистами была выделена ещё одна важная особенность опухоли, которая не учитывается в данной классификации. На прогноз существенное влияние оказывает наличие так называемых интрагландулярных метастазов, наличие которых практически всегда ассоциировано с наличием метастазом в регионарные лимфоузлы шеи и как правило более агрессивным течением. В исследовании, где наблюдались шестьдесят человек с предполагаемым или подтверждённым спорадическим МРЩЖ одиннадцать пациентов имели интрагландулярные метастазы и у каждого из них отмечалось наличие многочисленных метастазов (медиана 21.4) в регионарные лимфатические узлы, в то время как у остальной части пациентов без интрагландулярных </w:t>
      </w:r>
      <w:r>
        <w:rPr>
          <w:rFonts w:ascii="Times New Roman" w:hAnsi="Times New Roman" w:cs="Times New Roman"/>
          <w:sz w:val="28"/>
          <w:szCs w:val="28"/>
        </w:rPr>
        <w:lastRenderedPageBreak/>
        <w:t xml:space="preserve">метастазов отсевы в лимфоузлы шеи наблюдались менее чем у половины (44%) и в значительно меньшем количестве (медиана 3). Итак, опухоль, ограниченная тканью щитовидной железы имеющая размеры до 2 см, относится к стадии </w:t>
      </w:r>
      <w:r>
        <w:rPr>
          <w:rFonts w:ascii="Times New Roman" w:hAnsi="Times New Roman" w:cs="Times New Roman"/>
          <w:sz w:val="28"/>
          <w:szCs w:val="28"/>
          <w:lang w:val="en-US"/>
        </w:rPr>
        <w:t>T</w:t>
      </w:r>
      <w:r w:rsidRPr="00D0125A">
        <w:rPr>
          <w:rFonts w:ascii="Times New Roman" w:hAnsi="Times New Roman" w:cs="Times New Roman"/>
          <w:sz w:val="28"/>
          <w:szCs w:val="28"/>
        </w:rPr>
        <w:t>1</w:t>
      </w:r>
      <w:r w:rsidRPr="00C228CE">
        <w:rPr>
          <w:rFonts w:ascii="Times New Roman" w:hAnsi="Times New Roman" w:cs="Times New Roman"/>
          <w:sz w:val="28"/>
          <w:szCs w:val="28"/>
        </w:rPr>
        <w:t xml:space="preserve"> (</w:t>
      </w:r>
      <w:r>
        <w:rPr>
          <w:rFonts w:ascii="Times New Roman" w:hAnsi="Times New Roman" w:cs="Times New Roman"/>
          <w:sz w:val="28"/>
          <w:szCs w:val="28"/>
          <w:lang w:val="en-US"/>
        </w:rPr>
        <w:t>T</w:t>
      </w:r>
      <w:r w:rsidRPr="00C228CE">
        <w:rPr>
          <w:rFonts w:ascii="Times New Roman" w:hAnsi="Times New Roman" w:cs="Times New Roman"/>
          <w:sz w:val="28"/>
          <w:szCs w:val="28"/>
        </w:rPr>
        <w:t>1</w:t>
      </w:r>
      <w:r>
        <w:rPr>
          <w:rFonts w:ascii="Times New Roman" w:hAnsi="Times New Roman" w:cs="Times New Roman"/>
          <w:sz w:val="28"/>
          <w:szCs w:val="28"/>
          <w:lang w:val="en-US"/>
        </w:rPr>
        <w:t>a</w:t>
      </w:r>
      <w:r w:rsidRPr="00C228CE">
        <w:rPr>
          <w:rFonts w:ascii="Times New Roman" w:hAnsi="Times New Roman" w:cs="Times New Roman"/>
          <w:sz w:val="28"/>
          <w:szCs w:val="28"/>
        </w:rPr>
        <w:t xml:space="preserve"> </w:t>
      </w:r>
      <w:r>
        <w:rPr>
          <w:rFonts w:ascii="Times New Roman" w:hAnsi="Times New Roman" w:cs="Times New Roman"/>
          <w:sz w:val="28"/>
          <w:szCs w:val="28"/>
        </w:rPr>
        <w:t>до 1см, Т1</w:t>
      </w:r>
      <w:r>
        <w:rPr>
          <w:rFonts w:ascii="Times New Roman" w:hAnsi="Times New Roman" w:cs="Times New Roman"/>
          <w:sz w:val="28"/>
          <w:szCs w:val="28"/>
          <w:lang w:val="en-US"/>
        </w:rPr>
        <w:t>b</w:t>
      </w:r>
      <w:r>
        <w:rPr>
          <w:rFonts w:ascii="Times New Roman" w:hAnsi="Times New Roman" w:cs="Times New Roman"/>
          <w:sz w:val="28"/>
          <w:szCs w:val="28"/>
        </w:rPr>
        <w:t xml:space="preserve"> 1-2 см)</w:t>
      </w:r>
      <w:r w:rsidRPr="00D0125A">
        <w:rPr>
          <w:rFonts w:ascii="Times New Roman" w:hAnsi="Times New Roman" w:cs="Times New Roman"/>
          <w:sz w:val="28"/>
          <w:szCs w:val="28"/>
        </w:rPr>
        <w:t xml:space="preserve">, </w:t>
      </w:r>
      <w:r>
        <w:rPr>
          <w:rFonts w:ascii="Times New Roman" w:hAnsi="Times New Roman" w:cs="Times New Roman"/>
          <w:sz w:val="28"/>
          <w:szCs w:val="28"/>
        </w:rPr>
        <w:t>от 2 до 4 см – к Т2. Если размер опухоли более 4 см, но нет распространения за пределы щитовидной железы – Т3а, Т3</w:t>
      </w:r>
      <w:r>
        <w:rPr>
          <w:rFonts w:ascii="Times New Roman" w:hAnsi="Times New Roman" w:cs="Times New Roman"/>
          <w:sz w:val="28"/>
          <w:szCs w:val="28"/>
          <w:lang w:val="en-US"/>
        </w:rPr>
        <w:t>b</w:t>
      </w:r>
      <w:r w:rsidRPr="001D2AD9">
        <w:rPr>
          <w:rFonts w:ascii="Times New Roman" w:hAnsi="Times New Roman" w:cs="Times New Roman"/>
          <w:sz w:val="28"/>
          <w:szCs w:val="28"/>
        </w:rPr>
        <w:t xml:space="preserve"> </w:t>
      </w:r>
      <w:r>
        <w:rPr>
          <w:rFonts w:ascii="Times New Roman" w:hAnsi="Times New Roman" w:cs="Times New Roman"/>
          <w:sz w:val="28"/>
          <w:szCs w:val="28"/>
        </w:rPr>
        <w:t>если есть инвазия только в мышцы, расположенные ниже подъязычной кости (</w:t>
      </w:r>
      <w:r>
        <w:rPr>
          <w:rFonts w:ascii="Times New Roman" w:hAnsi="Times New Roman" w:cs="Times New Roman"/>
          <w:sz w:val="28"/>
          <w:szCs w:val="28"/>
          <w:lang w:val="en-US"/>
        </w:rPr>
        <w:t>m</w:t>
      </w:r>
      <w:r w:rsidRPr="009A666C">
        <w:rPr>
          <w:rFonts w:ascii="Times New Roman" w:hAnsi="Times New Roman" w:cs="Times New Roman"/>
          <w:sz w:val="28"/>
          <w:szCs w:val="28"/>
        </w:rPr>
        <w:t xml:space="preserve">. </w:t>
      </w:r>
      <w:r>
        <w:rPr>
          <w:rFonts w:ascii="Times New Roman" w:hAnsi="Times New Roman" w:cs="Times New Roman"/>
          <w:sz w:val="28"/>
          <w:szCs w:val="28"/>
          <w:lang w:val="en-US"/>
        </w:rPr>
        <w:t>sternohyoideus</w:t>
      </w:r>
      <w:r w:rsidRPr="009A666C">
        <w:rPr>
          <w:rFonts w:ascii="Times New Roman" w:hAnsi="Times New Roman" w:cs="Times New Roman"/>
          <w:sz w:val="28"/>
          <w:szCs w:val="28"/>
        </w:rPr>
        <w:t xml:space="preserve">, </w:t>
      </w:r>
      <w:r>
        <w:rPr>
          <w:rFonts w:ascii="Times New Roman" w:hAnsi="Times New Roman" w:cs="Times New Roman"/>
          <w:sz w:val="28"/>
          <w:szCs w:val="28"/>
          <w:lang w:val="en-US"/>
        </w:rPr>
        <w:t>m</w:t>
      </w:r>
      <w:r w:rsidRPr="009A666C">
        <w:rPr>
          <w:rFonts w:ascii="Times New Roman" w:hAnsi="Times New Roman" w:cs="Times New Roman"/>
          <w:sz w:val="28"/>
          <w:szCs w:val="28"/>
        </w:rPr>
        <w:t xml:space="preserve">. </w:t>
      </w:r>
      <w:r>
        <w:rPr>
          <w:rFonts w:ascii="Times New Roman" w:hAnsi="Times New Roman" w:cs="Times New Roman"/>
          <w:sz w:val="28"/>
          <w:szCs w:val="28"/>
          <w:lang w:val="en-US"/>
        </w:rPr>
        <w:t>thyrohyoideus</w:t>
      </w:r>
      <w:r w:rsidRPr="009A666C">
        <w:rPr>
          <w:rFonts w:ascii="Times New Roman" w:hAnsi="Times New Roman" w:cs="Times New Roman"/>
          <w:sz w:val="28"/>
          <w:szCs w:val="28"/>
        </w:rPr>
        <w:t xml:space="preserve">, </w:t>
      </w:r>
      <w:r>
        <w:rPr>
          <w:rFonts w:ascii="Times New Roman" w:hAnsi="Times New Roman" w:cs="Times New Roman"/>
          <w:sz w:val="28"/>
          <w:szCs w:val="28"/>
          <w:lang w:val="en-US"/>
        </w:rPr>
        <w:t>m</w:t>
      </w:r>
      <w:r w:rsidRPr="009A666C">
        <w:rPr>
          <w:rFonts w:ascii="Times New Roman" w:hAnsi="Times New Roman" w:cs="Times New Roman"/>
          <w:sz w:val="28"/>
          <w:szCs w:val="28"/>
        </w:rPr>
        <w:t xml:space="preserve">. </w:t>
      </w:r>
      <w:r>
        <w:rPr>
          <w:rFonts w:ascii="Times New Roman" w:hAnsi="Times New Roman" w:cs="Times New Roman"/>
          <w:sz w:val="28"/>
          <w:szCs w:val="28"/>
          <w:lang w:val="en-US"/>
        </w:rPr>
        <w:t>omohyoideus</w:t>
      </w:r>
      <w:r w:rsidRPr="009A666C">
        <w:rPr>
          <w:rFonts w:ascii="Times New Roman" w:hAnsi="Times New Roman" w:cs="Times New Roman"/>
          <w:sz w:val="28"/>
          <w:szCs w:val="28"/>
        </w:rPr>
        <w:t xml:space="preserve">). </w:t>
      </w:r>
      <w:r>
        <w:rPr>
          <w:rFonts w:ascii="Times New Roman" w:hAnsi="Times New Roman" w:cs="Times New Roman"/>
          <w:sz w:val="28"/>
          <w:szCs w:val="28"/>
        </w:rPr>
        <w:t xml:space="preserve">Значительная инвазия в окружающие ткани – Т4 вне зависимости от размера: </w:t>
      </w:r>
      <w:r>
        <w:rPr>
          <w:rFonts w:ascii="Times New Roman" w:hAnsi="Times New Roman" w:cs="Times New Roman"/>
          <w:sz w:val="28"/>
          <w:szCs w:val="28"/>
          <w:lang w:val="en-US"/>
        </w:rPr>
        <w:t>T</w:t>
      </w:r>
      <w:r w:rsidRPr="009A666C">
        <w:rPr>
          <w:rFonts w:ascii="Times New Roman" w:hAnsi="Times New Roman" w:cs="Times New Roman"/>
          <w:sz w:val="28"/>
          <w:szCs w:val="28"/>
        </w:rPr>
        <w:t>4</w:t>
      </w:r>
      <w:r>
        <w:rPr>
          <w:rFonts w:ascii="Times New Roman" w:hAnsi="Times New Roman" w:cs="Times New Roman"/>
          <w:sz w:val="28"/>
          <w:szCs w:val="28"/>
          <w:lang w:val="en-US"/>
        </w:rPr>
        <w:t>a</w:t>
      </w:r>
      <w:r w:rsidRPr="009A666C">
        <w:rPr>
          <w:rFonts w:ascii="Times New Roman" w:hAnsi="Times New Roman" w:cs="Times New Roman"/>
          <w:sz w:val="28"/>
          <w:szCs w:val="28"/>
        </w:rPr>
        <w:t xml:space="preserve"> </w:t>
      </w:r>
      <w:r>
        <w:rPr>
          <w:rFonts w:ascii="Times New Roman" w:hAnsi="Times New Roman" w:cs="Times New Roman"/>
          <w:sz w:val="28"/>
          <w:szCs w:val="28"/>
        </w:rPr>
        <w:t>(гортань, пищевод, трахея, возвратный нерв), Т4</w:t>
      </w:r>
      <w:r>
        <w:rPr>
          <w:rFonts w:ascii="Times New Roman" w:hAnsi="Times New Roman" w:cs="Times New Roman"/>
          <w:sz w:val="28"/>
          <w:szCs w:val="28"/>
          <w:lang w:val="en-US"/>
        </w:rPr>
        <w:t>b</w:t>
      </w:r>
      <w:r>
        <w:rPr>
          <w:rFonts w:ascii="Times New Roman" w:hAnsi="Times New Roman" w:cs="Times New Roman"/>
          <w:sz w:val="28"/>
          <w:szCs w:val="28"/>
        </w:rPr>
        <w:t xml:space="preserve"> (сосуды, превертебральная фасция). </w:t>
      </w:r>
    </w:p>
    <w:p w14:paraId="2FA3F19A" w14:textId="368548FF" w:rsidR="0041641C" w:rsidRDefault="0041641C" w:rsidP="00E775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стадировании </w:t>
      </w:r>
      <w:r>
        <w:rPr>
          <w:rFonts w:ascii="Times New Roman" w:hAnsi="Times New Roman" w:cs="Times New Roman"/>
          <w:sz w:val="28"/>
          <w:szCs w:val="28"/>
          <w:lang w:val="en-US"/>
        </w:rPr>
        <w:t>N</w:t>
      </w:r>
      <w:r w:rsidRPr="002C43D9">
        <w:rPr>
          <w:rFonts w:ascii="Times New Roman" w:hAnsi="Times New Roman" w:cs="Times New Roman"/>
          <w:sz w:val="28"/>
          <w:szCs w:val="28"/>
        </w:rPr>
        <w:t xml:space="preserve"> </w:t>
      </w:r>
      <w:r>
        <w:rPr>
          <w:rFonts w:ascii="Times New Roman" w:hAnsi="Times New Roman" w:cs="Times New Roman"/>
          <w:sz w:val="28"/>
          <w:szCs w:val="28"/>
        </w:rPr>
        <w:t xml:space="preserve">учитываются только группы поражённых лимфоузлов: </w:t>
      </w:r>
      <w:r>
        <w:rPr>
          <w:rFonts w:ascii="Times New Roman" w:hAnsi="Times New Roman" w:cs="Times New Roman"/>
          <w:sz w:val="28"/>
          <w:szCs w:val="28"/>
          <w:lang w:val="en-US"/>
        </w:rPr>
        <w:t>N</w:t>
      </w:r>
      <w:r>
        <w:rPr>
          <w:rFonts w:ascii="Times New Roman" w:hAnsi="Times New Roman" w:cs="Times New Roman"/>
          <w:sz w:val="28"/>
          <w:szCs w:val="28"/>
        </w:rPr>
        <w:t xml:space="preserve">1а – </w:t>
      </w:r>
      <w:r>
        <w:rPr>
          <w:rFonts w:ascii="Times New Roman" w:hAnsi="Times New Roman" w:cs="Times New Roman"/>
          <w:sz w:val="28"/>
          <w:szCs w:val="28"/>
          <w:lang w:val="en-US"/>
        </w:rPr>
        <w:t>VI</w:t>
      </w:r>
      <w:r>
        <w:rPr>
          <w:rFonts w:ascii="Times New Roman" w:hAnsi="Times New Roman" w:cs="Times New Roman"/>
          <w:sz w:val="28"/>
          <w:szCs w:val="28"/>
        </w:rPr>
        <w:t xml:space="preserve"> и </w:t>
      </w:r>
      <w:r>
        <w:rPr>
          <w:rFonts w:ascii="Times New Roman" w:hAnsi="Times New Roman" w:cs="Times New Roman"/>
          <w:sz w:val="28"/>
          <w:szCs w:val="28"/>
          <w:lang w:val="en-US"/>
        </w:rPr>
        <w:t>VII</w:t>
      </w:r>
      <w:r w:rsidRPr="002C43D9">
        <w:rPr>
          <w:rFonts w:ascii="Times New Roman" w:hAnsi="Times New Roman" w:cs="Times New Roman"/>
          <w:sz w:val="28"/>
          <w:szCs w:val="28"/>
        </w:rPr>
        <w:t xml:space="preserve"> </w:t>
      </w:r>
      <w:r>
        <w:rPr>
          <w:rFonts w:ascii="Times New Roman" w:hAnsi="Times New Roman" w:cs="Times New Roman"/>
          <w:sz w:val="28"/>
          <w:szCs w:val="28"/>
        </w:rPr>
        <w:t>группа и</w:t>
      </w:r>
      <w:r w:rsidRPr="002C43D9">
        <w:rPr>
          <w:rFonts w:ascii="Times New Roman" w:hAnsi="Times New Roman" w:cs="Times New Roman"/>
          <w:sz w:val="28"/>
          <w:szCs w:val="28"/>
        </w:rPr>
        <w:t xml:space="preserve"> </w:t>
      </w:r>
      <w:r>
        <w:rPr>
          <w:rFonts w:ascii="Times New Roman" w:hAnsi="Times New Roman" w:cs="Times New Roman"/>
          <w:sz w:val="28"/>
          <w:szCs w:val="28"/>
          <w:lang w:val="en-US"/>
        </w:rPr>
        <w:t>N</w:t>
      </w:r>
      <w:r w:rsidRPr="002C43D9">
        <w:rPr>
          <w:rFonts w:ascii="Times New Roman" w:hAnsi="Times New Roman" w:cs="Times New Roman"/>
          <w:sz w:val="28"/>
          <w:szCs w:val="28"/>
        </w:rPr>
        <w:t>1</w:t>
      </w:r>
      <w:r>
        <w:rPr>
          <w:rFonts w:ascii="Times New Roman" w:hAnsi="Times New Roman" w:cs="Times New Roman"/>
          <w:sz w:val="28"/>
          <w:szCs w:val="28"/>
          <w:lang w:val="en-US"/>
        </w:rPr>
        <w:t>b</w:t>
      </w:r>
      <w:r w:rsidRPr="002C43D9">
        <w:rPr>
          <w:rFonts w:ascii="Times New Roman" w:hAnsi="Times New Roman" w:cs="Times New Roman"/>
          <w:sz w:val="28"/>
          <w:szCs w:val="28"/>
        </w:rPr>
        <w:t xml:space="preserve"> </w:t>
      </w:r>
      <w:r>
        <w:rPr>
          <w:rFonts w:ascii="Times New Roman" w:hAnsi="Times New Roman" w:cs="Times New Roman"/>
          <w:sz w:val="28"/>
          <w:szCs w:val="28"/>
        </w:rPr>
        <w:t>–</w:t>
      </w:r>
      <w:r w:rsidRPr="002C43D9">
        <w:rPr>
          <w:rFonts w:ascii="Times New Roman" w:hAnsi="Times New Roman" w:cs="Times New Roman"/>
          <w:sz w:val="28"/>
          <w:szCs w:val="28"/>
        </w:rPr>
        <w:t xml:space="preserve"> </w:t>
      </w:r>
      <w:r>
        <w:rPr>
          <w:rFonts w:ascii="Times New Roman" w:hAnsi="Times New Roman" w:cs="Times New Roman"/>
          <w:sz w:val="28"/>
          <w:szCs w:val="28"/>
          <w:lang w:val="en-US"/>
        </w:rPr>
        <w:t>I</w:t>
      </w:r>
      <w:r w:rsidRPr="002C43D9">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группы </w:t>
      </w:r>
      <w:r w:rsidRPr="00151540">
        <w:rPr>
          <w:rFonts w:ascii="Times New Roman" w:hAnsi="Times New Roman" w:cs="Times New Roman"/>
          <w:sz w:val="28"/>
          <w:szCs w:val="28"/>
        </w:rPr>
        <w:t>[17]</w:t>
      </w:r>
      <w:r>
        <w:rPr>
          <w:rFonts w:ascii="Times New Roman" w:hAnsi="Times New Roman" w:cs="Times New Roman"/>
          <w:sz w:val="28"/>
          <w:szCs w:val="28"/>
        </w:rPr>
        <w:t xml:space="preserve">. При определении стадии М в начале необходимо использовать лучевые методы диагностики, о которых упоминалось выше (КТ грудной клетки и брюшной полости, ПЭТ\КТ, МРТ с контрастным усилением, сцинтиграфия). По данным одной из работ, наиболее часто медуллярный рак метастазирует в печень (81,3%), несколько реже в лёгкие и кости (56.3% и 40.6% соответственно). У 15.4% пациентов были обнаружены только метастазы в печени, в то время как подавляющее большинство (81.2%) имели метастазы более чем в один орган </w:t>
      </w:r>
      <w:r w:rsidRPr="00D83D88">
        <w:rPr>
          <w:rFonts w:ascii="Times New Roman" w:hAnsi="Times New Roman" w:cs="Times New Roman"/>
          <w:sz w:val="28"/>
          <w:szCs w:val="28"/>
        </w:rPr>
        <w:t>[20]</w:t>
      </w:r>
      <w:r>
        <w:rPr>
          <w:rFonts w:ascii="Times New Roman" w:hAnsi="Times New Roman" w:cs="Times New Roman"/>
          <w:sz w:val="28"/>
          <w:szCs w:val="28"/>
        </w:rPr>
        <w:t xml:space="preserve">.  В другом исследовании метастазы в кости наблюдались в 29% случаев и обнаруживались как правило спустя 2.1 года после постановки диагноза в позвоночнике (86%) и костях таза (60%), причём 97% пациентов имели метастазы и в другие органы </w:t>
      </w:r>
      <w:r w:rsidRPr="007A1848">
        <w:rPr>
          <w:rFonts w:ascii="Times New Roman" w:hAnsi="Times New Roman" w:cs="Times New Roman"/>
          <w:sz w:val="28"/>
          <w:szCs w:val="28"/>
        </w:rPr>
        <w:t>[19]</w:t>
      </w:r>
      <w:r>
        <w:rPr>
          <w:rFonts w:ascii="Times New Roman" w:hAnsi="Times New Roman" w:cs="Times New Roman"/>
          <w:sz w:val="28"/>
          <w:szCs w:val="28"/>
        </w:rPr>
        <w:t xml:space="preserve">. На основании классификации </w:t>
      </w:r>
      <w:r>
        <w:rPr>
          <w:rFonts w:ascii="Times New Roman" w:hAnsi="Times New Roman" w:cs="Times New Roman"/>
          <w:sz w:val="28"/>
          <w:szCs w:val="28"/>
          <w:lang w:val="en-US"/>
        </w:rPr>
        <w:t>TNM</w:t>
      </w:r>
      <w:r w:rsidRPr="0055733E">
        <w:rPr>
          <w:rFonts w:ascii="Times New Roman" w:hAnsi="Times New Roman" w:cs="Times New Roman"/>
          <w:sz w:val="28"/>
          <w:szCs w:val="28"/>
        </w:rPr>
        <w:t xml:space="preserve"> </w:t>
      </w:r>
      <w:r>
        <w:rPr>
          <w:rFonts w:ascii="Times New Roman" w:hAnsi="Times New Roman" w:cs="Times New Roman"/>
          <w:sz w:val="28"/>
          <w:szCs w:val="28"/>
        </w:rPr>
        <w:t xml:space="preserve">было выделено четыре стадии медуллярного рака (таблица 1.2). В исследовании, проведённом группой ученых из Кореи, был выявлен процент пятилетней безрецидивной выживаемости для каждой из четырех стадий: </w:t>
      </w:r>
      <w:r>
        <w:rPr>
          <w:rFonts w:ascii="Times New Roman" w:hAnsi="Times New Roman" w:cs="Times New Roman"/>
          <w:sz w:val="28"/>
          <w:szCs w:val="28"/>
          <w:lang w:val="en-US"/>
        </w:rPr>
        <w:t>I</w:t>
      </w:r>
      <w:r w:rsidRPr="00B74C7D">
        <w:rPr>
          <w:rFonts w:ascii="Times New Roman" w:hAnsi="Times New Roman" w:cs="Times New Roman"/>
          <w:sz w:val="28"/>
          <w:szCs w:val="28"/>
        </w:rPr>
        <w:t xml:space="preserve"> </w:t>
      </w:r>
      <w:r>
        <w:rPr>
          <w:rFonts w:ascii="Times New Roman" w:hAnsi="Times New Roman" w:cs="Times New Roman"/>
          <w:sz w:val="28"/>
          <w:szCs w:val="28"/>
        </w:rPr>
        <w:t>–</w:t>
      </w:r>
      <w:r w:rsidRPr="00B74C7D">
        <w:rPr>
          <w:rFonts w:ascii="Times New Roman" w:hAnsi="Times New Roman" w:cs="Times New Roman"/>
          <w:sz w:val="28"/>
          <w:szCs w:val="28"/>
        </w:rPr>
        <w:t xml:space="preserve"> 97.8%, </w:t>
      </w:r>
      <w:r>
        <w:rPr>
          <w:rFonts w:ascii="Times New Roman" w:hAnsi="Times New Roman" w:cs="Times New Roman"/>
          <w:sz w:val="28"/>
          <w:szCs w:val="28"/>
          <w:lang w:val="en-US"/>
        </w:rPr>
        <w:t>II</w:t>
      </w:r>
      <w:r w:rsidRPr="001600F8">
        <w:rPr>
          <w:rFonts w:ascii="Times New Roman" w:hAnsi="Times New Roman" w:cs="Times New Roman"/>
          <w:sz w:val="28"/>
          <w:szCs w:val="28"/>
        </w:rPr>
        <w:t xml:space="preserve"> </w:t>
      </w:r>
      <w:r>
        <w:rPr>
          <w:rFonts w:ascii="Times New Roman" w:hAnsi="Times New Roman" w:cs="Times New Roman"/>
          <w:sz w:val="28"/>
          <w:szCs w:val="28"/>
        </w:rPr>
        <w:t>–</w:t>
      </w:r>
      <w:r w:rsidRPr="001600F8">
        <w:rPr>
          <w:rFonts w:ascii="Times New Roman" w:hAnsi="Times New Roman" w:cs="Times New Roman"/>
          <w:sz w:val="28"/>
          <w:szCs w:val="28"/>
        </w:rPr>
        <w:t xml:space="preserve"> 78.2%,</w:t>
      </w:r>
      <w:r w:rsidRPr="00B74C7D">
        <w:rPr>
          <w:rFonts w:ascii="Times New Roman" w:hAnsi="Times New Roman" w:cs="Times New Roman"/>
          <w:sz w:val="28"/>
          <w:szCs w:val="28"/>
        </w:rPr>
        <w:t xml:space="preserve"> </w:t>
      </w:r>
      <w:r>
        <w:rPr>
          <w:rFonts w:ascii="Times New Roman" w:hAnsi="Times New Roman" w:cs="Times New Roman"/>
          <w:sz w:val="28"/>
          <w:szCs w:val="28"/>
          <w:lang w:val="en-US"/>
        </w:rPr>
        <w:t>III</w:t>
      </w:r>
      <w:r w:rsidRPr="001600F8">
        <w:rPr>
          <w:rFonts w:ascii="Times New Roman" w:hAnsi="Times New Roman" w:cs="Times New Roman"/>
          <w:sz w:val="28"/>
          <w:szCs w:val="28"/>
        </w:rPr>
        <w:t xml:space="preserve"> </w:t>
      </w:r>
      <w:r>
        <w:rPr>
          <w:rFonts w:ascii="Times New Roman" w:hAnsi="Times New Roman" w:cs="Times New Roman"/>
          <w:sz w:val="28"/>
          <w:szCs w:val="28"/>
        </w:rPr>
        <w:t>–</w:t>
      </w:r>
      <w:r w:rsidRPr="001600F8">
        <w:rPr>
          <w:rFonts w:ascii="Times New Roman" w:hAnsi="Times New Roman" w:cs="Times New Roman"/>
          <w:sz w:val="28"/>
          <w:szCs w:val="28"/>
        </w:rPr>
        <w:t xml:space="preserve"> 70.2%, </w:t>
      </w:r>
      <w:r>
        <w:rPr>
          <w:rFonts w:ascii="Times New Roman" w:hAnsi="Times New Roman" w:cs="Times New Roman"/>
          <w:sz w:val="28"/>
          <w:szCs w:val="28"/>
          <w:lang w:val="en-US"/>
        </w:rPr>
        <w:t>IV</w:t>
      </w:r>
      <w:r w:rsidRPr="002342D7">
        <w:rPr>
          <w:rFonts w:ascii="Times New Roman" w:hAnsi="Times New Roman" w:cs="Times New Roman"/>
          <w:sz w:val="28"/>
          <w:szCs w:val="28"/>
        </w:rPr>
        <w:t xml:space="preserve"> </w:t>
      </w:r>
      <w:r>
        <w:rPr>
          <w:rFonts w:ascii="Times New Roman" w:hAnsi="Times New Roman" w:cs="Times New Roman"/>
          <w:sz w:val="28"/>
          <w:szCs w:val="28"/>
        </w:rPr>
        <w:t>–</w:t>
      </w:r>
      <w:r w:rsidRPr="002342D7">
        <w:rPr>
          <w:rFonts w:ascii="Times New Roman" w:hAnsi="Times New Roman" w:cs="Times New Roman"/>
          <w:sz w:val="28"/>
          <w:szCs w:val="28"/>
        </w:rPr>
        <w:t xml:space="preserve"> 5</w:t>
      </w:r>
      <w:r>
        <w:rPr>
          <w:rFonts w:ascii="Times New Roman" w:hAnsi="Times New Roman" w:cs="Times New Roman"/>
          <w:sz w:val="28"/>
          <w:szCs w:val="28"/>
        </w:rPr>
        <w:t>2</w:t>
      </w:r>
      <w:r w:rsidRPr="002342D7">
        <w:rPr>
          <w:rFonts w:ascii="Times New Roman" w:hAnsi="Times New Roman" w:cs="Times New Roman"/>
          <w:sz w:val="28"/>
          <w:szCs w:val="28"/>
        </w:rPr>
        <w:t>.</w:t>
      </w:r>
      <w:r>
        <w:rPr>
          <w:rFonts w:ascii="Times New Roman" w:hAnsi="Times New Roman" w:cs="Times New Roman"/>
          <w:sz w:val="28"/>
          <w:szCs w:val="28"/>
        </w:rPr>
        <w:t>6</w:t>
      </w:r>
      <w:r w:rsidRPr="002342D7">
        <w:rPr>
          <w:rFonts w:ascii="Times New Roman" w:hAnsi="Times New Roman" w:cs="Times New Roman"/>
          <w:sz w:val="28"/>
          <w:szCs w:val="28"/>
        </w:rPr>
        <w:t>%.</w:t>
      </w:r>
      <w:r>
        <w:rPr>
          <w:rFonts w:ascii="Times New Roman" w:hAnsi="Times New Roman" w:cs="Times New Roman"/>
          <w:sz w:val="28"/>
          <w:szCs w:val="28"/>
        </w:rPr>
        <w:t xml:space="preserve"> Также была выявлена доля пятилетней причиноспецифической выживаемости: </w:t>
      </w:r>
      <w:r>
        <w:rPr>
          <w:rFonts w:ascii="Times New Roman" w:hAnsi="Times New Roman" w:cs="Times New Roman"/>
          <w:sz w:val="28"/>
          <w:szCs w:val="28"/>
          <w:lang w:val="en-US"/>
        </w:rPr>
        <w:t>I</w:t>
      </w:r>
      <w:r w:rsidRPr="00B74C7D">
        <w:rPr>
          <w:rFonts w:ascii="Times New Roman" w:hAnsi="Times New Roman" w:cs="Times New Roman"/>
          <w:sz w:val="28"/>
          <w:szCs w:val="28"/>
        </w:rPr>
        <w:t xml:space="preserve"> </w:t>
      </w:r>
      <w:r>
        <w:rPr>
          <w:rFonts w:ascii="Times New Roman" w:hAnsi="Times New Roman" w:cs="Times New Roman"/>
          <w:sz w:val="28"/>
          <w:szCs w:val="28"/>
        </w:rPr>
        <w:t>–</w:t>
      </w:r>
      <w:r w:rsidRPr="00B74C7D">
        <w:rPr>
          <w:rFonts w:ascii="Times New Roman" w:hAnsi="Times New Roman" w:cs="Times New Roman"/>
          <w:sz w:val="28"/>
          <w:szCs w:val="28"/>
        </w:rPr>
        <w:t xml:space="preserve"> </w:t>
      </w:r>
      <w:r>
        <w:rPr>
          <w:rFonts w:ascii="Times New Roman" w:hAnsi="Times New Roman" w:cs="Times New Roman"/>
          <w:sz w:val="28"/>
          <w:szCs w:val="28"/>
        </w:rPr>
        <w:t>100</w:t>
      </w:r>
      <w:r w:rsidRPr="00B74C7D">
        <w:rPr>
          <w:rFonts w:ascii="Times New Roman" w:hAnsi="Times New Roman" w:cs="Times New Roman"/>
          <w:sz w:val="28"/>
          <w:szCs w:val="28"/>
        </w:rPr>
        <w:t xml:space="preserve">%, </w:t>
      </w:r>
      <w:r>
        <w:rPr>
          <w:rFonts w:ascii="Times New Roman" w:hAnsi="Times New Roman" w:cs="Times New Roman"/>
          <w:sz w:val="28"/>
          <w:szCs w:val="28"/>
          <w:lang w:val="en-US"/>
        </w:rPr>
        <w:t>II</w:t>
      </w:r>
      <w:r w:rsidRPr="001600F8">
        <w:rPr>
          <w:rFonts w:ascii="Times New Roman" w:hAnsi="Times New Roman" w:cs="Times New Roman"/>
          <w:sz w:val="28"/>
          <w:szCs w:val="28"/>
        </w:rPr>
        <w:t xml:space="preserve"> </w:t>
      </w:r>
      <w:r>
        <w:rPr>
          <w:rFonts w:ascii="Times New Roman" w:hAnsi="Times New Roman" w:cs="Times New Roman"/>
          <w:sz w:val="28"/>
          <w:szCs w:val="28"/>
        </w:rPr>
        <w:t>–</w:t>
      </w:r>
      <w:r w:rsidRPr="001600F8">
        <w:rPr>
          <w:rFonts w:ascii="Times New Roman" w:hAnsi="Times New Roman" w:cs="Times New Roman"/>
          <w:sz w:val="28"/>
          <w:szCs w:val="28"/>
        </w:rPr>
        <w:t xml:space="preserve"> </w:t>
      </w:r>
      <w:r>
        <w:rPr>
          <w:rFonts w:ascii="Times New Roman" w:hAnsi="Times New Roman" w:cs="Times New Roman"/>
          <w:sz w:val="28"/>
          <w:szCs w:val="28"/>
        </w:rPr>
        <w:t>100</w:t>
      </w:r>
      <w:r w:rsidRPr="001600F8">
        <w:rPr>
          <w:rFonts w:ascii="Times New Roman" w:hAnsi="Times New Roman" w:cs="Times New Roman"/>
          <w:sz w:val="28"/>
          <w:szCs w:val="28"/>
        </w:rPr>
        <w:t>%,</w:t>
      </w:r>
      <w:r w:rsidRPr="00B74C7D">
        <w:rPr>
          <w:rFonts w:ascii="Times New Roman" w:hAnsi="Times New Roman" w:cs="Times New Roman"/>
          <w:sz w:val="28"/>
          <w:szCs w:val="28"/>
        </w:rPr>
        <w:t xml:space="preserve"> </w:t>
      </w:r>
      <w:r>
        <w:rPr>
          <w:rFonts w:ascii="Times New Roman" w:hAnsi="Times New Roman" w:cs="Times New Roman"/>
          <w:sz w:val="28"/>
          <w:szCs w:val="28"/>
          <w:lang w:val="en-US"/>
        </w:rPr>
        <w:t>III</w:t>
      </w:r>
      <w:r w:rsidRPr="001600F8">
        <w:rPr>
          <w:rFonts w:ascii="Times New Roman" w:hAnsi="Times New Roman" w:cs="Times New Roman"/>
          <w:sz w:val="28"/>
          <w:szCs w:val="28"/>
        </w:rPr>
        <w:t xml:space="preserve"> </w:t>
      </w:r>
      <w:r>
        <w:rPr>
          <w:rFonts w:ascii="Times New Roman" w:hAnsi="Times New Roman" w:cs="Times New Roman"/>
          <w:sz w:val="28"/>
          <w:szCs w:val="28"/>
        </w:rPr>
        <w:t>–</w:t>
      </w:r>
      <w:r w:rsidRPr="001600F8">
        <w:rPr>
          <w:rFonts w:ascii="Times New Roman" w:hAnsi="Times New Roman" w:cs="Times New Roman"/>
          <w:sz w:val="28"/>
          <w:szCs w:val="28"/>
        </w:rPr>
        <w:t xml:space="preserve"> </w:t>
      </w:r>
      <w:r>
        <w:rPr>
          <w:rFonts w:ascii="Times New Roman" w:hAnsi="Times New Roman" w:cs="Times New Roman"/>
          <w:sz w:val="28"/>
          <w:szCs w:val="28"/>
        </w:rPr>
        <w:t>95.7</w:t>
      </w:r>
      <w:r w:rsidRPr="001600F8">
        <w:rPr>
          <w:rFonts w:ascii="Times New Roman" w:hAnsi="Times New Roman" w:cs="Times New Roman"/>
          <w:sz w:val="28"/>
          <w:szCs w:val="28"/>
        </w:rPr>
        <w:t xml:space="preserve">%, </w:t>
      </w:r>
      <w:r>
        <w:rPr>
          <w:rFonts w:ascii="Times New Roman" w:hAnsi="Times New Roman" w:cs="Times New Roman"/>
          <w:sz w:val="28"/>
          <w:szCs w:val="28"/>
          <w:lang w:val="en-US"/>
        </w:rPr>
        <w:t>IV</w:t>
      </w:r>
      <w:r w:rsidRPr="002342D7">
        <w:rPr>
          <w:rFonts w:ascii="Times New Roman" w:hAnsi="Times New Roman" w:cs="Times New Roman"/>
          <w:sz w:val="28"/>
          <w:szCs w:val="28"/>
        </w:rPr>
        <w:t xml:space="preserve"> </w:t>
      </w:r>
      <w:r>
        <w:rPr>
          <w:rFonts w:ascii="Times New Roman" w:hAnsi="Times New Roman" w:cs="Times New Roman"/>
          <w:sz w:val="28"/>
          <w:szCs w:val="28"/>
        </w:rPr>
        <w:t>–</w:t>
      </w:r>
      <w:r w:rsidRPr="002342D7">
        <w:rPr>
          <w:rFonts w:ascii="Times New Roman" w:hAnsi="Times New Roman" w:cs="Times New Roman"/>
          <w:sz w:val="28"/>
          <w:szCs w:val="28"/>
        </w:rPr>
        <w:t xml:space="preserve"> </w:t>
      </w:r>
      <w:r>
        <w:rPr>
          <w:rFonts w:ascii="Times New Roman" w:hAnsi="Times New Roman" w:cs="Times New Roman"/>
          <w:sz w:val="28"/>
          <w:szCs w:val="28"/>
        </w:rPr>
        <w:t>85.3</w:t>
      </w:r>
      <w:r w:rsidRPr="002342D7">
        <w:rPr>
          <w:rFonts w:ascii="Times New Roman" w:hAnsi="Times New Roman" w:cs="Times New Roman"/>
          <w:sz w:val="28"/>
          <w:szCs w:val="28"/>
        </w:rPr>
        <w:t>%</w:t>
      </w:r>
      <w:r>
        <w:rPr>
          <w:rFonts w:ascii="Times New Roman" w:hAnsi="Times New Roman" w:cs="Times New Roman"/>
          <w:sz w:val="28"/>
          <w:szCs w:val="28"/>
        </w:rPr>
        <w:t xml:space="preserve"> </w:t>
      </w:r>
      <w:r w:rsidRPr="00F65DC1">
        <w:rPr>
          <w:rFonts w:ascii="Times New Roman" w:hAnsi="Times New Roman" w:cs="Times New Roman"/>
          <w:sz w:val="28"/>
          <w:szCs w:val="28"/>
        </w:rPr>
        <w:t>[18]</w:t>
      </w:r>
      <w:r w:rsidRPr="002342D7">
        <w:rPr>
          <w:rFonts w:ascii="Times New Roman" w:hAnsi="Times New Roman" w:cs="Times New Roman"/>
          <w:sz w:val="28"/>
          <w:szCs w:val="28"/>
        </w:rPr>
        <w:t>.</w:t>
      </w:r>
      <w:r>
        <w:rPr>
          <w:rFonts w:ascii="Times New Roman" w:hAnsi="Times New Roman" w:cs="Times New Roman"/>
          <w:sz w:val="28"/>
          <w:szCs w:val="28"/>
        </w:rPr>
        <w:t xml:space="preserve">    </w:t>
      </w:r>
    </w:p>
    <w:p w14:paraId="3FF30028" w14:textId="77777777" w:rsidR="00E775F5" w:rsidRDefault="00E775F5" w:rsidP="0041641C">
      <w:pPr>
        <w:spacing w:line="360" w:lineRule="auto"/>
        <w:jc w:val="center"/>
        <w:rPr>
          <w:rFonts w:ascii="Times New Roman" w:hAnsi="Times New Roman" w:cs="Times New Roman"/>
          <w:noProof/>
          <w:sz w:val="28"/>
          <w:szCs w:val="28"/>
        </w:rPr>
      </w:pPr>
    </w:p>
    <w:p w14:paraId="3F7879EC" w14:textId="520FB72C" w:rsidR="0041641C" w:rsidRPr="005E0E8C" w:rsidRDefault="0041641C" w:rsidP="0041641C">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Таблица 1.2 Клинические стадии МРЩЖ</w:t>
      </w:r>
    </w:p>
    <w:p w14:paraId="0BEA342F" w14:textId="77777777" w:rsidR="0041641C" w:rsidRPr="00CE7BB7" w:rsidRDefault="0041641C" w:rsidP="0041641C">
      <w:pPr>
        <w:spacing w:line="360" w:lineRule="auto"/>
        <w:jc w:val="both"/>
        <w:rPr>
          <w:rFonts w:ascii="Times New Roman" w:hAnsi="Times New Roman" w:cs="Times New Roman"/>
          <w:noProof/>
          <w:sz w:val="28"/>
          <w:szCs w:val="28"/>
        </w:rPr>
      </w:pPr>
      <w:r>
        <w:rPr>
          <w:noProof/>
        </w:rPr>
        <w:drawing>
          <wp:inline distT="0" distB="0" distL="0" distR="0" wp14:anchorId="7F13F3C9" wp14:editId="3AF72BDC">
            <wp:extent cx="4448175" cy="150391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810" t="53898" r="26353" b="30990"/>
                    <a:stretch/>
                  </pic:blipFill>
                  <pic:spPr bwMode="auto">
                    <a:xfrm>
                      <a:off x="0" y="0"/>
                      <a:ext cx="4505804" cy="1523394"/>
                    </a:xfrm>
                    <a:prstGeom prst="rect">
                      <a:avLst/>
                    </a:prstGeom>
                    <a:ln>
                      <a:noFill/>
                    </a:ln>
                    <a:extLst>
                      <a:ext uri="{53640926-AAD7-44D8-BBD7-CCE9431645EC}">
                        <a14:shadowObscured xmlns:a14="http://schemas.microsoft.com/office/drawing/2010/main"/>
                      </a:ext>
                    </a:extLst>
                  </pic:spPr>
                </pic:pic>
              </a:graphicData>
            </a:graphic>
          </wp:inline>
        </w:drawing>
      </w:r>
    </w:p>
    <w:p w14:paraId="32E097FC" w14:textId="77777777" w:rsidR="0041641C" w:rsidRDefault="0041641C" w:rsidP="0041641C">
      <w:pPr>
        <w:spacing w:line="360" w:lineRule="auto"/>
        <w:jc w:val="both"/>
        <w:rPr>
          <w:rFonts w:ascii="Times New Roman" w:hAnsi="Times New Roman" w:cs="Times New Roman"/>
          <w:b/>
          <w:bCs/>
          <w:sz w:val="28"/>
          <w:szCs w:val="28"/>
        </w:rPr>
      </w:pPr>
      <w:r w:rsidRPr="00465618">
        <w:rPr>
          <w:rFonts w:ascii="Times New Roman" w:hAnsi="Times New Roman" w:cs="Times New Roman"/>
          <w:b/>
          <w:bCs/>
          <w:sz w:val="28"/>
          <w:szCs w:val="28"/>
        </w:rPr>
        <w:t>1.3. Морфология</w:t>
      </w:r>
    </w:p>
    <w:p w14:paraId="6D337F21" w14:textId="77777777" w:rsidR="0041641C" w:rsidRPr="00897DCB" w:rsidRDefault="0041641C" w:rsidP="0041641C">
      <w:pPr>
        <w:spacing w:line="360" w:lineRule="auto"/>
        <w:jc w:val="both"/>
        <w:rPr>
          <w:rFonts w:ascii="Times New Roman" w:hAnsi="Times New Roman" w:cs="Times New Roman"/>
          <w:b/>
          <w:bCs/>
          <w:sz w:val="28"/>
          <w:szCs w:val="28"/>
        </w:rPr>
      </w:pPr>
      <w:r>
        <w:rPr>
          <w:rFonts w:ascii="Times New Roman" w:hAnsi="Times New Roman"/>
          <w:sz w:val="28"/>
          <w:szCs w:val="28"/>
        </w:rPr>
        <w:t>На гистологическом уровне МРЩЗ выглядит как тяжи и трабекулы полигональных, круглых и веретенообразных клеток, разделённых фиброваскулярной стромой, которая содержит различные количества амилоидных включений. Опухолевые клетки содержат круглые и овальные ядра с большими комками хроматина, в цитоплазме присутствуют связанные с мембраной секреторные гранулы, в которых накапливаются кальцитонин и другие пептиды. МРЩЗ может иметь различные варианты цитоархетиктоники (трабекулярный, железистый, паппиллярный, псевдопапиллярный, карциноидоподобный и др.), причём как правило опухоль содержит различные их сочетания, однако существенного влияния на прогноз и тактику дальнейшего лечения это не имеет. Но это важно для проведения дифференциальной диагностики с другими типами опухолей. Кроме того, в опухоль может состоять из преобладающей популяции клеток определённого вида (плазмацитоидных, мелких клеток, гигантских с плеоморфным ядром и др.). Здесь очень важна диагностика мелкоклеточной формы, особенно если в клетках нет включений кальцитонина, так как это может быть метастатическая карцинома щитовидной железы. В 95% случаев при иммуногистохимической окраске на кальцитонин МРЩЖ окрашивается позитивно.</w:t>
      </w:r>
    </w:p>
    <w:p w14:paraId="6BA0F3FF" w14:textId="77777777" w:rsidR="0041641C" w:rsidRDefault="0041641C" w:rsidP="0041641C">
      <w:pPr>
        <w:spacing w:line="360" w:lineRule="auto"/>
        <w:jc w:val="both"/>
        <w:rPr>
          <w:rFonts w:ascii="Times New Roman" w:hAnsi="Times New Roman"/>
          <w:sz w:val="28"/>
          <w:szCs w:val="28"/>
        </w:rPr>
      </w:pPr>
      <w:r>
        <w:rPr>
          <w:rFonts w:ascii="Times New Roman" w:hAnsi="Times New Roman"/>
          <w:sz w:val="28"/>
          <w:szCs w:val="28"/>
        </w:rPr>
        <w:t>Есть и другие иммуногистохимические маркёры МРЩЖ, такие как белок, ассоциированный с геном кальцитонина (</w:t>
      </w:r>
      <w:r>
        <w:rPr>
          <w:rFonts w:ascii="Times New Roman" w:hAnsi="Times New Roman"/>
          <w:sz w:val="28"/>
          <w:szCs w:val="28"/>
          <w:lang w:val="en-US"/>
        </w:rPr>
        <w:t>CGRP</w:t>
      </w:r>
      <w:r w:rsidRPr="0045345E">
        <w:rPr>
          <w:rFonts w:ascii="Times New Roman" w:hAnsi="Times New Roman"/>
          <w:sz w:val="28"/>
          <w:szCs w:val="28"/>
        </w:rPr>
        <w:t>)</w:t>
      </w:r>
      <w:r>
        <w:rPr>
          <w:rFonts w:ascii="Times New Roman" w:hAnsi="Times New Roman"/>
          <w:sz w:val="28"/>
          <w:szCs w:val="28"/>
        </w:rPr>
        <w:t xml:space="preserve">, карциноэмбриональный </w:t>
      </w:r>
      <w:r>
        <w:rPr>
          <w:rFonts w:ascii="Times New Roman" w:hAnsi="Times New Roman"/>
          <w:sz w:val="28"/>
          <w:szCs w:val="28"/>
        </w:rPr>
        <w:lastRenderedPageBreak/>
        <w:t>антиген (РЭА</w:t>
      </w:r>
      <w:r w:rsidRPr="0045345E">
        <w:rPr>
          <w:rFonts w:ascii="Times New Roman" w:hAnsi="Times New Roman"/>
          <w:sz w:val="28"/>
          <w:szCs w:val="28"/>
        </w:rPr>
        <w:t>)</w:t>
      </w:r>
      <w:r>
        <w:rPr>
          <w:rFonts w:ascii="Times New Roman" w:hAnsi="Times New Roman"/>
          <w:sz w:val="28"/>
          <w:szCs w:val="28"/>
        </w:rPr>
        <w:t>,</w:t>
      </w:r>
      <w:r w:rsidRPr="0045345E">
        <w:rPr>
          <w:rFonts w:ascii="Times New Roman" w:hAnsi="Times New Roman"/>
          <w:sz w:val="28"/>
          <w:szCs w:val="28"/>
        </w:rPr>
        <w:t xml:space="preserve"> </w:t>
      </w:r>
      <w:r>
        <w:rPr>
          <w:rFonts w:ascii="Times New Roman" w:hAnsi="Times New Roman"/>
          <w:sz w:val="28"/>
          <w:szCs w:val="28"/>
        </w:rPr>
        <w:t xml:space="preserve">тиреоидный фактор транскрипции 1 </w:t>
      </w:r>
      <w:r w:rsidRPr="0045345E">
        <w:rPr>
          <w:rFonts w:ascii="Times New Roman" w:hAnsi="Times New Roman"/>
          <w:sz w:val="28"/>
          <w:szCs w:val="28"/>
        </w:rPr>
        <w:t>(</w:t>
      </w:r>
      <w:r>
        <w:rPr>
          <w:rFonts w:ascii="Times New Roman" w:hAnsi="Times New Roman"/>
          <w:sz w:val="28"/>
          <w:szCs w:val="28"/>
          <w:lang w:val="en-US"/>
        </w:rPr>
        <w:t>TTF</w:t>
      </w:r>
      <w:r w:rsidRPr="0045345E">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lang w:val="en-US"/>
        </w:rPr>
        <w:t>CGRP</w:t>
      </w:r>
      <w:r w:rsidRPr="0045345E">
        <w:rPr>
          <w:rFonts w:ascii="Times New Roman" w:hAnsi="Times New Roman"/>
          <w:sz w:val="28"/>
          <w:szCs w:val="28"/>
        </w:rPr>
        <w:t xml:space="preserve"> – </w:t>
      </w:r>
      <w:r>
        <w:rPr>
          <w:rFonts w:ascii="Times New Roman" w:hAnsi="Times New Roman"/>
          <w:sz w:val="28"/>
          <w:szCs w:val="28"/>
        </w:rPr>
        <w:t xml:space="preserve">белок, закодированный в 11 хромосоме и получающийся в результате альтернативного сплайсинга гена кальцитонина. </w:t>
      </w:r>
      <w:r>
        <w:rPr>
          <w:rFonts w:ascii="Times New Roman" w:hAnsi="Times New Roman"/>
          <w:sz w:val="28"/>
          <w:szCs w:val="28"/>
          <w:lang w:val="en-US"/>
        </w:rPr>
        <w:t>CGRP</w:t>
      </w:r>
      <w:r w:rsidRPr="0045345E">
        <w:rPr>
          <w:rFonts w:ascii="Times New Roman" w:hAnsi="Times New Roman"/>
          <w:sz w:val="28"/>
          <w:szCs w:val="28"/>
        </w:rPr>
        <w:t xml:space="preserve"> </w:t>
      </w:r>
      <w:r>
        <w:rPr>
          <w:rFonts w:ascii="Times New Roman" w:hAnsi="Times New Roman"/>
          <w:sz w:val="28"/>
          <w:szCs w:val="28"/>
        </w:rPr>
        <w:t>и</w:t>
      </w:r>
      <w:r w:rsidRPr="0045345E">
        <w:rPr>
          <w:rFonts w:ascii="Times New Roman" w:hAnsi="Times New Roman"/>
          <w:sz w:val="28"/>
          <w:szCs w:val="28"/>
        </w:rPr>
        <w:t xml:space="preserve"> </w:t>
      </w:r>
      <w:r>
        <w:rPr>
          <w:rFonts w:ascii="Times New Roman" w:hAnsi="Times New Roman"/>
          <w:sz w:val="28"/>
          <w:szCs w:val="28"/>
        </w:rPr>
        <w:t>РЭА</w:t>
      </w:r>
      <w:r w:rsidRPr="0045345E">
        <w:rPr>
          <w:rFonts w:ascii="Times New Roman" w:hAnsi="Times New Roman"/>
          <w:sz w:val="28"/>
          <w:szCs w:val="28"/>
        </w:rPr>
        <w:t xml:space="preserve"> </w:t>
      </w:r>
      <w:r>
        <w:rPr>
          <w:rFonts w:ascii="Times New Roman" w:hAnsi="Times New Roman"/>
          <w:sz w:val="28"/>
          <w:szCs w:val="28"/>
        </w:rPr>
        <w:t xml:space="preserve">часто дают позитивное окрашивание, даже тогда, когда кальцитонин в клетках медуллярной карциномы не выявляется. </w:t>
      </w:r>
      <w:r>
        <w:rPr>
          <w:rFonts w:ascii="Times New Roman" w:hAnsi="Times New Roman"/>
          <w:sz w:val="28"/>
          <w:szCs w:val="28"/>
          <w:lang w:val="en-US"/>
        </w:rPr>
        <w:t>TTF</w:t>
      </w:r>
      <w:r w:rsidRPr="0045345E">
        <w:rPr>
          <w:rFonts w:ascii="Times New Roman" w:hAnsi="Times New Roman"/>
          <w:sz w:val="28"/>
          <w:szCs w:val="28"/>
        </w:rPr>
        <w:t>-1</w:t>
      </w:r>
      <w:r>
        <w:rPr>
          <w:rFonts w:ascii="Times New Roman" w:hAnsi="Times New Roman"/>
          <w:sz w:val="28"/>
          <w:szCs w:val="28"/>
        </w:rPr>
        <w:t xml:space="preserve">регулирует экспрессию генов в лёгких, щитовидной железе и промежуточном мозге в процессе эмбрионального развития. В щитовидной железе </w:t>
      </w:r>
      <w:r>
        <w:rPr>
          <w:rFonts w:ascii="Times New Roman" w:hAnsi="Times New Roman"/>
          <w:sz w:val="28"/>
          <w:szCs w:val="28"/>
          <w:lang w:val="en-US"/>
        </w:rPr>
        <w:t>TTF</w:t>
      </w:r>
      <w:r w:rsidRPr="0045345E">
        <w:rPr>
          <w:rFonts w:ascii="Times New Roman" w:hAnsi="Times New Roman"/>
          <w:sz w:val="28"/>
          <w:szCs w:val="28"/>
        </w:rPr>
        <w:t>-1</w:t>
      </w:r>
      <w:r>
        <w:rPr>
          <w:rFonts w:ascii="Times New Roman" w:hAnsi="Times New Roman"/>
          <w:sz w:val="28"/>
          <w:szCs w:val="28"/>
        </w:rPr>
        <w:t xml:space="preserve"> экспрессируется не только в доброкачественных и злокачественных опухолях из фолликулярных клеток, но и в медуллярной карциноме. Соответственно </w:t>
      </w:r>
      <w:r>
        <w:rPr>
          <w:rFonts w:ascii="Times New Roman" w:hAnsi="Times New Roman"/>
          <w:sz w:val="28"/>
          <w:szCs w:val="28"/>
          <w:lang w:val="en-US"/>
        </w:rPr>
        <w:t>TTF</w:t>
      </w:r>
      <w:r w:rsidRPr="0045345E">
        <w:rPr>
          <w:rFonts w:ascii="Times New Roman" w:hAnsi="Times New Roman"/>
          <w:sz w:val="28"/>
          <w:szCs w:val="28"/>
        </w:rPr>
        <w:t>-1</w:t>
      </w:r>
      <w:r>
        <w:rPr>
          <w:rFonts w:ascii="Times New Roman" w:hAnsi="Times New Roman"/>
          <w:sz w:val="28"/>
          <w:szCs w:val="28"/>
        </w:rPr>
        <w:t xml:space="preserve"> также присутствует в новообразованиях лёгких и нейроэндокринных опухолях различной локализации, что может помогать в дифференциальной диагностике. В частности, МРЩЖ может выглядеть как метастаз нейроэндокринной опухоли при раке лёгкого.</w:t>
      </w:r>
    </w:p>
    <w:p w14:paraId="18BD63C4" w14:textId="77777777" w:rsidR="0041641C" w:rsidRDefault="0041641C" w:rsidP="0041641C">
      <w:pPr>
        <w:spacing w:line="360" w:lineRule="auto"/>
        <w:jc w:val="both"/>
        <w:rPr>
          <w:rFonts w:ascii="Times New Roman" w:hAnsi="Times New Roman"/>
          <w:sz w:val="28"/>
          <w:szCs w:val="28"/>
        </w:rPr>
      </w:pPr>
      <w:r>
        <w:rPr>
          <w:rFonts w:ascii="Times New Roman" w:hAnsi="Times New Roman"/>
          <w:sz w:val="28"/>
          <w:szCs w:val="28"/>
        </w:rPr>
        <w:t xml:space="preserve">Наследственные и спорадические формы МРЩЖ гистологически неразличимы, однако наследственные как правило билатеральны и мультицентричны, появляются как правило на фоне </w:t>
      </w:r>
      <w:r>
        <w:rPr>
          <w:rFonts w:ascii="Times New Roman" w:hAnsi="Times New Roman"/>
          <w:sz w:val="28"/>
          <w:szCs w:val="28"/>
          <w:lang w:val="en-US"/>
        </w:rPr>
        <w:t>C</w:t>
      </w:r>
      <w:r w:rsidRPr="0045345E">
        <w:rPr>
          <w:rFonts w:ascii="Times New Roman" w:hAnsi="Times New Roman"/>
          <w:sz w:val="28"/>
          <w:szCs w:val="28"/>
        </w:rPr>
        <w:t>-</w:t>
      </w:r>
      <w:r>
        <w:rPr>
          <w:rFonts w:ascii="Times New Roman" w:hAnsi="Times New Roman"/>
          <w:sz w:val="28"/>
          <w:szCs w:val="28"/>
        </w:rPr>
        <w:t xml:space="preserve">клеточной гиперплазии. </w:t>
      </w:r>
    </w:p>
    <w:p w14:paraId="200553F4" w14:textId="57CBFD55" w:rsidR="00E775F5" w:rsidRDefault="0041641C" w:rsidP="0041641C">
      <w:pPr>
        <w:spacing w:line="360" w:lineRule="auto"/>
        <w:jc w:val="both"/>
        <w:rPr>
          <w:rFonts w:ascii="Times New Roman" w:hAnsi="Times New Roman"/>
          <w:sz w:val="28"/>
          <w:szCs w:val="28"/>
        </w:rPr>
      </w:pPr>
      <w:r>
        <w:rPr>
          <w:rFonts w:ascii="Times New Roman" w:hAnsi="Times New Roman"/>
          <w:sz w:val="28"/>
          <w:szCs w:val="28"/>
        </w:rPr>
        <w:t xml:space="preserve">Гистологически выделяют новообразования близкие по структуре и\или являющиеся предикторами развития медуллярной карциномы щитовидной железы, такие как </w:t>
      </w:r>
      <w:r>
        <w:rPr>
          <w:rFonts w:ascii="Times New Roman" w:hAnsi="Times New Roman"/>
          <w:sz w:val="28"/>
          <w:szCs w:val="28"/>
          <w:lang w:val="en-US"/>
        </w:rPr>
        <w:t>C</w:t>
      </w:r>
      <w:r w:rsidRPr="0045345E">
        <w:rPr>
          <w:rFonts w:ascii="Times New Roman" w:hAnsi="Times New Roman"/>
          <w:sz w:val="28"/>
          <w:szCs w:val="28"/>
        </w:rPr>
        <w:t>-</w:t>
      </w:r>
      <w:r>
        <w:rPr>
          <w:rFonts w:ascii="Times New Roman" w:hAnsi="Times New Roman"/>
          <w:sz w:val="28"/>
          <w:szCs w:val="28"/>
        </w:rPr>
        <w:t xml:space="preserve">клеточная гиперплазия, медуллярная микрокарцинома, смешанная медуллярная и фолликулярная карцинома. Медуллярная микрокарцинома – это опухоль, имеющая размеры менее одного сантиметра. В большинстве случаев микрокарцинома выявлялась случайно в тканях железы, удалённой по другим причинам или диагностирована на фоне повышенных показателей кальцитонина при узловом заболевании щитовидной железы. В целом, прогноз как правило благоприятный, однако опухоль может давать узловые и отдалённые метастазы. </w:t>
      </w:r>
      <w:r>
        <w:rPr>
          <w:rFonts w:ascii="Times New Roman" w:hAnsi="Times New Roman"/>
          <w:sz w:val="28"/>
          <w:szCs w:val="28"/>
          <w:lang w:val="en-US"/>
        </w:rPr>
        <w:t>C</w:t>
      </w:r>
      <w:r w:rsidRPr="0045345E">
        <w:rPr>
          <w:rFonts w:ascii="Times New Roman" w:hAnsi="Times New Roman"/>
          <w:sz w:val="28"/>
          <w:szCs w:val="28"/>
        </w:rPr>
        <w:t>-</w:t>
      </w:r>
      <w:r>
        <w:rPr>
          <w:rFonts w:ascii="Times New Roman" w:hAnsi="Times New Roman"/>
          <w:sz w:val="28"/>
          <w:szCs w:val="28"/>
        </w:rPr>
        <w:t>клеточная гиперплазия – представлена повышенным количеством парафоликуллярных клеток в фолликулах щитовидной железы. В норме С-клетки локализуются в месте соединения верхней и средней долей щитовидной железы. Если С-</w:t>
      </w:r>
      <w:r>
        <w:rPr>
          <w:rFonts w:ascii="Times New Roman" w:hAnsi="Times New Roman"/>
          <w:sz w:val="28"/>
          <w:szCs w:val="28"/>
        </w:rPr>
        <w:lastRenderedPageBreak/>
        <w:t>клетки располагаются за пределами этой области, то это признак нарушения их пролиферации. Критериями С-клеточной гиперплазии являются неправильная анатомическая локализация парафолликулярных клеток и их наличие в кластере количеством больше семи</w:t>
      </w:r>
      <w:r w:rsidRPr="004B184F">
        <w:rPr>
          <w:rFonts w:ascii="Times New Roman" w:hAnsi="Times New Roman"/>
          <w:sz w:val="28"/>
          <w:szCs w:val="28"/>
        </w:rPr>
        <w:t xml:space="preserve"> [6]</w:t>
      </w:r>
      <w:r>
        <w:rPr>
          <w:rFonts w:ascii="Times New Roman" w:hAnsi="Times New Roman"/>
          <w:sz w:val="28"/>
          <w:szCs w:val="28"/>
        </w:rPr>
        <w:t xml:space="preserve">. </w:t>
      </w:r>
    </w:p>
    <w:p w14:paraId="47C28809" w14:textId="77777777" w:rsidR="00E775F5" w:rsidRPr="00E775F5" w:rsidRDefault="00E775F5" w:rsidP="0041641C">
      <w:pPr>
        <w:spacing w:line="360" w:lineRule="auto"/>
        <w:jc w:val="both"/>
        <w:rPr>
          <w:rFonts w:ascii="Times New Roman" w:hAnsi="Times New Roman"/>
          <w:sz w:val="28"/>
          <w:szCs w:val="28"/>
        </w:rPr>
      </w:pPr>
    </w:p>
    <w:p w14:paraId="5738039A" w14:textId="3BA0B9D1" w:rsidR="0041641C" w:rsidRDefault="0041641C" w:rsidP="0041641C">
      <w:pPr>
        <w:spacing w:line="360" w:lineRule="auto"/>
        <w:jc w:val="both"/>
        <w:rPr>
          <w:rFonts w:ascii="Times New Roman" w:hAnsi="Times New Roman" w:cs="Times New Roman"/>
          <w:b/>
          <w:bCs/>
          <w:sz w:val="28"/>
          <w:szCs w:val="28"/>
        </w:rPr>
      </w:pPr>
      <w:r w:rsidRPr="007C5FDB">
        <w:rPr>
          <w:rFonts w:ascii="Times New Roman" w:hAnsi="Times New Roman"/>
          <w:b/>
          <w:bCs/>
          <w:sz w:val="28"/>
          <w:szCs w:val="28"/>
        </w:rPr>
        <w:t xml:space="preserve">1.4 Клинические проявления </w:t>
      </w:r>
    </w:p>
    <w:p w14:paraId="1AEF0C21" w14:textId="77777777" w:rsidR="0041641C" w:rsidRDefault="0041641C" w:rsidP="0041641C">
      <w:pPr>
        <w:spacing w:line="360" w:lineRule="auto"/>
        <w:jc w:val="both"/>
        <w:rPr>
          <w:rFonts w:ascii="Times New Roman" w:hAnsi="Times New Roman"/>
          <w:sz w:val="28"/>
          <w:szCs w:val="28"/>
        </w:rPr>
      </w:pPr>
      <w:bookmarkStart w:id="5" w:name="_Hlk83216216"/>
      <w:r>
        <w:rPr>
          <w:rFonts w:ascii="Times New Roman" w:hAnsi="Times New Roman"/>
          <w:sz w:val="28"/>
          <w:szCs w:val="28"/>
        </w:rPr>
        <w:t xml:space="preserve">Непосредственными клиническими проявлениями МРЩЖ являются такие симптомы как осиплость голоса, диарея и приливы. Помимо кальцитонина для медуллярной карциномы свойственна выработка нейропептидов свойственных для апудом: вазоактивный интестинальный пептид, серотонин, простагландины, нейрокинин-А, гастрин-релизинг пептид, глюкагон и др., что и обуславливает появление диарейного синдрома и приливов. Однако в ряде случаев, у пациентов с МРЩЖ в первую очередь проявляется клиника МЭН синдрома второго типа </w:t>
      </w:r>
      <w:r w:rsidRPr="00402F8B">
        <w:rPr>
          <w:rFonts w:ascii="Times New Roman" w:hAnsi="Times New Roman"/>
          <w:sz w:val="28"/>
          <w:szCs w:val="28"/>
        </w:rPr>
        <w:t>[21]</w:t>
      </w:r>
      <w:r>
        <w:rPr>
          <w:rFonts w:ascii="Times New Roman" w:hAnsi="Times New Roman"/>
          <w:sz w:val="28"/>
          <w:szCs w:val="28"/>
        </w:rPr>
        <w:t xml:space="preserve">.  </w:t>
      </w:r>
    </w:p>
    <w:p w14:paraId="5FB11804" w14:textId="77777777" w:rsidR="0041641C" w:rsidRDefault="0041641C" w:rsidP="0041641C">
      <w:pPr>
        <w:spacing w:line="360" w:lineRule="auto"/>
        <w:jc w:val="both"/>
        <w:rPr>
          <w:rFonts w:ascii="Times New Roman" w:hAnsi="Times New Roman"/>
          <w:sz w:val="28"/>
          <w:szCs w:val="28"/>
        </w:rPr>
      </w:pPr>
      <w:r>
        <w:rPr>
          <w:rFonts w:ascii="Times New Roman" w:hAnsi="Times New Roman"/>
          <w:sz w:val="28"/>
          <w:szCs w:val="28"/>
        </w:rPr>
        <w:t xml:space="preserve">Возраст возникновения клинических симптомов МЭН 2А зависит от локализации мутации, но как правило синдром проявляется до 30 лет и встречается в 70-80% случаев среди всех наследственных форм. Первоначально манифестирует МРЩЖ, который выявляется в виде пальпируемого двустороннего образования ниже щитовидного хряща, причём в 50% случаев обнаружения пальпируемой опухоли определяются и метастазы в регионарные лимфоузлы. При достижении опухолью больших размеров возможно появление признаков сдавления окружающих тканей: дисфагия, нарушение фонации. Во вторую очередь развивается феохромоцитома, которая при МЭН синдроме в отличие от спорадической формы чаще является билатеральной. Есть также данные о том, что примерно в 10% случаев феохромоцитома манифестирует первой. Её основное проявление – кризовая артериальная гипертензия. Приблизительно у 7% пациентов появляется болезнь Гиршпрунга, которая проявляется обстипациями, симптомами </w:t>
      </w:r>
      <w:r>
        <w:rPr>
          <w:rFonts w:ascii="Times New Roman" w:hAnsi="Times New Roman"/>
          <w:sz w:val="28"/>
          <w:szCs w:val="28"/>
        </w:rPr>
        <w:lastRenderedPageBreak/>
        <w:t xml:space="preserve">кишечной непроходимости. Гиперпаратиреоз при МЭН 2А синдроме как правило незначителен.  </w:t>
      </w:r>
    </w:p>
    <w:p w14:paraId="27F33CFA" w14:textId="77777777" w:rsidR="0041641C" w:rsidRDefault="0041641C" w:rsidP="0041641C">
      <w:pPr>
        <w:spacing w:line="360" w:lineRule="auto"/>
        <w:jc w:val="both"/>
        <w:rPr>
          <w:rFonts w:ascii="Times New Roman" w:hAnsi="Times New Roman"/>
          <w:sz w:val="28"/>
          <w:szCs w:val="28"/>
        </w:rPr>
      </w:pPr>
      <w:r>
        <w:rPr>
          <w:rFonts w:ascii="Times New Roman" w:hAnsi="Times New Roman"/>
          <w:sz w:val="28"/>
          <w:szCs w:val="28"/>
        </w:rPr>
        <w:t>Для клиники синдрома МЭН 2В характерно раннее развитие и агрессивное течение МРЩЗ, который связан с феохромоцитомой и некоторыми особыми признаками такими как множественные ганглионевриномы конъюнктивы и слизистых ротовой полости, морфаноподобная внешность, деформации стоп и грудной клетки.</w:t>
      </w:r>
    </w:p>
    <w:p w14:paraId="39770F66" w14:textId="77777777" w:rsidR="0041641C" w:rsidRDefault="0041641C" w:rsidP="0041641C">
      <w:pPr>
        <w:spacing w:line="360" w:lineRule="auto"/>
        <w:jc w:val="both"/>
        <w:rPr>
          <w:rFonts w:ascii="Times New Roman" w:hAnsi="Times New Roman"/>
          <w:sz w:val="28"/>
          <w:szCs w:val="28"/>
        </w:rPr>
      </w:pPr>
      <w:r>
        <w:rPr>
          <w:rFonts w:ascii="Times New Roman" w:hAnsi="Times New Roman"/>
          <w:sz w:val="28"/>
          <w:szCs w:val="28"/>
        </w:rPr>
        <w:t>Для изолированной семейной формы и спорадической медуллярной карциномы характерно отсутствие связанных с ними эндокринных патологий других органов. Таким образом данные виды рака характеризуются только узловыми образованиями в щитовидной железе.</w:t>
      </w:r>
    </w:p>
    <w:bookmarkEnd w:id="5"/>
    <w:p w14:paraId="279687F5" w14:textId="77777777" w:rsidR="0041641C" w:rsidRDefault="0041641C" w:rsidP="0041641C">
      <w:pPr>
        <w:spacing w:line="360" w:lineRule="auto"/>
        <w:jc w:val="both"/>
        <w:rPr>
          <w:rFonts w:ascii="Times New Roman" w:hAnsi="Times New Roman" w:cs="Times New Roman"/>
          <w:sz w:val="28"/>
          <w:szCs w:val="28"/>
        </w:rPr>
      </w:pPr>
    </w:p>
    <w:p w14:paraId="54EA9BEB" w14:textId="77777777" w:rsidR="0041641C" w:rsidRDefault="0041641C" w:rsidP="0041641C">
      <w:pPr>
        <w:spacing w:line="360" w:lineRule="auto"/>
        <w:jc w:val="both"/>
        <w:rPr>
          <w:rFonts w:ascii="Times New Roman" w:hAnsi="Times New Roman" w:cs="Times New Roman"/>
          <w:b/>
          <w:bCs/>
          <w:sz w:val="28"/>
          <w:szCs w:val="28"/>
        </w:rPr>
      </w:pPr>
      <w:r w:rsidRPr="00F46F2B">
        <w:rPr>
          <w:rFonts w:ascii="Times New Roman" w:hAnsi="Times New Roman" w:cs="Times New Roman"/>
          <w:b/>
          <w:bCs/>
          <w:sz w:val="28"/>
          <w:szCs w:val="28"/>
        </w:rPr>
        <w:t>1.5 Хирургическое лечение</w:t>
      </w:r>
    </w:p>
    <w:p w14:paraId="476C5F03" w14:textId="77777777" w:rsidR="0041641C" w:rsidRDefault="0041641C" w:rsidP="0041641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1.5.1 Тиреоидэктомия</w:t>
      </w:r>
    </w:p>
    <w:p w14:paraId="0632496A" w14:textId="420BD312" w:rsidR="0041641C" w:rsidRPr="00E775F5"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в отечественных, так и в рекомендациях американского тиреоидологического общества медуллярная карцинома щитовидной железы всегда рассматривается как показание к тиреоидэктомии в независимости от наличия у пациента наследственной или спорадической формы. Основными аргументами в пользу такого решения являются: возможная наследственная природа опухоли (и как следствие мультифокальность); возможно наличие интрагландулярных метастазов; встречались случаи двустороннего поражения щитовидной железы и при спорадической форме. Однако исследования, сообщавшие о билатеральном спорадическом МРЩЖ, не основывались на анализах мутаций гена </w:t>
      </w:r>
      <w:r>
        <w:rPr>
          <w:rFonts w:ascii="Times New Roman" w:hAnsi="Times New Roman" w:cs="Times New Roman"/>
          <w:sz w:val="28"/>
          <w:szCs w:val="28"/>
          <w:lang w:val="en-US"/>
        </w:rPr>
        <w:t>RET</w:t>
      </w:r>
      <w:r>
        <w:rPr>
          <w:rFonts w:ascii="Times New Roman" w:hAnsi="Times New Roman" w:cs="Times New Roman"/>
          <w:sz w:val="28"/>
          <w:szCs w:val="28"/>
        </w:rPr>
        <w:t>, в то время как более современные генетические исследования практически исключают такую возможность</w:t>
      </w:r>
      <w:r w:rsidRPr="004B184F">
        <w:rPr>
          <w:rFonts w:ascii="Times New Roman" w:hAnsi="Times New Roman" w:cs="Times New Roman"/>
          <w:sz w:val="28"/>
          <w:szCs w:val="28"/>
        </w:rPr>
        <w:t xml:space="preserve"> [8]</w:t>
      </w:r>
      <w:r>
        <w:rPr>
          <w:rFonts w:ascii="Times New Roman" w:hAnsi="Times New Roman" w:cs="Times New Roman"/>
          <w:sz w:val="28"/>
          <w:szCs w:val="28"/>
        </w:rPr>
        <w:t xml:space="preserve">. Кроме того, были проведены исследования, в которых установили, что большая часть пациентов со спорадическим МРЩЖ после гемитиреоидэктомии имеет нормализацию уровня кальцитонина в </w:t>
      </w:r>
      <w:r>
        <w:rPr>
          <w:rFonts w:ascii="Times New Roman" w:hAnsi="Times New Roman" w:cs="Times New Roman"/>
          <w:sz w:val="28"/>
          <w:szCs w:val="28"/>
        </w:rPr>
        <w:lastRenderedPageBreak/>
        <w:t xml:space="preserve">послеоперационном периоде по сравнению той группой, где выполнялась тотальная резекция щитовидной железы. Так, в одном из них основываясь на наблюдении за 88 пациентами со спорадической медуллярной карциномой (отсутствовала </w:t>
      </w:r>
      <w:r>
        <w:rPr>
          <w:rFonts w:ascii="Times New Roman" w:hAnsi="Times New Roman" w:cs="Times New Roman"/>
          <w:sz w:val="28"/>
          <w:szCs w:val="28"/>
          <w:lang w:val="en-US"/>
        </w:rPr>
        <w:t>RET</w:t>
      </w:r>
      <w:r w:rsidRPr="00D56F27">
        <w:rPr>
          <w:rFonts w:ascii="Times New Roman" w:hAnsi="Times New Roman" w:cs="Times New Roman"/>
          <w:sz w:val="28"/>
          <w:szCs w:val="28"/>
        </w:rPr>
        <w:t>-</w:t>
      </w:r>
      <w:r>
        <w:rPr>
          <w:rFonts w:ascii="Times New Roman" w:hAnsi="Times New Roman" w:cs="Times New Roman"/>
          <w:sz w:val="28"/>
          <w:szCs w:val="28"/>
        </w:rPr>
        <w:t>мутация), которым была проведена гемитиреоидэктомия установлено, что пятнадцатилетняя причинно-специфическая выживаемость составляла 100%. Из 88 человек отдалённые рецидивы были обнаружены у четырёх пациентов спустя 47, 98, 184 и 198 месяцев после операции, двое пациентов умерли на 208 и 250 месяце после операции от МРЩЖ. Однако ни у одного из пациентов, не достигших излечения после оперативного вмешательства, не было выявлено рецидива заболевания в сохранённой доле щитовидной железы</w:t>
      </w:r>
      <w:r w:rsidRPr="00D2679B">
        <w:rPr>
          <w:rFonts w:ascii="Times New Roman" w:hAnsi="Times New Roman" w:cs="Times New Roman"/>
          <w:sz w:val="28"/>
          <w:szCs w:val="28"/>
        </w:rPr>
        <w:t xml:space="preserve"> [5]</w:t>
      </w:r>
      <w:r>
        <w:rPr>
          <w:rFonts w:ascii="Times New Roman" w:hAnsi="Times New Roman" w:cs="Times New Roman"/>
          <w:sz w:val="28"/>
          <w:szCs w:val="28"/>
        </w:rPr>
        <w:t>.</w:t>
      </w:r>
      <w:r w:rsidRPr="003C7744">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в ряде других работ было доказано, что у пациентов с высокодифференцированными новообразованиями щитовидной железы гемитиреоидэктомия была связана с меньшим числом послеоперационных осложнений, в то время как гипопаратиреоз после тиреоидэктомии коррелирует со снижением общей выживаемости пациентов. Тиреоидэктомия всегда связана с развитием гипотиреоза, что требует назначения заместительной терапии, которая необходима лишь небольшой части пациентов, перенесшим гемитиреоидэктомию. Таким образом, можно прийти к выводу о том, что пациенты со спорадическим МРЩЖ без герминогенной мутации </w:t>
      </w:r>
      <w:r>
        <w:rPr>
          <w:rFonts w:ascii="Times New Roman" w:hAnsi="Times New Roman" w:cs="Times New Roman"/>
          <w:sz w:val="28"/>
          <w:szCs w:val="28"/>
          <w:lang w:val="en-US"/>
        </w:rPr>
        <w:t>RET</w:t>
      </w:r>
      <w:r>
        <w:rPr>
          <w:rFonts w:ascii="Times New Roman" w:hAnsi="Times New Roman" w:cs="Times New Roman"/>
          <w:sz w:val="28"/>
          <w:szCs w:val="28"/>
        </w:rPr>
        <w:t xml:space="preserve">, имеющие солитарную опухоль, локализованную в одной доле щитовидной железы, не нуждались в тотальной тиреоидэктомии и гемитиреоидэктомия являлась адекватным методом хирургического лечения. Что же касается клинических рекомендаций, то допускается лишь поправка на то, что если пациенту с МРЩЖ уже была выполнена гемитиреоидэктомия, то повторную операцию можно не проводить в том случае если: в послеоперационном периоде была обнаружена </w:t>
      </w:r>
      <w:r>
        <w:rPr>
          <w:rFonts w:ascii="Times New Roman" w:hAnsi="Times New Roman" w:cs="Times New Roman"/>
          <w:sz w:val="28"/>
          <w:szCs w:val="28"/>
          <w:lang w:val="en-US"/>
        </w:rPr>
        <w:t>RET</w:t>
      </w:r>
      <w:r>
        <w:rPr>
          <w:rFonts w:ascii="Times New Roman" w:hAnsi="Times New Roman" w:cs="Times New Roman"/>
          <w:sz w:val="28"/>
          <w:szCs w:val="28"/>
        </w:rPr>
        <w:t xml:space="preserve"> мутация, есть признаки наличия остаточного МРЩЖ по данным обследования, присутствует послеоперационное повышения базального или стимулированного кальцитонина.</w:t>
      </w:r>
      <w:r w:rsidRPr="003C7744">
        <w:rPr>
          <w:rFonts w:ascii="Times New Roman" w:hAnsi="Times New Roman" w:cs="Times New Roman"/>
          <w:sz w:val="28"/>
          <w:szCs w:val="28"/>
        </w:rPr>
        <w:t xml:space="preserve"> </w:t>
      </w:r>
    </w:p>
    <w:p w14:paraId="78A59634" w14:textId="77777777" w:rsidR="00E775F5" w:rsidRDefault="00E775F5" w:rsidP="0041641C">
      <w:pPr>
        <w:spacing w:line="360" w:lineRule="auto"/>
        <w:jc w:val="both"/>
        <w:rPr>
          <w:rFonts w:ascii="Times New Roman" w:hAnsi="Times New Roman" w:cs="Times New Roman"/>
          <w:b/>
          <w:bCs/>
          <w:sz w:val="28"/>
          <w:szCs w:val="28"/>
        </w:rPr>
      </w:pPr>
    </w:p>
    <w:p w14:paraId="52371EE1" w14:textId="0CE9992A" w:rsidR="0041641C" w:rsidRPr="002C2A6E" w:rsidRDefault="0041641C" w:rsidP="0041641C">
      <w:pPr>
        <w:spacing w:line="360" w:lineRule="auto"/>
        <w:jc w:val="both"/>
        <w:rPr>
          <w:rFonts w:ascii="Times New Roman" w:hAnsi="Times New Roman" w:cs="Times New Roman"/>
          <w:b/>
          <w:bCs/>
          <w:sz w:val="28"/>
          <w:szCs w:val="28"/>
        </w:rPr>
      </w:pPr>
      <w:r w:rsidRPr="002C2A6E">
        <w:rPr>
          <w:rFonts w:ascii="Times New Roman" w:hAnsi="Times New Roman" w:cs="Times New Roman"/>
          <w:b/>
          <w:bCs/>
          <w:sz w:val="28"/>
          <w:szCs w:val="28"/>
        </w:rPr>
        <w:t xml:space="preserve">1.5.2 Лимфодиссекция </w:t>
      </w:r>
    </w:p>
    <w:p w14:paraId="27A8807F"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Американским тиреоидологическим обществом предложен рекомендованный порядок лимфодиссекции. Если при МРЩЖ нет данных о наличии метастазов в регионарные лимфоузлы после проведения УЗИ и физикального обследования, то рекомендуется выполнять </w:t>
      </w:r>
      <w:r>
        <w:rPr>
          <w:rFonts w:ascii="Times New Roman" w:hAnsi="Times New Roman" w:cs="Times New Roman"/>
          <w:sz w:val="28"/>
          <w:szCs w:val="28"/>
          <w:lang w:val="en-US"/>
        </w:rPr>
        <w:t>VI</w:t>
      </w:r>
      <w:r>
        <w:rPr>
          <w:rFonts w:ascii="Times New Roman" w:hAnsi="Times New Roman" w:cs="Times New Roman"/>
          <w:sz w:val="28"/>
          <w:szCs w:val="28"/>
        </w:rPr>
        <w:t xml:space="preserve"> уровень лимфодиссекции, но в зависимости от уровня кальцитонина </w:t>
      </w:r>
      <w:r>
        <w:rPr>
          <w:rFonts w:ascii="Times New Roman" w:hAnsi="Times New Roman" w:cs="Times New Roman"/>
          <w:sz w:val="28"/>
          <w:szCs w:val="28"/>
          <w:lang w:val="en-US"/>
        </w:rPr>
        <w:t>II</w:t>
      </w:r>
      <w:r w:rsidRPr="00282D7C">
        <w:rPr>
          <w:rFonts w:ascii="Times New Roman" w:hAnsi="Times New Roman" w:cs="Times New Roman"/>
          <w:sz w:val="28"/>
          <w:szCs w:val="28"/>
        </w:rPr>
        <w:t>-</w:t>
      </w:r>
      <w:r>
        <w:rPr>
          <w:rFonts w:ascii="Times New Roman" w:hAnsi="Times New Roman" w:cs="Times New Roman"/>
          <w:sz w:val="28"/>
          <w:szCs w:val="28"/>
          <w:lang w:val="en-US"/>
        </w:rPr>
        <w:t>V</w:t>
      </w:r>
      <w:r w:rsidRPr="00282D7C">
        <w:rPr>
          <w:rFonts w:ascii="Times New Roman" w:hAnsi="Times New Roman" w:cs="Times New Roman"/>
          <w:sz w:val="28"/>
          <w:szCs w:val="28"/>
        </w:rPr>
        <w:t xml:space="preserve"> </w:t>
      </w:r>
      <w:r>
        <w:rPr>
          <w:rFonts w:ascii="Times New Roman" w:hAnsi="Times New Roman" w:cs="Times New Roman"/>
          <w:sz w:val="28"/>
          <w:szCs w:val="28"/>
        </w:rPr>
        <w:t xml:space="preserve">уровни лимфодиссекции также могут быть рассмотрены. В случае, когда метастазы в регионарные лимфоузлы были выявлены в предоперационном периоде, рекомендуется выполнить </w:t>
      </w:r>
      <w:r>
        <w:rPr>
          <w:rFonts w:ascii="Times New Roman" w:hAnsi="Times New Roman" w:cs="Times New Roman"/>
          <w:sz w:val="28"/>
          <w:szCs w:val="28"/>
          <w:lang w:val="en-US"/>
        </w:rPr>
        <w:t>VI</w:t>
      </w:r>
      <w:r w:rsidRPr="00282D7C">
        <w:rPr>
          <w:rFonts w:ascii="Times New Roman" w:hAnsi="Times New Roman" w:cs="Times New Roman"/>
          <w:sz w:val="28"/>
          <w:szCs w:val="28"/>
        </w:rPr>
        <w:t xml:space="preserve"> </w:t>
      </w:r>
      <w:r>
        <w:rPr>
          <w:rFonts w:ascii="Times New Roman" w:hAnsi="Times New Roman" w:cs="Times New Roman"/>
          <w:sz w:val="28"/>
          <w:szCs w:val="28"/>
        </w:rPr>
        <w:t>и</w:t>
      </w:r>
      <w:r w:rsidRPr="00282D7C">
        <w:rPr>
          <w:rFonts w:ascii="Times New Roman" w:hAnsi="Times New Roman" w:cs="Times New Roman"/>
          <w:sz w:val="28"/>
          <w:szCs w:val="28"/>
        </w:rPr>
        <w:t xml:space="preserve"> </w:t>
      </w:r>
      <w:r>
        <w:rPr>
          <w:rFonts w:ascii="Times New Roman" w:hAnsi="Times New Roman" w:cs="Times New Roman"/>
          <w:sz w:val="28"/>
          <w:szCs w:val="28"/>
          <w:lang w:val="en-US"/>
        </w:rPr>
        <w:t>II</w:t>
      </w:r>
      <w:r w:rsidRPr="00282D7C">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уровни лимфодиссекции на стороне локализации карциномы, но если предоперационный базальный уровень кальцитонина выше 200 пг\мл, то следует выполнит лимфодиссекцию латеральной группы лимфоузлов и на противоположной стороне. Если при тиреоидэктомии, выполненной ранее не была произведена лимфодиссекция в необходимом объёме, то повторное вмешательство следует выполнять в тех случаях, когда уровень кальцитонина не превышает 1000 пг\мл и не более пяти лимфоузлов, поражённых метастазами, было удалено ранее </w:t>
      </w:r>
      <w:r w:rsidRPr="00D2679B">
        <w:rPr>
          <w:rFonts w:ascii="Times New Roman" w:hAnsi="Times New Roman" w:cs="Times New Roman"/>
          <w:sz w:val="28"/>
          <w:szCs w:val="28"/>
        </w:rPr>
        <w:t>[11]</w:t>
      </w:r>
      <w:r>
        <w:rPr>
          <w:rFonts w:ascii="Times New Roman" w:hAnsi="Times New Roman" w:cs="Times New Roman"/>
          <w:sz w:val="28"/>
          <w:szCs w:val="28"/>
        </w:rPr>
        <w:t>.</w:t>
      </w:r>
    </w:p>
    <w:p w14:paraId="06564B0D" w14:textId="77777777" w:rsidR="0041641C" w:rsidRDefault="0041641C" w:rsidP="0041641C">
      <w:pPr>
        <w:spacing w:line="360" w:lineRule="auto"/>
        <w:jc w:val="both"/>
        <w:rPr>
          <w:rFonts w:ascii="Times New Roman" w:hAnsi="Times New Roman" w:cs="Times New Roman"/>
          <w:sz w:val="28"/>
          <w:szCs w:val="28"/>
        </w:rPr>
      </w:pPr>
    </w:p>
    <w:p w14:paraId="3789ED11" w14:textId="77777777" w:rsidR="0041641C" w:rsidRDefault="0041641C" w:rsidP="0041641C">
      <w:pPr>
        <w:spacing w:line="360" w:lineRule="auto"/>
        <w:jc w:val="both"/>
        <w:rPr>
          <w:rFonts w:ascii="Times New Roman" w:hAnsi="Times New Roman" w:cs="Times New Roman"/>
          <w:b/>
          <w:bCs/>
          <w:sz w:val="28"/>
          <w:szCs w:val="28"/>
        </w:rPr>
      </w:pPr>
      <w:r w:rsidRPr="00740825">
        <w:rPr>
          <w:rFonts w:ascii="Times New Roman" w:hAnsi="Times New Roman" w:cs="Times New Roman"/>
          <w:b/>
          <w:bCs/>
          <w:sz w:val="28"/>
          <w:szCs w:val="28"/>
        </w:rPr>
        <w:t>1.</w:t>
      </w:r>
      <w:r>
        <w:rPr>
          <w:rFonts w:ascii="Times New Roman" w:hAnsi="Times New Roman" w:cs="Times New Roman"/>
          <w:b/>
          <w:bCs/>
          <w:sz w:val="28"/>
          <w:szCs w:val="28"/>
        </w:rPr>
        <w:t>6</w:t>
      </w:r>
      <w:r w:rsidRPr="00740825">
        <w:rPr>
          <w:rFonts w:ascii="Times New Roman" w:hAnsi="Times New Roman" w:cs="Times New Roman"/>
          <w:b/>
          <w:bCs/>
          <w:sz w:val="28"/>
          <w:szCs w:val="28"/>
        </w:rPr>
        <w:t xml:space="preserve"> Системное лечение</w:t>
      </w:r>
    </w:p>
    <w:p w14:paraId="4158799F"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Основой системного лечения медуллярного рака является таргетная терапия, которая показана для пациентов с прогрессирующим медуллярным раком щитовидной железы с наличием отдалённых метастазов. Для таргетной терапии МРЩЖ применяют ингибиторы тирозинкиназ: вандетаниб и кабозантиниб. Для вандетаниба рекомендуемая дозировка составляет 300 мг\кг и по данным исследований даёт ответ на лечение МРЩЖ в 45% случаев, уменьшая болевой синдром, диарею и улучшая таким образом качество жизни пациента. Рекомендуемая дозировка кабозантиниба составляла 140 мг\кг. В проводимых исследованиях ответ на терапию составлял 28%, причём 79% </w:t>
      </w:r>
      <w:r>
        <w:rPr>
          <w:rFonts w:ascii="Times New Roman" w:hAnsi="Times New Roman" w:cs="Times New Roman"/>
          <w:sz w:val="28"/>
          <w:szCs w:val="28"/>
        </w:rPr>
        <w:lastRenderedPageBreak/>
        <w:t xml:space="preserve">пациентов нуждались в снижении дозировки препарата из-за его токсичности. Среди побочных эффектов данных препаратов можно выделить такие как удлинение интервала </w:t>
      </w:r>
      <w:r>
        <w:rPr>
          <w:rFonts w:ascii="Times New Roman" w:hAnsi="Times New Roman" w:cs="Times New Roman"/>
          <w:sz w:val="28"/>
          <w:szCs w:val="28"/>
          <w:lang w:val="en-US"/>
        </w:rPr>
        <w:t>QT</w:t>
      </w:r>
      <w:r w:rsidRPr="00DC18C1">
        <w:rPr>
          <w:rFonts w:ascii="Times New Roman" w:hAnsi="Times New Roman" w:cs="Times New Roman"/>
          <w:sz w:val="28"/>
          <w:szCs w:val="28"/>
        </w:rPr>
        <w:t xml:space="preserve"> </w:t>
      </w:r>
      <w:r>
        <w:rPr>
          <w:rFonts w:ascii="Times New Roman" w:hAnsi="Times New Roman" w:cs="Times New Roman"/>
          <w:sz w:val="28"/>
          <w:szCs w:val="28"/>
        </w:rPr>
        <w:t>и аритмии, повышение АД, гипертонический криз, головные боли, нарушения со стороны ЖКТ.</w:t>
      </w:r>
    </w:p>
    <w:p w14:paraId="7A3E976F"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Также в последнее время появились более современные препараты класса селективных ингибиторов тирозинкиназы – селперкатиниб</w:t>
      </w:r>
      <w:r w:rsidRPr="005C10C9">
        <w:rPr>
          <w:rFonts w:ascii="Times New Roman" w:hAnsi="Times New Roman" w:cs="Times New Roman"/>
          <w:sz w:val="28"/>
          <w:szCs w:val="28"/>
        </w:rPr>
        <w:t xml:space="preserve"> (</w:t>
      </w:r>
      <w:r>
        <w:rPr>
          <w:rFonts w:ascii="Times New Roman" w:hAnsi="Times New Roman" w:cs="Times New Roman"/>
          <w:sz w:val="28"/>
          <w:szCs w:val="28"/>
          <w:lang w:val="en-US"/>
        </w:rPr>
        <w:t>LOXO</w:t>
      </w:r>
      <w:r w:rsidRPr="005C10C9">
        <w:rPr>
          <w:rFonts w:ascii="Times New Roman" w:hAnsi="Times New Roman" w:cs="Times New Roman"/>
          <w:sz w:val="28"/>
          <w:szCs w:val="28"/>
        </w:rPr>
        <w:t>-292)</w:t>
      </w:r>
      <w:r>
        <w:rPr>
          <w:rFonts w:ascii="Times New Roman" w:hAnsi="Times New Roman" w:cs="Times New Roman"/>
          <w:sz w:val="28"/>
          <w:szCs w:val="28"/>
        </w:rPr>
        <w:t xml:space="preserve"> и пралсетиниб (</w:t>
      </w:r>
      <w:r>
        <w:rPr>
          <w:rFonts w:ascii="Times New Roman" w:hAnsi="Times New Roman" w:cs="Times New Roman"/>
          <w:sz w:val="28"/>
          <w:szCs w:val="28"/>
          <w:lang w:val="en-US"/>
        </w:rPr>
        <w:t>BLU</w:t>
      </w:r>
      <w:r w:rsidRPr="005C10C9">
        <w:rPr>
          <w:rFonts w:ascii="Times New Roman" w:hAnsi="Times New Roman" w:cs="Times New Roman"/>
          <w:sz w:val="28"/>
          <w:szCs w:val="28"/>
        </w:rPr>
        <w:t>-667)</w:t>
      </w:r>
      <w:r>
        <w:rPr>
          <w:rFonts w:ascii="Times New Roman" w:hAnsi="Times New Roman" w:cs="Times New Roman"/>
          <w:sz w:val="28"/>
          <w:szCs w:val="28"/>
        </w:rPr>
        <w:t xml:space="preserve">, одобренные </w:t>
      </w:r>
      <w:r>
        <w:rPr>
          <w:rFonts w:ascii="Times New Roman" w:hAnsi="Times New Roman" w:cs="Times New Roman"/>
          <w:sz w:val="28"/>
          <w:szCs w:val="28"/>
          <w:lang w:val="en-US"/>
        </w:rPr>
        <w:t>FDA</w:t>
      </w:r>
      <w:r w:rsidRPr="00396272">
        <w:rPr>
          <w:rFonts w:ascii="Times New Roman" w:hAnsi="Times New Roman" w:cs="Times New Roman"/>
          <w:sz w:val="28"/>
          <w:szCs w:val="28"/>
        </w:rPr>
        <w:t xml:space="preserve"> </w:t>
      </w:r>
      <w:r>
        <w:rPr>
          <w:rFonts w:ascii="Times New Roman" w:hAnsi="Times New Roman" w:cs="Times New Roman"/>
          <w:sz w:val="28"/>
          <w:szCs w:val="28"/>
        </w:rPr>
        <w:t xml:space="preserve">для лечения осложнённых форм немелкоклеточного рака лёгкого, папиллярного и медуллярного рака щитовидной железы </w:t>
      </w:r>
      <w:r w:rsidRPr="00C076A4">
        <w:rPr>
          <w:rFonts w:ascii="Times New Roman" w:hAnsi="Times New Roman" w:cs="Times New Roman"/>
          <w:sz w:val="28"/>
          <w:szCs w:val="28"/>
        </w:rPr>
        <w:t>[16]</w:t>
      </w:r>
      <w:r>
        <w:rPr>
          <w:rFonts w:ascii="Times New Roman" w:hAnsi="Times New Roman" w:cs="Times New Roman"/>
          <w:sz w:val="28"/>
          <w:szCs w:val="28"/>
        </w:rPr>
        <w:t xml:space="preserve">. В отличие от вышеназванных препаратов мультикиназные ингибиторы вандетаниб и кабозантиниб имеют значительно большее число таргетов с которыми они могут взаимодействовать. Так, вандетаниб воздействует на </w:t>
      </w:r>
      <w:r w:rsidRPr="00DE546A">
        <w:rPr>
          <w:rFonts w:ascii="Times New Roman" w:hAnsi="Times New Roman" w:cs="Times New Roman"/>
          <w:sz w:val="28"/>
          <w:szCs w:val="28"/>
        </w:rPr>
        <w:t>EGFR2, VEGFR3, EGFR, KIT</w:t>
      </w:r>
      <w:r>
        <w:rPr>
          <w:rFonts w:ascii="Times New Roman" w:hAnsi="Times New Roman" w:cs="Times New Roman"/>
          <w:sz w:val="28"/>
          <w:szCs w:val="28"/>
        </w:rPr>
        <w:t xml:space="preserve"> и </w:t>
      </w:r>
      <w:r>
        <w:rPr>
          <w:rFonts w:ascii="Times New Roman" w:hAnsi="Times New Roman" w:cs="Times New Roman"/>
          <w:sz w:val="28"/>
          <w:szCs w:val="28"/>
          <w:lang w:val="en-US"/>
        </w:rPr>
        <w:t>RET</w:t>
      </w:r>
      <w:r>
        <w:rPr>
          <w:rFonts w:ascii="Times New Roman" w:hAnsi="Times New Roman" w:cs="Times New Roman"/>
          <w:sz w:val="28"/>
          <w:szCs w:val="28"/>
        </w:rPr>
        <w:t xml:space="preserve">, кабозантиниб - </w:t>
      </w:r>
      <w:r w:rsidRPr="00DE546A">
        <w:rPr>
          <w:rFonts w:ascii="Times New Roman" w:hAnsi="Times New Roman" w:cs="Times New Roman"/>
          <w:sz w:val="28"/>
          <w:szCs w:val="28"/>
        </w:rPr>
        <w:t>VEGFR2,</w:t>
      </w:r>
      <w:r>
        <w:rPr>
          <w:rFonts w:ascii="Times New Roman" w:hAnsi="Times New Roman" w:cs="Times New Roman"/>
          <w:sz w:val="28"/>
          <w:szCs w:val="28"/>
        </w:rPr>
        <w:t xml:space="preserve"> </w:t>
      </w:r>
      <w:r w:rsidRPr="00DE546A">
        <w:rPr>
          <w:rFonts w:ascii="Times New Roman" w:hAnsi="Times New Roman" w:cs="Times New Roman"/>
          <w:sz w:val="28"/>
          <w:szCs w:val="28"/>
        </w:rPr>
        <w:t xml:space="preserve">RET, MET, FLT3, </w:t>
      </w:r>
      <w:r>
        <w:rPr>
          <w:rFonts w:ascii="Times New Roman" w:hAnsi="Times New Roman" w:cs="Times New Roman"/>
          <w:sz w:val="28"/>
          <w:szCs w:val="28"/>
        </w:rPr>
        <w:t>и</w:t>
      </w:r>
      <w:r w:rsidRPr="00DE546A">
        <w:rPr>
          <w:rFonts w:ascii="Times New Roman" w:hAnsi="Times New Roman" w:cs="Times New Roman"/>
          <w:sz w:val="28"/>
          <w:szCs w:val="28"/>
        </w:rPr>
        <w:t xml:space="preserve"> AXL</w:t>
      </w:r>
      <w:r>
        <w:rPr>
          <w:rFonts w:ascii="Times New Roman" w:hAnsi="Times New Roman" w:cs="Times New Roman"/>
          <w:sz w:val="28"/>
          <w:szCs w:val="28"/>
        </w:rPr>
        <w:t xml:space="preserve">. Вследствие воздействия на разные паттерны с киназной активностью данные препараты обладают большим количеством побочных эффектов, что может ограничивать возможность их применения. </w:t>
      </w:r>
      <w:r>
        <w:rPr>
          <w:rFonts w:ascii="Times New Roman" w:hAnsi="Times New Roman" w:cs="Times New Roman"/>
          <w:sz w:val="28"/>
          <w:szCs w:val="28"/>
          <w:lang w:val="en-US"/>
        </w:rPr>
        <w:t>BLU</w:t>
      </w:r>
      <w:r w:rsidRPr="005C10C9">
        <w:rPr>
          <w:rFonts w:ascii="Times New Roman" w:hAnsi="Times New Roman" w:cs="Times New Roman"/>
          <w:sz w:val="28"/>
          <w:szCs w:val="28"/>
        </w:rPr>
        <w:t>-667</w:t>
      </w:r>
      <w:r>
        <w:rPr>
          <w:rFonts w:ascii="Times New Roman" w:hAnsi="Times New Roman" w:cs="Times New Roman"/>
          <w:sz w:val="28"/>
          <w:szCs w:val="28"/>
        </w:rPr>
        <w:t xml:space="preserve"> ингибирует белок, кодируемый </w:t>
      </w:r>
      <w:r w:rsidRPr="00834B73">
        <w:rPr>
          <w:rFonts w:ascii="Times New Roman" w:hAnsi="Times New Roman" w:cs="Times New Roman"/>
          <w:sz w:val="28"/>
          <w:szCs w:val="28"/>
        </w:rPr>
        <w:t>RETM918T</w:t>
      </w:r>
      <w:r>
        <w:rPr>
          <w:rFonts w:ascii="Times New Roman" w:hAnsi="Times New Roman" w:cs="Times New Roman"/>
          <w:sz w:val="28"/>
          <w:szCs w:val="28"/>
        </w:rPr>
        <w:t xml:space="preserve">, </w:t>
      </w:r>
      <w:r>
        <w:rPr>
          <w:rFonts w:ascii="Times New Roman" w:hAnsi="Times New Roman" w:cs="Times New Roman"/>
          <w:sz w:val="28"/>
          <w:szCs w:val="28"/>
          <w:lang w:val="en-US"/>
        </w:rPr>
        <w:t>LOXO</w:t>
      </w:r>
      <w:r w:rsidRPr="005C10C9">
        <w:rPr>
          <w:rFonts w:ascii="Times New Roman" w:hAnsi="Times New Roman" w:cs="Times New Roman"/>
          <w:sz w:val="28"/>
          <w:szCs w:val="28"/>
        </w:rPr>
        <w:t>-292</w:t>
      </w:r>
      <w:r>
        <w:rPr>
          <w:rFonts w:ascii="Times New Roman" w:hAnsi="Times New Roman" w:cs="Times New Roman"/>
          <w:sz w:val="28"/>
          <w:szCs w:val="28"/>
        </w:rPr>
        <w:t xml:space="preserve"> также селективно воздействует на протоонкогены </w:t>
      </w:r>
      <w:r>
        <w:rPr>
          <w:rFonts w:ascii="Times New Roman" w:hAnsi="Times New Roman" w:cs="Times New Roman"/>
          <w:sz w:val="28"/>
          <w:szCs w:val="28"/>
          <w:lang w:val="en-US"/>
        </w:rPr>
        <w:t>RET</w:t>
      </w:r>
      <w:r>
        <w:rPr>
          <w:rFonts w:ascii="Times New Roman" w:hAnsi="Times New Roman" w:cs="Times New Roman"/>
          <w:sz w:val="28"/>
          <w:szCs w:val="28"/>
        </w:rPr>
        <w:t>, в том числе мутации, которые могут обуславливать резистентность к противоопухолевой терапии. Данные препараты показали минимальные побочные эффекты и хорошую эффективность в клинических исследованиях (показатели ответа на терапию варьируют от 47 до 65%)</w:t>
      </w:r>
      <w:r w:rsidRPr="00C076A4">
        <w:rPr>
          <w:rFonts w:ascii="Times New Roman" w:hAnsi="Times New Roman" w:cs="Times New Roman"/>
          <w:sz w:val="28"/>
          <w:szCs w:val="28"/>
        </w:rPr>
        <w:t xml:space="preserve"> [15]</w:t>
      </w:r>
      <w:r>
        <w:rPr>
          <w:rFonts w:ascii="Times New Roman" w:hAnsi="Times New Roman" w:cs="Times New Roman"/>
          <w:sz w:val="28"/>
          <w:szCs w:val="28"/>
        </w:rPr>
        <w:t xml:space="preserve">. </w:t>
      </w:r>
    </w:p>
    <w:p w14:paraId="43EB382A" w14:textId="77777777" w:rsidR="00AC4FD2" w:rsidRDefault="00AC4FD2" w:rsidP="0041641C">
      <w:pPr>
        <w:spacing w:line="360" w:lineRule="auto"/>
        <w:jc w:val="both"/>
        <w:rPr>
          <w:rFonts w:ascii="Times New Roman" w:hAnsi="Times New Roman" w:cs="Times New Roman"/>
          <w:b/>
          <w:bCs/>
          <w:sz w:val="28"/>
          <w:szCs w:val="28"/>
        </w:rPr>
      </w:pPr>
    </w:p>
    <w:p w14:paraId="32F84828" w14:textId="7C626D11" w:rsidR="0041641C" w:rsidRDefault="0041641C" w:rsidP="0041641C">
      <w:pPr>
        <w:spacing w:line="360" w:lineRule="auto"/>
        <w:jc w:val="both"/>
        <w:rPr>
          <w:rFonts w:ascii="Times New Roman" w:hAnsi="Times New Roman" w:cs="Times New Roman"/>
          <w:b/>
          <w:bCs/>
          <w:sz w:val="28"/>
          <w:szCs w:val="28"/>
        </w:rPr>
      </w:pPr>
      <w:r w:rsidRPr="00712A11">
        <w:rPr>
          <w:rFonts w:ascii="Times New Roman" w:hAnsi="Times New Roman" w:cs="Times New Roman"/>
          <w:b/>
          <w:bCs/>
          <w:sz w:val="28"/>
          <w:szCs w:val="28"/>
        </w:rPr>
        <w:t>1.</w:t>
      </w:r>
      <w:r>
        <w:rPr>
          <w:rFonts w:ascii="Times New Roman" w:hAnsi="Times New Roman" w:cs="Times New Roman"/>
          <w:b/>
          <w:bCs/>
          <w:sz w:val="28"/>
          <w:szCs w:val="28"/>
        </w:rPr>
        <w:t>7</w:t>
      </w:r>
      <w:r w:rsidRPr="00712A11">
        <w:rPr>
          <w:rFonts w:ascii="Times New Roman" w:hAnsi="Times New Roman" w:cs="Times New Roman"/>
          <w:b/>
          <w:bCs/>
          <w:sz w:val="28"/>
          <w:szCs w:val="28"/>
        </w:rPr>
        <w:t xml:space="preserve"> Лучевые методы лечения </w:t>
      </w:r>
    </w:p>
    <w:p w14:paraId="79F4EA43" w14:textId="77777777" w:rsidR="0041641C" w:rsidRDefault="0041641C" w:rsidP="0041641C">
      <w:pPr>
        <w:spacing w:line="360" w:lineRule="auto"/>
        <w:jc w:val="both"/>
        <w:rPr>
          <w:rFonts w:ascii="Times New Roman" w:hAnsi="Times New Roman" w:cs="Times New Roman"/>
          <w:sz w:val="28"/>
          <w:szCs w:val="28"/>
        </w:rPr>
      </w:pPr>
      <w:r>
        <w:rPr>
          <w:rFonts w:ascii="Times New Roman" w:hAnsi="Times New Roman" w:cs="Times New Roman"/>
          <w:sz w:val="28"/>
          <w:szCs w:val="28"/>
        </w:rPr>
        <w:t>Наружная лучевая терапия (</w:t>
      </w:r>
      <w:r>
        <w:rPr>
          <w:rFonts w:ascii="Times New Roman" w:hAnsi="Times New Roman" w:cs="Times New Roman"/>
          <w:sz w:val="28"/>
          <w:szCs w:val="28"/>
          <w:lang w:val="en-US"/>
        </w:rPr>
        <w:t>EBRT</w:t>
      </w:r>
      <w:r w:rsidRPr="00712A11">
        <w:rPr>
          <w:rFonts w:ascii="Times New Roman" w:hAnsi="Times New Roman" w:cs="Times New Roman"/>
          <w:sz w:val="28"/>
          <w:szCs w:val="28"/>
        </w:rPr>
        <w:t xml:space="preserve">) </w:t>
      </w:r>
      <w:r>
        <w:rPr>
          <w:rFonts w:ascii="Times New Roman" w:hAnsi="Times New Roman" w:cs="Times New Roman"/>
          <w:sz w:val="28"/>
          <w:szCs w:val="28"/>
        </w:rPr>
        <w:t xml:space="preserve">шеи и средостения должна быть рассмотрена у пациентов с высоким риском локальных рецидивов (метастазы в регионарные лимфоузлы или резидуальный МРЩЖ), когда медуллярная карцинома полностью не была удалена во время операции (адъювантная </w:t>
      </w:r>
      <w:r>
        <w:rPr>
          <w:rFonts w:ascii="Times New Roman" w:hAnsi="Times New Roman" w:cs="Times New Roman"/>
          <w:sz w:val="28"/>
          <w:szCs w:val="28"/>
          <w:lang w:val="en-US"/>
        </w:rPr>
        <w:t>EBRT</w:t>
      </w:r>
      <w:r w:rsidRPr="00AB061B">
        <w:rPr>
          <w:rFonts w:ascii="Times New Roman" w:hAnsi="Times New Roman" w:cs="Times New Roman"/>
          <w:sz w:val="28"/>
          <w:szCs w:val="28"/>
        </w:rPr>
        <w:t>)</w:t>
      </w:r>
      <w:r>
        <w:rPr>
          <w:rFonts w:ascii="Times New Roman" w:hAnsi="Times New Roman" w:cs="Times New Roman"/>
          <w:sz w:val="28"/>
          <w:szCs w:val="28"/>
        </w:rPr>
        <w:t xml:space="preserve"> и в случае риска обструкции опухолью дыхательных путей. Типичная </w:t>
      </w:r>
      <w:r>
        <w:rPr>
          <w:rFonts w:ascii="Times New Roman" w:hAnsi="Times New Roman" w:cs="Times New Roman"/>
          <w:sz w:val="28"/>
          <w:szCs w:val="28"/>
        </w:rPr>
        <w:lastRenderedPageBreak/>
        <w:t>доза в послеоперационном периоде 60-66 грей, которой область щитовидной железы должна быть подвергнута в течение шести недель, если же имеет место быть большая остаточная масса опухоли, то дозу увеличивают до 70 грей и выше под контролем эффективности на КТ. При этом важно учитывать большое число возможных осложнений лучевой терапии, таких как кожная эритема, эзофагит, мукозит, отёк гортани, гиперпигментация кожи, телеангиоэктазии, остеорадионекрозы, поражение центральной нервной системы</w:t>
      </w:r>
      <w:r w:rsidRPr="00D2679B">
        <w:rPr>
          <w:rFonts w:ascii="Times New Roman" w:hAnsi="Times New Roman" w:cs="Times New Roman"/>
          <w:sz w:val="28"/>
          <w:szCs w:val="28"/>
        </w:rPr>
        <w:t xml:space="preserve"> [11]</w:t>
      </w:r>
      <w:r>
        <w:rPr>
          <w:rFonts w:ascii="Times New Roman" w:hAnsi="Times New Roman" w:cs="Times New Roman"/>
          <w:sz w:val="28"/>
          <w:szCs w:val="28"/>
        </w:rPr>
        <w:t xml:space="preserve">. </w:t>
      </w:r>
    </w:p>
    <w:p w14:paraId="43CC1456" w14:textId="77777777" w:rsidR="0041641C" w:rsidRDefault="0041641C" w:rsidP="0041641C">
      <w:pPr>
        <w:spacing w:line="360" w:lineRule="auto"/>
        <w:jc w:val="both"/>
        <w:rPr>
          <w:rFonts w:ascii="Times New Roman" w:hAnsi="Times New Roman" w:cs="Times New Roman"/>
          <w:sz w:val="28"/>
          <w:szCs w:val="28"/>
        </w:rPr>
      </w:pPr>
    </w:p>
    <w:p w14:paraId="0734F4CC" w14:textId="77777777" w:rsidR="0041641C" w:rsidRDefault="0041641C" w:rsidP="0041641C">
      <w:pPr>
        <w:spacing w:line="360" w:lineRule="auto"/>
        <w:jc w:val="both"/>
        <w:rPr>
          <w:rFonts w:ascii="Times New Roman" w:hAnsi="Times New Roman" w:cs="Times New Roman"/>
          <w:b/>
          <w:bCs/>
          <w:sz w:val="28"/>
          <w:szCs w:val="28"/>
        </w:rPr>
      </w:pPr>
    </w:p>
    <w:p w14:paraId="159FE983" w14:textId="77777777" w:rsidR="0041641C" w:rsidRDefault="0041641C" w:rsidP="0041641C">
      <w:pPr>
        <w:spacing w:line="360" w:lineRule="auto"/>
        <w:jc w:val="both"/>
        <w:rPr>
          <w:rFonts w:ascii="Times New Roman" w:hAnsi="Times New Roman" w:cs="Times New Roman"/>
          <w:b/>
          <w:bCs/>
          <w:sz w:val="28"/>
          <w:szCs w:val="28"/>
        </w:rPr>
      </w:pPr>
    </w:p>
    <w:p w14:paraId="32CE114B" w14:textId="77777777" w:rsidR="0041641C" w:rsidRDefault="0041641C" w:rsidP="0041641C">
      <w:pPr>
        <w:spacing w:line="360" w:lineRule="auto"/>
        <w:jc w:val="both"/>
        <w:rPr>
          <w:rFonts w:ascii="Times New Roman" w:hAnsi="Times New Roman" w:cs="Times New Roman"/>
          <w:b/>
          <w:bCs/>
          <w:sz w:val="28"/>
          <w:szCs w:val="28"/>
        </w:rPr>
      </w:pPr>
    </w:p>
    <w:p w14:paraId="267A47C2" w14:textId="77777777" w:rsidR="0041641C" w:rsidRDefault="0041641C" w:rsidP="0041641C">
      <w:pPr>
        <w:spacing w:line="360" w:lineRule="auto"/>
        <w:jc w:val="both"/>
        <w:rPr>
          <w:rFonts w:ascii="Times New Roman" w:hAnsi="Times New Roman" w:cs="Times New Roman"/>
          <w:b/>
          <w:bCs/>
          <w:sz w:val="28"/>
          <w:szCs w:val="28"/>
        </w:rPr>
      </w:pPr>
    </w:p>
    <w:p w14:paraId="313DA858" w14:textId="77777777" w:rsidR="0041641C" w:rsidRDefault="0041641C" w:rsidP="009139A0">
      <w:pPr>
        <w:spacing w:line="360" w:lineRule="auto"/>
        <w:jc w:val="both"/>
        <w:rPr>
          <w:rFonts w:ascii="Times New Roman" w:hAnsi="Times New Roman" w:cs="Times New Roman"/>
          <w:b/>
          <w:bCs/>
          <w:sz w:val="28"/>
          <w:szCs w:val="28"/>
        </w:rPr>
      </w:pPr>
    </w:p>
    <w:p w14:paraId="40E54498" w14:textId="77777777" w:rsidR="00E775F5" w:rsidRDefault="00E775F5" w:rsidP="009139A0">
      <w:pPr>
        <w:spacing w:line="360" w:lineRule="auto"/>
        <w:jc w:val="both"/>
        <w:rPr>
          <w:rFonts w:ascii="Times New Roman" w:hAnsi="Times New Roman" w:cs="Times New Roman"/>
          <w:b/>
          <w:bCs/>
          <w:sz w:val="28"/>
          <w:szCs w:val="28"/>
        </w:rPr>
      </w:pPr>
    </w:p>
    <w:p w14:paraId="3E37D9F8" w14:textId="77777777" w:rsidR="00386B59" w:rsidRDefault="00386B59" w:rsidP="009139A0">
      <w:pPr>
        <w:spacing w:line="360" w:lineRule="auto"/>
        <w:jc w:val="both"/>
        <w:rPr>
          <w:rFonts w:ascii="Times New Roman" w:hAnsi="Times New Roman" w:cs="Times New Roman"/>
          <w:b/>
          <w:bCs/>
          <w:sz w:val="28"/>
          <w:szCs w:val="28"/>
        </w:rPr>
      </w:pPr>
    </w:p>
    <w:p w14:paraId="63AE4813" w14:textId="77777777" w:rsidR="00386B59" w:rsidRDefault="00386B59" w:rsidP="009139A0">
      <w:pPr>
        <w:spacing w:line="360" w:lineRule="auto"/>
        <w:jc w:val="both"/>
        <w:rPr>
          <w:rFonts w:ascii="Times New Roman" w:hAnsi="Times New Roman" w:cs="Times New Roman"/>
          <w:b/>
          <w:bCs/>
          <w:sz w:val="28"/>
          <w:szCs w:val="28"/>
        </w:rPr>
      </w:pPr>
    </w:p>
    <w:p w14:paraId="72948513" w14:textId="77777777" w:rsidR="007A67A1" w:rsidRDefault="007A67A1" w:rsidP="009139A0">
      <w:pPr>
        <w:spacing w:line="360" w:lineRule="auto"/>
        <w:jc w:val="both"/>
        <w:rPr>
          <w:rFonts w:ascii="Times New Roman" w:hAnsi="Times New Roman" w:cs="Times New Roman"/>
          <w:b/>
          <w:bCs/>
          <w:sz w:val="28"/>
          <w:szCs w:val="28"/>
        </w:rPr>
      </w:pPr>
    </w:p>
    <w:p w14:paraId="1F1E7EDB" w14:textId="77777777" w:rsidR="007A67A1" w:rsidRDefault="007A67A1" w:rsidP="009139A0">
      <w:pPr>
        <w:spacing w:line="360" w:lineRule="auto"/>
        <w:jc w:val="both"/>
        <w:rPr>
          <w:rFonts w:ascii="Times New Roman" w:hAnsi="Times New Roman" w:cs="Times New Roman"/>
          <w:b/>
          <w:bCs/>
          <w:sz w:val="28"/>
          <w:szCs w:val="28"/>
        </w:rPr>
      </w:pPr>
    </w:p>
    <w:p w14:paraId="663C1AD4" w14:textId="77777777" w:rsidR="00564616" w:rsidRDefault="00564616" w:rsidP="009139A0">
      <w:pPr>
        <w:spacing w:line="360" w:lineRule="auto"/>
        <w:jc w:val="both"/>
        <w:rPr>
          <w:rFonts w:ascii="Times New Roman" w:hAnsi="Times New Roman" w:cs="Times New Roman"/>
          <w:b/>
          <w:bCs/>
          <w:sz w:val="28"/>
          <w:szCs w:val="28"/>
        </w:rPr>
      </w:pPr>
    </w:p>
    <w:p w14:paraId="29275A75" w14:textId="77777777" w:rsidR="00564616" w:rsidRDefault="00564616" w:rsidP="009139A0">
      <w:pPr>
        <w:spacing w:line="360" w:lineRule="auto"/>
        <w:jc w:val="both"/>
        <w:rPr>
          <w:rFonts w:ascii="Times New Roman" w:hAnsi="Times New Roman" w:cs="Times New Roman"/>
          <w:b/>
          <w:bCs/>
          <w:sz w:val="28"/>
          <w:szCs w:val="28"/>
        </w:rPr>
      </w:pPr>
    </w:p>
    <w:p w14:paraId="7A0D30E4" w14:textId="77777777" w:rsidR="00564616" w:rsidRDefault="00564616" w:rsidP="009139A0">
      <w:pPr>
        <w:spacing w:line="360" w:lineRule="auto"/>
        <w:jc w:val="both"/>
        <w:rPr>
          <w:rFonts w:ascii="Times New Roman" w:hAnsi="Times New Roman" w:cs="Times New Roman"/>
          <w:b/>
          <w:bCs/>
          <w:sz w:val="28"/>
          <w:szCs w:val="28"/>
        </w:rPr>
      </w:pPr>
    </w:p>
    <w:p w14:paraId="58891FD4" w14:textId="77777777" w:rsidR="00564616" w:rsidRDefault="00564616" w:rsidP="009139A0">
      <w:pPr>
        <w:spacing w:line="360" w:lineRule="auto"/>
        <w:jc w:val="both"/>
        <w:rPr>
          <w:rFonts w:ascii="Times New Roman" w:hAnsi="Times New Roman" w:cs="Times New Roman"/>
          <w:b/>
          <w:bCs/>
          <w:sz w:val="28"/>
          <w:szCs w:val="28"/>
        </w:rPr>
      </w:pPr>
    </w:p>
    <w:p w14:paraId="2942A4AD" w14:textId="77777777" w:rsidR="004E38DC" w:rsidRDefault="004E38DC" w:rsidP="009139A0">
      <w:pPr>
        <w:spacing w:line="360" w:lineRule="auto"/>
        <w:jc w:val="both"/>
        <w:rPr>
          <w:rFonts w:ascii="Times New Roman" w:hAnsi="Times New Roman" w:cs="Times New Roman"/>
          <w:b/>
          <w:bCs/>
          <w:sz w:val="28"/>
          <w:szCs w:val="28"/>
        </w:rPr>
      </w:pPr>
    </w:p>
    <w:p w14:paraId="75DE6A59" w14:textId="2AB628A9" w:rsidR="00862F63" w:rsidRDefault="00862F63" w:rsidP="009139A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Глава 2. Материалы и методы</w:t>
      </w:r>
    </w:p>
    <w:p w14:paraId="70A2D336" w14:textId="77777777" w:rsidR="00862F63" w:rsidRDefault="00862F63" w:rsidP="009139A0">
      <w:pPr>
        <w:spacing w:line="360" w:lineRule="auto"/>
        <w:jc w:val="both"/>
        <w:rPr>
          <w:rFonts w:ascii="Times New Roman" w:hAnsi="Times New Roman" w:cs="Times New Roman"/>
          <w:sz w:val="28"/>
          <w:szCs w:val="28"/>
        </w:rPr>
      </w:pPr>
      <w:r w:rsidRPr="00763375">
        <w:rPr>
          <w:rFonts w:ascii="Times New Roman" w:hAnsi="Times New Roman" w:cs="Times New Roman"/>
          <w:sz w:val="28"/>
          <w:szCs w:val="28"/>
        </w:rPr>
        <w:t xml:space="preserve">В ретроспективное исследование вошли </w:t>
      </w:r>
      <w:r w:rsidRPr="005141AE">
        <w:rPr>
          <w:rFonts w:ascii="Times New Roman" w:hAnsi="Times New Roman" w:cs="Times New Roman"/>
          <w:sz w:val="28"/>
          <w:szCs w:val="28"/>
        </w:rPr>
        <w:t>3</w:t>
      </w:r>
      <w:r w:rsidRPr="008C7594">
        <w:rPr>
          <w:rFonts w:ascii="Times New Roman" w:hAnsi="Times New Roman" w:cs="Times New Roman"/>
          <w:sz w:val="28"/>
          <w:szCs w:val="28"/>
        </w:rPr>
        <w:t>46</w:t>
      </w:r>
      <w:r w:rsidRPr="00763375">
        <w:rPr>
          <w:rFonts w:ascii="Times New Roman" w:hAnsi="Times New Roman" w:cs="Times New Roman"/>
          <w:sz w:val="28"/>
          <w:szCs w:val="28"/>
        </w:rPr>
        <w:t xml:space="preserve"> пациент</w:t>
      </w:r>
      <w:r>
        <w:rPr>
          <w:rFonts w:ascii="Times New Roman" w:hAnsi="Times New Roman" w:cs="Times New Roman"/>
          <w:sz w:val="28"/>
          <w:szCs w:val="28"/>
        </w:rPr>
        <w:t>ов</w:t>
      </w:r>
      <w:r w:rsidRPr="00763375">
        <w:rPr>
          <w:rFonts w:ascii="Times New Roman" w:hAnsi="Times New Roman" w:cs="Times New Roman"/>
          <w:sz w:val="28"/>
          <w:szCs w:val="28"/>
        </w:rPr>
        <w:t xml:space="preserve"> с гистологически подтвержденным МРЩЖ, </w:t>
      </w:r>
      <w:r>
        <w:rPr>
          <w:rFonts w:ascii="Times New Roman" w:hAnsi="Times New Roman" w:cs="Times New Roman"/>
          <w:sz w:val="28"/>
          <w:szCs w:val="28"/>
        </w:rPr>
        <w:t>проходивших лечение</w:t>
      </w:r>
      <w:r w:rsidRPr="00763375">
        <w:rPr>
          <w:rFonts w:ascii="Times New Roman" w:hAnsi="Times New Roman" w:cs="Times New Roman"/>
          <w:sz w:val="28"/>
          <w:szCs w:val="28"/>
        </w:rPr>
        <w:t xml:space="preserve"> в стационаре ФГБОУ ВО </w:t>
      </w:r>
      <w:r>
        <w:rPr>
          <w:rFonts w:ascii="Cambria Math" w:hAnsi="Cambria Math" w:cs="Cambria Math"/>
          <w:sz w:val="28"/>
          <w:szCs w:val="28"/>
        </w:rPr>
        <w:t>«</w:t>
      </w:r>
      <w:r w:rsidRPr="00763375">
        <w:rPr>
          <w:rFonts w:ascii="Times New Roman" w:hAnsi="Times New Roman" w:cs="Times New Roman"/>
          <w:sz w:val="28"/>
          <w:szCs w:val="28"/>
        </w:rPr>
        <w:t>СПбГУ</w:t>
      </w:r>
      <w:r>
        <w:rPr>
          <w:rFonts w:ascii="Cambria Math" w:hAnsi="Cambria Math" w:cs="Cambria Math"/>
          <w:sz w:val="28"/>
          <w:szCs w:val="28"/>
        </w:rPr>
        <w:t>»</w:t>
      </w:r>
      <w:r w:rsidRPr="00763375">
        <w:rPr>
          <w:rFonts w:ascii="Times New Roman" w:hAnsi="Times New Roman" w:cs="Times New Roman"/>
          <w:sz w:val="28"/>
          <w:szCs w:val="28"/>
        </w:rPr>
        <w:t xml:space="preserve"> Клиника высоких медицинских</w:t>
      </w:r>
      <w:r>
        <w:rPr>
          <w:rFonts w:ascii="Times New Roman" w:hAnsi="Times New Roman" w:cs="Times New Roman"/>
          <w:sz w:val="28"/>
          <w:szCs w:val="28"/>
        </w:rPr>
        <w:t xml:space="preserve"> </w:t>
      </w:r>
      <w:r w:rsidRPr="00763375">
        <w:rPr>
          <w:rFonts w:ascii="Times New Roman" w:hAnsi="Times New Roman" w:cs="Times New Roman"/>
          <w:sz w:val="28"/>
          <w:szCs w:val="28"/>
        </w:rPr>
        <w:t>технологий имени Н.И.</w:t>
      </w:r>
      <w:r>
        <w:rPr>
          <w:rFonts w:ascii="Times New Roman" w:hAnsi="Times New Roman" w:cs="Times New Roman"/>
          <w:sz w:val="28"/>
          <w:szCs w:val="28"/>
        </w:rPr>
        <w:t xml:space="preserve"> </w:t>
      </w:r>
      <w:r w:rsidRPr="00763375">
        <w:rPr>
          <w:rFonts w:ascii="Times New Roman" w:hAnsi="Times New Roman" w:cs="Times New Roman"/>
          <w:sz w:val="28"/>
          <w:szCs w:val="28"/>
        </w:rPr>
        <w:t>Пирогова</w:t>
      </w:r>
      <w:r>
        <w:rPr>
          <w:rFonts w:ascii="Times New Roman" w:hAnsi="Times New Roman" w:cs="Times New Roman"/>
          <w:sz w:val="28"/>
          <w:szCs w:val="28"/>
        </w:rPr>
        <w:t xml:space="preserve"> на</w:t>
      </w:r>
      <w:r w:rsidRPr="00763375">
        <w:rPr>
          <w:rFonts w:ascii="Times New Roman" w:hAnsi="Times New Roman" w:cs="Times New Roman"/>
          <w:sz w:val="28"/>
          <w:szCs w:val="28"/>
        </w:rPr>
        <w:t xml:space="preserve"> отделении эндокринной хирургии с 2010 по 2020 год. </w:t>
      </w:r>
      <w:r>
        <w:rPr>
          <w:rFonts w:ascii="Times New Roman" w:hAnsi="Times New Roman" w:cs="Times New Roman"/>
          <w:sz w:val="28"/>
          <w:szCs w:val="28"/>
        </w:rPr>
        <w:t xml:space="preserve">Срок наблюдения за пациентами составлял от 15 до 143 месяцев. В группу пациентов с ненаследственной формой МРЩЖ были отнесены 298 человека. В данной категории пациентов можно выделить две подгруппы: пациенты с подтвержденной спорадической формой по данным генетического исследования (170 человек); пациенты, которым не проводилось генотипирование и отсутствуют признаки МЭН синдрома (128 человек). Группу с наследственной формой вошли 42 человек, у которых была обнаружена мутация по данным генетического исследования и 6 человек, у которых были признаки МЭН синдрома (феохромоцитома, первичный гиперпаратиреоз, наследственный анамнез).  </w:t>
      </w:r>
    </w:p>
    <w:p w14:paraId="318DBAA0" w14:textId="77777777" w:rsidR="00862F63" w:rsidRDefault="00862F63"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Рисунок 2.1 Встречаемость наследственной и спорадической форм</w:t>
      </w:r>
    </w:p>
    <w:p w14:paraId="253D5748" w14:textId="77777777" w:rsidR="00862F63" w:rsidRDefault="00862F63" w:rsidP="009139A0">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D4A1FC0" wp14:editId="6A89B040">
            <wp:extent cx="5705475" cy="31623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8"/>
          <w:szCs w:val="28"/>
        </w:rPr>
        <w:t xml:space="preserve">  </w:t>
      </w:r>
      <w:bookmarkEnd w:id="1"/>
    </w:p>
    <w:p w14:paraId="3F07DC2E" w14:textId="3953784C" w:rsidR="005C5E5A" w:rsidRDefault="00862F63" w:rsidP="009139A0">
      <w:pPr>
        <w:spacing w:line="360" w:lineRule="auto"/>
        <w:jc w:val="both"/>
        <w:rPr>
          <w:rFonts w:ascii="Times New Roman" w:hAnsi="Times New Roman" w:cs="Times New Roman"/>
          <w:sz w:val="28"/>
          <w:szCs w:val="28"/>
        </w:rPr>
      </w:pPr>
      <w:bookmarkStart w:id="6" w:name="_Hlk104393779"/>
      <w:r>
        <w:rPr>
          <w:rFonts w:ascii="Times New Roman" w:hAnsi="Times New Roman" w:cs="Times New Roman"/>
          <w:sz w:val="28"/>
          <w:szCs w:val="28"/>
        </w:rPr>
        <w:t xml:space="preserve">В структуре заболеваемости наблюдались гендерные различия. В исследования вошли 77 мужчин и 269 женщин. Как спорадическая, так и </w:t>
      </w:r>
      <w:r>
        <w:rPr>
          <w:rFonts w:ascii="Times New Roman" w:hAnsi="Times New Roman" w:cs="Times New Roman"/>
          <w:sz w:val="28"/>
          <w:szCs w:val="28"/>
        </w:rPr>
        <w:lastRenderedPageBreak/>
        <w:t xml:space="preserve">семейная формы </w:t>
      </w:r>
      <w:r w:rsidR="00167E3B">
        <w:rPr>
          <w:rFonts w:ascii="Times New Roman" w:hAnsi="Times New Roman" w:cs="Times New Roman"/>
          <w:sz w:val="28"/>
          <w:szCs w:val="28"/>
        </w:rPr>
        <w:t>преобладали среди женщин. Средний возраст пациентов составил 51 год. При этом средний возраст заболевших женщин был выше – 52,5 года, для мужчин данный показатель составил около 47 лет.</w:t>
      </w:r>
      <w:r w:rsidR="005C5E5A">
        <w:rPr>
          <w:rFonts w:ascii="Times New Roman" w:hAnsi="Times New Roman" w:cs="Times New Roman"/>
          <w:sz w:val="28"/>
          <w:szCs w:val="28"/>
        </w:rPr>
        <w:t xml:space="preserve"> Все гендерные различия в структуре заболеваемости представлены в таблице 2.1.</w:t>
      </w:r>
    </w:p>
    <w:p w14:paraId="5052DB4A" w14:textId="653929B6" w:rsidR="005C5E5A" w:rsidRDefault="005C5E5A" w:rsidP="009139A0">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2.1</w:t>
      </w:r>
      <w:r w:rsidR="005447EB">
        <w:rPr>
          <w:rFonts w:ascii="Times New Roman" w:hAnsi="Times New Roman" w:cs="Times New Roman"/>
          <w:sz w:val="28"/>
          <w:szCs w:val="28"/>
        </w:rPr>
        <w:t xml:space="preserve"> Гендерные различия в структуре заболеваемости</w:t>
      </w:r>
    </w:p>
    <w:tbl>
      <w:tblPr>
        <w:tblStyle w:val="a3"/>
        <w:tblW w:w="9394" w:type="dxa"/>
        <w:tblLook w:val="04A0" w:firstRow="1" w:lastRow="0" w:firstColumn="1" w:lastColumn="0" w:noHBand="0" w:noVBand="1"/>
      </w:tblPr>
      <w:tblGrid>
        <w:gridCol w:w="2261"/>
        <w:gridCol w:w="1818"/>
        <w:gridCol w:w="1822"/>
        <w:gridCol w:w="2459"/>
        <w:gridCol w:w="1034"/>
      </w:tblGrid>
      <w:tr w:rsidR="005C5E5A" w14:paraId="6195DA02" w14:textId="77777777" w:rsidTr="00E13F48">
        <w:trPr>
          <w:trHeight w:val="792"/>
        </w:trPr>
        <w:tc>
          <w:tcPr>
            <w:tcW w:w="2261" w:type="dxa"/>
          </w:tcPr>
          <w:p w14:paraId="086D6638" w14:textId="77777777" w:rsidR="005C5E5A" w:rsidRDefault="005C5E5A" w:rsidP="009139A0">
            <w:pPr>
              <w:spacing w:line="360" w:lineRule="auto"/>
              <w:jc w:val="both"/>
              <w:rPr>
                <w:rFonts w:ascii="Times New Roman" w:hAnsi="Times New Roman" w:cs="Times New Roman"/>
                <w:sz w:val="28"/>
                <w:szCs w:val="28"/>
              </w:rPr>
            </w:pPr>
          </w:p>
        </w:tc>
        <w:tc>
          <w:tcPr>
            <w:tcW w:w="1818" w:type="dxa"/>
          </w:tcPr>
          <w:p w14:paraId="67F7290A" w14:textId="29416349" w:rsidR="005C5E5A" w:rsidRDefault="005C5E5A" w:rsidP="009139A0">
            <w:pPr>
              <w:spacing w:line="360" w:lineRule="auto"/>
              <w:jc w:val="both"/>
              <w:rPr>
                <w:rFonts w:ascii="Times New Roman" w:hAnsi="Times New Roman" w:cs="Times New Roman"/>
                <w:sz w:val="28"/>
                <w:szCs w:val="28"/>
              </w:rPr>
            </w:pPr>
            <w:r w:rsidRPr="005C5E5A">
              <w:rPr>
                <w:rFonts w:ascii="Times New Roman" w:hAnsi="Times New Roman" w:cs="Times New Roman"/>
                <w:sz w:val="28"/>
                <w:szCs w:val="28"/>
              </w:rPr>
              <w:t>Мужчины</w:t>
            </w:r>
          </w:p>
        </w:tc>
        <w:tc>
          <w:tcPr>
            <w:tcW w:w="1822" w:type="dxa"/>
          </w:tcPr>
          <w:p w14:paraId="0FEE5567" w14:textId="154EFEA2" w:rsidR="005C5E5A" w:rsidRDefault="005C5E5A"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Женщины</w:t>
            </w:r>
          </w:p>
        </w:tc>
        <w:tc>
          <w:tcPr>
            <w:tcW w:w="2459" w:type="dxa"/>
          </w:tcPr>
          <w:p w14:paraId="454F120E" w14:textId="79685186" w:rsidR="005C5E5A" w:rsidRDefault="00BA6832" w:rsidP="009139A0">
            <w:pPr>
              <w:spacing w:line="360" w:lineRule="auto"/>
              <w:jc w:val="both"/>
              <w:rPr>
                <w:rFonts w:ascii="Times New Roman" w:hAnsi="Times New Roman" w:cs="Times New Roman"/>
                <w:sz w:val="28"/>
                <w:szCs w:val="28"/>
              </w:rPr>
            </w:pPr>
            <w:r w:rsidRPr="00BA6832">
              <w:rPr>
                <w:rFonts w:ascii="Times New Roman" w:hAnsi="Times New Roman" w:cs="Times New Roman"/>
                <w:sz w:val="28"/>
                <w:szCs w:val="28"/>
              </w:rPr>
              <w:t>к. Манна-Уитни\Х</w:t>
            </w:r>
            <w:r w:rsidRPr="00BA6832">
              <w:rPr>
                <w:rFonts w:ascii="Times New Roman" w:hAnsi="Times New Roman" w:cs="Times New Roman"/>
                <w:sz w:val="28"/>
                <w:szCs w:val="28"/>
                <w:vertAlign w:val="superscript"/>
              </w:rPr>
              <w:t>2</w:t>
            </w:r>
          </w:p>
        </w:tc>
        <w:tc>
          <w:tcPr>
            <w:tcW w:w="1034" w:type="dxa"/>
          </w:tcPr>
          <w:p w14:paraId="0574816D" w14:textId="13DAFB68" w:rsidR="005C5E5A" w:rsidRPr="00BA6832" w:rsidRDefault="00BA6832" w:rsidP="009139A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p>
        </w:tc>
      </w:tr>
      <w:tr w:rsidR="005C5E5A" w14:paraId="4238173C" w14:textId="77777777" w:rsidTr="00E13F48">
        <w:trPr>
          <w:trHeight w:val="792"/>
        </w:trPr>
        <w:tc>
          <w:tcPr>
            <w:tcW w:w="2261" w:type="dxa"/>
          </w:tcPr>
          <w:p w14:paraId="4CD96D65" w14:textId="14DA1F14" w:rsidR="005C5E5A" w:rsidRDefault="007531D4"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rPr>
              <w:t>Распределение по полу</w:t>
            </w:r>
          </w:p>
        </w:tc>
        <w:tc>
          <w:tcPr>
            <w:tcW w:w="1818" w:type="dxa"/>
          </w:tcPr>
          <w:p w14:paraId="4A225CF2" w14:textId="77777777" w:rsidR="007531D4" w:rsidRPr="007531D4" w:rsidRDefault="007531D4"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rPr>
              <w:t>77</w:t>
            </w:r>
          </w:p>
          <w:p w14:paraId="4C46A065" w14:textId="77777777" w:rsidR="005C5E5A" w:rsidRDefault="005C5E5A" w:rsidP="009139A0">
            <w:pPr>
              <w:spacing w:line="360" w:lineRule="auto"/>
              <w:jc w:val="both"/>
              <w:rPr>
                <w:rFonts w:ascii="Times New Roman" w:hAnsi="Times New Roman" w:cs="Times New Roman"/>
                <w:sz w:val="28"/>
                <w:szCs w:val="28"/>
              </w:rPr>
            </w:pPr>
          </w:p>
        </w:tc>
        <w:tc>
          <w:tcPr>
            <w:tcW w:w="1822" w:type="dxa"/>
          </w:tcPr>
          <w:p w14:paraId="4C842153" w14:textId="07B5CB16" w:rsidR="005C5E5A" w:rsidRDefault="007531D4"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269</w:t>
            </w:r>
          </w:p>
        </w:tc>
        <w:tc>
          <w:tcPr>
            <w:tcW w:w="2459" w:type="dxa"/>
          </w:tcPr>
          <w:p w14:paraId="1991A5F9" w14:textId="77777777" w:rsidR="007531D4" w:rsidRPr="007531D4" w:rsidRDefault="007531D4"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rPr>
              <w:t>101,558</w:t>
            </w:r>
          </w:p>
          <w:p w14:paraId="03FF56CE" w14:textId="77777777" w:rsidR="005C5E5A" w:rsidRDefault="005C5E5A" w:rsidP="009139A0">
            <w:pPr>
              <w:spacing w:line="360" w:lineRule="auto"/>
              <w:jc w:val="both"/>
              <w:rPr>
                <w:rFonts w:ascii="Times New Roman" w:hAnsi="Times New Roman" w:cs="Times New Roman"/>
                <w:sz w:val="28"/>
                <w:szCs w:val="28"/>
              </w:rPr>
            </w:pPr>
          </w:p>
        </w:tc>
        <w:tc>
          <w:tcPr>
            <w:tcW w:w="1034" w:type="dxa"/>
          </w:tcPr>
          <w:p w14:paraId="05F6E773" w14:textId="77777777" w:rsidR="007531D4" w:rsidRPr="007531D4" w:rsidRDefault="007531D4"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lang w:val="en-US"/>
              </w:rPr>
              <w:t>&gt;0,01</w:t>
            </w:r>
          </w:p>
          <w:p w14:paraId="75B1D4A8" w14:textId="77777777" w:rsidR="005C5E5A" w:rsidRDefault="005C5E5A" w:rsidP="009139A0">
            <w:pPr>
              <w:spacing w:line="360" w:lineRule="auto"/>
              <w:jc w:val="both"/>
              <w:rPr>
                <w:rFonts w:ascii="Times New Roman" w:hAnsi="Times New Roman" w:cs="Times New Roman"/>
                <w:sz w:val="28"/>
                <w:szCs w:val="28"/>
              </w:rPr>
            </w:pPr>
          </w:p>
        </w:tc>
      </w:tr>
      <w:tr w:rsidR="00CA6945" w14:paraId="60FA81A7" w14:textId="77777777" w:rsidTr="00E13F48">
        <w:trPr>
          <w:trHeight w:val="792"/>
        </w:trPr>
        <w:tc>
          <w:tcPr>
            <w:tcW w:w="2261" w:type="dxa"/>
          </w:tcPr>
          <w:p w14:paraId="7CE02957" w14:textId="1A9E01D8" w:rsidR="00CA6945" w:rsidRDefault="00CA6945"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rPr>
              <w:t xml:space="preserve">Выявлена </w:t>
            </w:r>
            <w:r w:rsidRPr="007531D4">
              <w:rPr>
                <w:rFonts w:ascii="Times New Roman" w:hAnsi="Times New Roman" w:cs="Times New Roman"/>
                <w:sz w:val="28"/>
                <w:szCs w:val="28"/>
                <w:lang w:val="en-US"/>
              </w:rPr>
              <w:t xml:space="preserve">RET </w:t>
            </w:r>
            <w:r w:rsidRPr="007531D4">
              <w:rPr>
                <w:rFonts w:ascii="Times New Roman" w:hAnsi="Times New Roman" w:cs="Times New Roman"/>
                <w:sz w:val="28"/>
                <w:szCs w:val="28"/>
              </w:rPr>
              <w:t>мутация</w:t>
            </w:r>
          </w:p>
        </w:tc>
        <w:tc>
          <w:tcPr>
            <w:tcW w:w="1818" w:type="dxa"/>
          </w:tcPr>
          <w:p w14:paraId="09029503" w14:textId="77777777" w:rsidR="005447EB" w:rsidRDefault="005447EB" w:rsidP="009139A0">
            <w:pPr>
              <w:spacing w:line="360" w:lineRule="auto"/>
              <w:jc w:val="both"/>
              <w:rPr>
                <w:rFonts w:ascii="Times New Roman" w:hAnsi="Times New Roman" w:cs="Times New Roman"/>
                <w:sz w:val="28"/>
                <w:szCs w:val="28"/>
              </w:rPr>
            </w:pPr>
          </w:p>
          <w:p w14:paraId="3E9EF8EC" w14:textId="14925692" w:rsidR="00CA6945" w:rsidRDefault="00CA6945"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822" w:type="dxa"/>
          </w:tcPr>
          <w:p w14:paraId="5A2E6F46" w14:textId="77777777" w:rsidR="005447EB" w:rsidRDefault="005447EB" w:rsidP="009139A0">
            <w:pPr>
              <w:spacing w:line="360" w:lineRule="auto"/>
              <w:jc w:val="both"/>
              <w:rPr>
                <w:rFonts w:ascii="Times New Roman" w:hAnsi="Times New Roman" w:cs="Times New Roman"/>
                <w:sz w:val="28"/>
                <w:szCs w:val="28"/>
              </w:rPr>
            </w:pPr>
          </w:p>
          <w:p w14:paraId="73C05B8F" w14:textId="3DC8C4B0" w:rsidR="00CA6945" w:rsidRDefault="00CA6945"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2459" w:type="dxa"/>
            <w:vMerge w:val="restart"/>
          </w:tcPr>
          <w:p w14:paraId="594259A1" w14:textId="77777777" w:rsidR="005447EB" w:rsidRDefault="005447EB" w:rsidP="009139A0">
            <w:pPr>
              <w:spacing w:line="360" w:lineRule="auto"/>
              <w:jc w:val="both"/>
              <w:rPr>
                <w:rFonts w:ascii="Times New Roman" w:hAnsi="Times New Roman" w:cs="Times New Roman"/>
                <w:sz w:val="28"/>
                <w:szCs w:val="28"/>
                <w:lang w:val="en-US"/>
              </w:rPr>
            </w:pPr>
          </w:p>
          <w:p w14:paraId="702B7040" w14:textId="77777777" w:rsidR="005447EB" w:rsidRDefault="005447EB" w:rsidP="009139A0">
            <w:pPr>
              <w:spacing w:line="360" w:lineRule="auto"/>
              <w:jc w:val="both"/>
              <w:rPr>
                <w:rFonts w:ascii="Times New Roman" w:hAnsi="Times New Roman" w:cs="Times New Roman"/>
                <w:sz w:val="28"/>
                <w:szCs w:val="28"/>
                <w:lang w:val="en-US"/>
              </w:rPr>
            </w:pPr>
          </w:p>
          <w:p w14:paraId="3EEF4CB4" w14:textId="61756834" w:rsidR="00CA6945" w:rsidRPr="00CA6945" w:rsidRDefault="00CA6945" w:rsidP="009139A0">
            <w:pPr>
              <w:spacing w:line="360" w:lineRule="auto"/>
              <w:jc w:val="both"/>
              <w:rPr>
                <w:rFonts w:ascii="Times New Roman" w:hAnsi="Times New Roman" w:cs="Times New Roman"/>
                <w:sz w:val="28"/>
                <w:szCs w:val="28"/>
              </w:rPr>
            </w:pPr>
            <w:r w:rsidRPr="00CA6945">
              <w:rPr>
                <w:rFonts w:ascii="Times New Roman" w:hAnsi="Times New Roman" w:cs="Times New Roman"/>
                <w:sz w:val="28"/>
                <w:szCs w:val="28"/>
                <w:lang w:val="en-US"/>
              </w:rPr>
              <w:t>0</w:t>
            </w:r>
            <w:r w:rsidRPr="00CA6945">
              <w:rPr>
                <w:rFonts w:ascii="Times New Roman" w:hAnsi="Times New Roman" w:cs="Times New Roman"/>
                <w:sz w:val="28"/>
                <w:szCs w:val="28"/>
              </w:rPr>
              <w:t>,</w:t>
            </w:r>
            <w:r w:rsidRPr="00CA6945">
              <w:rPr>
                <w:rFonts w:ascii="Times New Roman" w:hAnsi="Times New Roman" w:cs="Times New Roman"/>
                <w:sz w:val="28"/>
                <w:szCs w:val="28"/>
                <w:lang w:val="en-US"/>
              </w:rPr>
              <w:t>267</w:t>
            </w:r>
          </w:p>
          <w:p w14:paraId="35857762" w14:textId="77777777" w:rsidR="00CA6945" w:rsidRDefault="00CA6945" w:rsidP="009139A0">
            <w:pPr>
              <w:spacing w:line="360" w:lineRule="auto"/>
              <w:jc w:val="both"/>
              <w:rPr>
                <w:rFonts w:ascii="Times New Roman" w:hAnsi="Times New Roman" w:cs="Times New Roman"/>
                <w:sz w:val="28"/>
                <w:szCs w:val="28"/>
              </w:rPr>
            </w:pPr>
          </w:p>
        </w:tc>
        <w:tc>
          <w:tcPr>
            <w:tcW w:w="1034" w:type="dxa"/>
            <w:vMerge w:val="restart"/>
          </w:tcPr>
          <w:p w14:paraId="7CA56BA1" w14:textId="77777777" w:rsidR="005447EB" w:rsidRDefault="005447EB" w:rsidP="009139A0">
            <w:pPr>
              <w:spacing w:line="360" w:lineRule="auto"/>
              <w:jc w:val="both"/>
              <w:rPr>
                <w:rFonts w:ascii="Times New Roman" w:hAnsi="Times New Roman" w:cs="Times New Roman"/>
                <w:sz w:val="28"/>
                <w:szCs w:val="28"/>
              </w:rPr>
            </w:pPr>
          </w:p>
          <w:p w14:paraId="4F354499" w14:textId="77777777" w:rsidR="005447EB" w:rsidRDefault="005447EB" w:rsidP="009139A0">
            <w:pPr>
              <w:spacing w:line="360" w:lineRule="auto"/>
              <w:jc w:val="both"/>
              <w:rPr>
                <w:rFonts w:ascii="Times New Roman" w:hAnsi="Times New Roman" w:cs="Times New Roman"/>
                <w:sz w:val="28"/>
                <w:szCs w:val="28"/>
              </w:rPr>
            </w:pPr>
          </w:p>
          <w:p w14:paraId="099F18D0" w14:textId="711F0CA7" w:rsidR="00CA6945" w:rsidRPr="00CA6945" w:rsidRDefault="00CA6945" w:rsidP="009139A0">
            <w:pPr>
              <w:spacing w:line="360" w:lineRule="auto"/>
              <w:jc w:val="both"/>
              <w:rPr>
                <w:rFonts w:ascii="Times New Roman" w:hAnsi="Times New Roman" w:cs="Times New Roman"/>
                <w:sz w:val="28"/>
                <w:szCs w:val="28"/>
              </w:rPr>
            </w:pPr>
            <w:r w:rsidRPr="00CA6945">
              <w:rPr>
                <w:rFonts w:ascii="Times New Roman" w:hAnsi="Times New Roman" w:cs="Times New Roman"/>
                <w:sz w:val="28"/>
                <w:szCs w:val="28"/>
              </w:rPr>
              <w:t>0,6</w:t>
            </w:r>
          </w:p>
          <w:p w14:paraId="5C41BCF2" w14:textId="77777777" w:rsidR="00CA6945" w:rsidRDefault="00CA6945" w:rsidP="009139A0">
            <w:pPr>
              <w:spacing w:line="360" w:lineRule="auto"/>
              <w:jc w:val="both"/>
              <w:rPr>
                <w:rFonts w:ascii="Times New Roman" w:hAnsi="Times New Roman" w:cs="Times New Roman"/>
                <w:sz w:val="28"/>
                <w:szCs w:val="28"/>
              </w:rPr>
            </w:pPr>
          </w:p>
        </w:tc>
      </w:tr>
      <w:tr w:rsidR="00CA6945" w14:paraId="249B0742" w14:textId="77777777" w:rsidTr="00E13F48">
        <w:trPr>
          <w:trHeight w:val="1189"/>
        </w:trPr>
        <w:tc>
          <w:tcPr>
            <w:tcW w:w="2261" w:type="dxa"/>
          </w:tcPr>
          <w:p w14:paraId="054CD989" w14:textId="2F7C02EF" w:rsidR="00CA6945" w:rsidRDefault="00CA6945"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rPr>
              <w:t>Подтверждённая спорадическая форма</w:t>
            </w:r>
          </w:p>
        </w:tc>
        <w:tc>
          <w:tcPr>
            <w:tcW w:w="1818" w:type="dxa"/>
          </w:tcPr>
          <w:p w14:paraId="534DEEEF" w14:textId="77777777" w:rsidR="005447EB" w:rsidRDefault="005447EB" w:rsidP="009139A0">
            <w:pPr>
              <w:spacing w:line="360" w:lineRule="auto"/>
              <w:jc w:val="both"/>
              <w:rPr>
                <w:rFonts w:ascii="Times New Roman" w:hAnsi="Times New Roman" w:cs="Times New Roman"/>
                <w:sz w:val="28"/>
                <w:szCs w:val="28"/>
              </w:rPr>
            </w:pPr>
          </w:p>
          <w:p w14:paraId="70420587" w14:textId="426FBA61" w:rsidR="00CA6945" w:rsidRDefault="00CA6945"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1822" w:type="dxa"/>
          </w:tcPr>
          <w:p w14:paraId="3757D28B" w14:textId="77777777" w:rsidR="005447EB" w:rsidRDefault="005447EB" w:rsidP="009139A0">
            <w:pPr>
              <w:spacing w:line="360" w:lineRule="auto"/>
              <w:jc w:val="both"/>
              <w:rPr>
                <w:rFonts w:ascii="Times New Roman" w:hAnsi="Times New Roman" w:cs="Times New Roman"/>
                <w:sz w:val="28"/>
                <w:szCs w:val="28"/>
              </w:rPr>
            </w:pPr>
          </w:p>
          <w:p w14:paraId="2FDB050E" w14:textId="6FD41C8A" w:rsidR="00CA6945" w:rsidRDefault="00CA6945"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128</w:t>
            </w:r>
          </w:p>
        </w:tc>
        <w:tc>
          <w:tcPr>
            <w:tcW w:w="2459" w:type="dxa"/>
            <w:vMerge/>
          </w:tcPr>
          <w:p w14:paraId="005DAB0E" w14:textId="77777777" w:rsidR="00CA6945" w:rsidRDefault="00CA6945" w:rsidP="009139A0">
            <w:pPr>
              <w:spacing w:line="360" w:lineRule="auto"/>
              <w:jc w:val="both"/>
              <w:rPr>
                <w:rFonts w:ascii="Times New Roman" w:hAnsi="Times New Roman" w:cs="Times New Roman"/>
                <w:sz w:val="28"/>
                <w:szCs w:val="28"/>
              </w:rPr>
            </w:pPr>
          </w:p>
        </w:tc>
        <w:tc>
          <w:tcPr>
            <w:tcW w:w="1034" w:type="dxa"/>
            <w:vMerge/>
          </w:tcPr>
          <w:p w14:paraId="2477D7B5" w14:textId="77777777" w:rsidR="00CA6945" w:rsidRDefault="00CA6945" w:rsidP="009139A0">
            <w:pPr>
              <w:spacing w:line="360" w:lineRule="auto"/>
              <w:jc w:val="both"/>
              <w:rPr>
                <w:rFonts w:ascii="Times New Roman" w:hAnsi="Times New Roman" w:cs="Times New Roman"/>
                <w:sz w:val="28"/>
                <w:szCs w:val="28"/>
              </w:rPr>
            </w:pPr>
          </w:p>
        </w:tc>
      </w:tr>
      <w:tr w:rsidR="007531D4" w14:paraId="4AF01DA2" w14:textId="77777777" w:rsidTr="00E13F48">
        <w:trPr>
          <w:trHeight w:val="429"/>
        </w:trPr>
        <w:tc>
          <w:tcPr>
            <w:tcW w:w="2261" w:type="dxa"/>
            <w:vMerge w:val="restart"/>
          </w:tcPr>
          <w:p w14:paraId="406E76A9" w14:textId="77777777" w:rsidR="007531D4" w:rsidRPr="007531D4" w:rsidRDefault="007531D4" w:rsidP="009139A0">
            <w:pPr>
              <w:spacing w:line="360" w:lineRule="auto"/>
              <w:jc w:val="both"/>
              <w:rPr>
                <w:rFonts w:ascii="Times New Roman" w:hAnsi="Times New Roman" w:cs="Times New Roman"/>
                <w:sz w:val="28"/>
                <w:szCs w:val="28"/>
              </w:rPr>
            </w:pPr>
            <w:r w:rsidRPr="007531D4">
              <w:rPr>
                <w:rFonts w:ascii="Times New Roman" w:hAnsi="Times New Roman" w:cs="Times New Roman"/>
                <w:sz w:val="28"/>
                <w:szCs w:val="28"/>
              </w:rPr>
              <w:t>Ср. возраст пациентов</w:t>
            </w:r>
          </w:p>
          <w:p w14:paraId="6A72424B" w14:textId="77777777" w:rsidR="007531D4" w:rsidRDefault="007531D4" w:rsidP="009139A0">
            <w:pPr>
              <w:spacing w:line="360" w:lineRule="auto"/>
              <w:jc w:val="both"/>
              <w:rPr>
                <w:rFonts w:ascii="Times New Roman" w:hAnsi="Times New Roman" w:cs="Times New Roman"/>
                <w:sz w:val="28"/>
                <w:szCs w:val="28"/>
              </w:rPr>
            </w:pPr>
          </w:p>
        </w:tc>
        <w:tc>
          <w:tcPr>
            <w:tcW w:w="3640" w:type="dxa"/>
            <w:gridSpan w:val="2"/>
          </w:tcPr>
          <w:p w14:paraId="3853097C" w14:textId="3C7D5A58" w:rsidR="007531D4" w:rsidRDefault="005447E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51,3</w:t>
            </w:r>
          </w:p>
        </w:tc>
        <w:tc>
          <w:tcPr>
            <w:tcW w:w="2459" w:type="dxa"/>
          </w:tcPr>
          <w:p w14:paraId="649FAE0A" w14:textId="1260337C" w:rsidR="007531D4" w:rsidRDefault="005447E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34" w:type="dxa"/>
          </w:tcPr>
          <w:p w14:paraId="5CE4A739" w14:textId="0FA3CF27" w:rsidR="007531D4" w:rsidRDefault="005447E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531D4" w14:paraId="142BBA29" w14:textId="77777777" w:rsidTr="00E13F48">
        <w:trPr>
          <w:trHeight w:val="768"/>
        </w:trPr>
        <w:tc>
          <w:tcPr>
            <w:tcW w:w="2261" w:type="dxa"/>
            <w:vMerge/>
          </w:tcPr>
          <w:p w14:paraId="78ADA737" w14:textId="77777777" w:rsidR="007531D4" w:rsidRDefault="007531D4" w:rsidP="009139A0">
            <w:pPr>
              <w:spacing w:line="360" w:lineRule="auto"/>
              <w:jc w:val="both"/>
              <w:rPr>
                <w:rFonts w:ascii="Times New Roman" w:hAnsi="Times New Roman" w:cs="Times New Roman"/>
                <w:sz w:val="28"/>
                <w:szCs w:val="28"/>
              </w:rPr>
            </w:pPr>
          </w:p>
        </w:tc>
        <w:tc>
          <w:tcPr>
            <w:tcW w:w="1818" w:type="dxa"/>
          </w:tcPr>
          <w:p w14:paraId="38F4E13E" w14:textId="236EDAFF" w:rsidR="007531D4" w:rsidRDefault="005447EB" w:rsidP="009139A0">
            <w:pPr>
              <w:spacing w:line="360" w:lineRule="auto"/>
              <w:jc w:val="both"/>
              <w:rPr>
                <w:rFonts w:ascii="Times New Roman" w:hAnsi="Times New Roman" w:cs="Times New Roman"/>
                <w:sz w:val="28"/>
                <w:szCs w:val="28"/>
              </w:rPr>
            </w:pPr>
            <w:r w:rsidRPr="005447EB">
              <w:rPr>
                <w:rFonts w:ascii="Times New Roman" w:hAnsi="Times New Roman" w:cs="Times New Roman"/>
                <w:sz w:val="28"/>
                <w:szCs w:val="28"/>
              </w:rPr>
              <w:t>46,98</w:t>
            </w:r>
          </w:p>
        </w:tc>
        <w:tc>
          <w:tcPr>
            <w:tcW w:w="1822" w:type="dxa"/>
          </w:tcPr>
          <w:p w14:paraId="2571CF88" w14:textId="6BC92DF7" w:rsidR="007531D4" w:rsidRDefault="005447EB" w:rsidP="009139A0">
            <w:pPr>
              <w:spacing w:line="360" w:lineRule="auto"/>
              <w:jc w:val="both"/>
              <w:rPr>
                <w:rFonts w:ascii="Times New Roman" w:hAnsi="Times New Roman" w:cs="Times New Roman"/>
                <w:sz w:val="28"/>
                <w:szCs w:val="28"/>
              </w:rPr>
            </w:pPr>
            <w:r w:rsidRPr="005447EB">
              <w:rPr>
                <w:rFonts w:ascii="Times New Roman" w:hAnsi="Times New Roman" w:cs="Times New Roman"/>
                <w:sz w:val="28"/>
                <w:szCs w:val="28"/>
              </w:rPr>
              <w:t>52,5</w:t>
            </w:r>
          </w:p>
        </w:tc>
        <w:tc>
          <w:tcPr>
            <w:tcW w:w="2459" w:type="dxa"/>
          </w:tcPr>
          <w:p w14:paraId="1A335D3D" w14:textId="6F0F693E" w:rsidR="007531D4" w:rsidRDefault="005447EB" w:rsidP="009139A0">
            <w:pPr>
              <w:spacing w:line="360" w:lineRule="auto"/>
              <w:jc w:val="both"/>
              <w:rPr>
                <w:rFonts w:ascii="Times New Roman" w:hAnsi="Times New Roman" w:cs="Times New Roman"/>
                <w:sz w:val="28"/>
                <w:szCs w:val="28"/>
              </w:rPr>
            </w:pPr>
            <w:r w:rsidRPr="005447EB">
              <w:rPr>
                <w:rFonts w:ascii="Times New Roman" w:hAnsi="Times New Roman" w:cs="Times New Roman"/>
                <w:sz w:val="28"/>
                <w:szCs w:val="28"/>
              </w:rPr>
              <w:t>8228,50</w:t>
            </w:r>
          </w:p>
        </w:tc>
        <w:tc>
          <w:tcPr>
            <w:tcW w:w="1034" w:type="dxa"/>
          </w:tcPr>
          <w:p w14:paraId="3F8CB5EA" w14:textId="65553F09" w:rsidR="007531D4" w:rsidRDefault="005447EB" w:rsidP="009139A0">
            <w:pPr>
              <w:spacing w:line="360" w:lineRule="auto"/>
              <w:jc w:val="both"/>
              <w:rPr>
                <w:rFonts w:ascii="Times New Roman" w:hAnsi="Times New Roman" w:cs="Times New Roman"/>
                <w:sz w:val="28"/>
                <w:szCs w:val="28"/>
              </w:rPr>
            </w:pPr>
            <w:r w:rsidRPr="005447EB">
              <w:rPr>
                <w:rFonts w:ascii="Times New Roman" w:hAnsi="Times New Roman" w:cs="Times New Roman"/>
                <w:sz w:val="28"/>
                <w:szCs w:val="28"/>
              </w:rPr>
              <w:t>0,06</w:t>
            </w:r>
          </w:p>
        </w:tc>
      </w:tr>
      <w:tr w:rsidR="00796F8B" w14:paraId="52FC7B4A" w14:textId="77777777" w:rsidTr="00E13F48">
        <w:trPr>
          <w:trHeight w:val="440"/>
        </w:trPr>
        <w:tc>
          <w:tcPr>
            <w:tcW w:w="2261" w:type="dxa"/>
            <w:vMerge w:val="restart"/>
          </w:tcPr>
          <w:p w14:paraId="472EB0C4" w14:textId="77777777" w:rsidR="00796F8B" w:rsidRDefault="00796F8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 значение кальцитонина </w:t>
            </w:r>
          </w:p>
          <w:p w14:paraId="0566AFA2" w14:textId="65403375" w:rsidR="00796F8B" w:rsidRDefault="00796F8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(до операции)</w:t>
            </w:r>
          </w:p>
        </w:tc>
        <w:tc>
          <w:tcPr>
            <w:tcW w:w="3640" w:type="dxa"/>
            <w:gridSpan w:val="2"/>
          </w:tcPr>
          <w:p w14:paraId="0FA241C8" w14:textId="104DB76F" w:rsidR="00796F8B" w:rsidRPr="005447EB" w:rsidRDefault="004F41BA" w:rsidP="009139A0">
            <w:pPr>
              <w:spacing w:line="360" w:lineRule="auto"/>
              <w:jc w:val="both"/>
              <w:rPr>
                <w:rFonts w:ascii="Times New Roman" w:hAnsi="Times New Roman" w:cs="Times New Roman"/>
                <w:sz w:val="28"/>
                <w:szCs w:val="28"/>
              </w:rPr>
            </w:pPr>
            <w:r w:rsidRPr="00F1276C">
              <w:rPr>
                <w:rFonts w:ascii="Times New Roman" w:hAnsi="Times New Roman" w:cs="Times New Roman"/>
                <w:sz w:val="28"/>
                <w:szCs w:val="28"/>
              </w:rPr>
              <w:t>1401</w:t>
            </w:r>
          </w:p>
        </w:tc>
        <w:tc>
          <w:tcPr>
            <w:tcW w:w="2459" w:type="dxa"/>
          </w:tcPr>
          <w:p w14:paraId="5EC24B61" w14:textId="2B253B05" w:rsidR="00796F8B" w:rsidRPr="005447EB" w:rsidRDefault="00A76732"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34" w:type="dxa"/>
          </w:tcPr>
          <w:p w14:paraId="5ED2AB24" w14:textId="5235ADA1" w:rsidR="00796F8B" w:rsidRPr="005447EB" w:rsidRDefault="00A76732"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BA16A9" w14:paraId="15C06B6E" w14:textId="77777777" w:rsidTr="00E13F48">
        <w:trPr>
          <w:trHeight w:val="755"/>
        </w:trPr>
        <w:tc>
          <w:tcPr>
            <w:tcW w:w="2261" w:type="dxa"/>
            <w:vMerge/>
          </w:tcPr>
          <w:p w14:paraId="59A460BE" w14:textId="77777777" w:rsidR="00BA16A9" w:rsidRDefault="00BA16A9" w:rsidP="009139A0">
            <w:pPr>
              <w:spacing w:line="360" w:lineRule="auto"/>
              <w:jc w:val="both"/>
              <w:rPr>
                <w:rFonts w:ascii="Times New Roman" w:hAnsi="Times New Roman" w:cs="Times New Roman"/>
                <w:sz w:val="28"/>
                <w:szCs w:val="28"/>
              </w:rPr>
            </w:pPr>
          </w:p>
        </w:tc>
        <w:tc>
          <w:tcPr>
            <w:tcW w:w="1818" w:type="dxa"/>
          </w:tcPr>
          <w:p w14:paraId="1220308B" w14:textId="0779B742" w:rsidR="00BA16A9" w:rsidRPr="005447EB" w:rsidRDefault="004F41BA" w:rsidP="009139A0">
            <w:pPr>
              <w:spacing w:line="360" w:lineRule="auto"/>
              <w:jc w:val="both"/>
              <w:rPr>
                <w:rFonts w:ascii="Times New Roman" w:hAnsi="Times New Roman" w:cs="Times New Roman"/>
                <w:sz w:val="28"/>
                <w:szCs w:val="28"/>
              </w:rPr>
            </w:pPr>
            <w:r w:rsidRPr="007F4AA4">
              <w:rPr>
                <w:rFonts w:ascii="Times New Roman" w:hAnsi="Times New Roman" w:cs="Times New Roman"/>
                <w:sz w:val="28"/>
                <w:szCs w:val="28"/>
              </w:rPr>
              <w:t>2659,14</w:t>
            </w:r>
          </w:p>
        </w:tc>
        <w:tc>
          <w:tcPr>
            <w:tcW w:w="1822" w:type="dxa"/>
          </w:tcPr>
          <w:p w14:paraId="77F2FDF7" w14:textId="290D5DA8" w:rsidR="00BA16A9" w:rsidRPr="005447EB" w:rsidRDefault="004F41BA" w:rsidP="009139A0">
            <w:pPr>
              <w:spacing w:line="360" w:lineRule="auto"/>
              <w:jc w:val="both"/>
              <w:rPr>
                <w:rFonts w:ascii="Times New Roman" w:hAnsi="Times New Roman" w:cs="Times New Roman"/>
                <w:sz w:val="28"/>
                <w:szCs w:val="28"/>
              </w:rPr>
            </w:pPr>
            <w:r w:rsidRPr="00272883">
              <w:rPr>
                <w:rFonts w:ascii="Times New Roman" w:hAnsi="Times New Roman" w:cs="Times New Roman"/>
                <w:sz w:val="28"/>
                <w:szCs w:val="28"/>
              </w:rPr>
              <w:t>1045,49</w:t>
            </w:r>
          </w:p>
        </w:tc>
        <w:tc>
          <w:tcPr>
            <w:tcW w:w="2459" w:type="dxa"/>
          </w:tcPr>
          <w:p w14:paraId="4005D2C8" w14:textId="2793FF66" w:rsidR="00BA16A9" w:rsidRPr="005447EB" w:rsidRDefault="00B95867" w:rsidP="009139A0">
            <w:pPr>
              <w:spacing w:line="360" w:lineRule="auto"/>
              <w:jc w:val="both"/>
              <w:rPr>
                <w:rFonts w:ascii="Times New Roman" w:hAnsi="Times New Roman" w:cs="Times New Roman"/>
                <w:sz w:val="28"/>
                <w:szCs w:val="28"/>
              </w:rPr>
            </w:pPr>
            <w:r w:rsidRPr="00620989">
              <w:rPr>
                <w:rFonts w:ascii="Times New Roman" w:hAnsi="Times New Roman" w:cs="Times New Roman"/>
                <w:sz w:val="28"/>
                <w:szCs w:val="28"/>
              </w:rPr>
              <w:t>7696,00</w:t>
            </w:r>
          </w:p>
        </w:tc>
        <w:tc>
          <w:tcPr>
            <w:tcW w:w="1034" w:type="dxa"/>
          </w:tcPr>
          <w:p w14:paraId="3A742BC8" w14:textId="09EC3EC0" w:rsidR="00BA16A9" w:rsidRPr="005447EB" w:rsidRDefault="00E93A70" w:rsidP="009139A0">
            <w:pPr>
              <w:spacing w:line="360" w:lineRule="auto"/>
              <w:jc w:val="both"/>
              <w:rPr>
                <w:rFonts w:ascii="Times New Roman" w:hAnsi="Times New Roman" w:cs="Times New Roman"/>
                <w:sz w:val="28"/>
                <w:szCs w:val="28"/>
              </w:rPr>
            </w:pPr>
            <w:r w:rsidRPr="00620989">
              <w:rPr>
                <w:rFonts w:ascii="Times New Roman" w:hAnsi="Times New Roman" w:cs="Times New Roman"/>
                <w:sz w:val="28"/>
                <w:szCs w:val="28"/>
              </w:rPr>
              <w:t>0,003</w:t>
            </w:r>
          </w:p>
        </w:tc>
      </w:tr>
      <w:tr w:rsidR="00796F8B" w14:paraId="07D2BD03" w14:textId="77777777" w:rsidTr="00E13F48">
        <w:trPr>
          <w:trHeight w:val="452"/>
        </w:trPr>
        <w:tc>
          <w:tcPr>
            <w:tcW w:w="2261" w:type="dxa"/>
            <w:vMerge w:val="restart"/>
          </w:tcPr>
          <w:p w14:paraId="613F8123" w14:textId="37E65C2F" w:rsidR="00796F8B" w:rsidRDefault="00796F8B" w:rsidP="009139A0">
            <w:pPr>
              <w:spacing w:line="360" w:lineRule="auto"/>
              <w:jc w:val="both"/>
              <w:rPr>
                <w:rFonts w:ascii="Times New Roman" w:hAnsi="Times New Roman" w:cs="Times New Roman"/>
                <w:sz w:val="28"/>
                <w:szCs w:val="28"/>
              </w:rPr>
            </w:pPr>
            <w:r w:rsidRPr="00404D93">
              <w:rPr>
                <w:rFonts w:ascii="Times New Roman" w:hAnsi="Times New Roman" w:cs="Times New Roman"/>
                <w:sz w:val="28"/>
                <w:szCs w:val="28"/>
              </w:rPr>
              <w:t>Ср. размер доминантного узла</w:t>
            </w:r>
          </w:p>
        </w:tc>
        <w:tc>
          <w:tcPr>
            <w:tcW w:w="3640" w:type="dxa"/>
            <w:gridSpan w:val="2"/>
          </w:tcPr>
          <w:p w14:paraId="1C9797AC" w14:textId="614B9759" w:rsidR="00796F8B" w:rsidRPr="005447EB" w:rsidRDefault="004F41BA" w:rsidP="009139A0">
            <w:pPr>
              <w:spacing w:line="360" w:lineRule="auto"/>
              <w:jc w:val="both"/>
              <w:rPr>
                <w:rFonts w:ascii="Times New Roman" w:hAnsi="Times New Roman" w:cs="Times New Roman"/>
                <w:sz w:val="28"/>
                <w:szCs w:val="28"/>
              </w:rPr>
            </w:pPr>
            <w:r w:rsidRPr="00250C0E">
              <w:rPr>
                <w:rFonts w:ascii="Times New Roman" w:hAnsi="Times New Roman" w:cs="Times New Roman"/>
                <w:sz w:val="28"/>
                <w:szCs w:val="28"/>
              </w:rPr>
              <w:t>1,6</w:t>
            </w:r>
            <w:r>
              <w:rPr>
                <w:rFonts w:ascii="Times New Roman" w:hAnsi="Times New Roman" w:cs="Times New Roman"/>
                <w:sz w:val="28"/>
                <w:szCs w:val="28"/>
              </w:rPr>
              <w:t>5</w:t>
            </w:r>
          </w:p>
        </w:tc>
        <w:tc>
          <w:tcPr>
            <w:tcW w:w="2459" w:type="dxa"/>
          </w:tcPr>
          <w:p w14:paraId="7EA2752D" w14:textId="4E55F21A" w:rsidR="00796F8B" w:rsidRPr="005447EB" w:rsidRDefault="00A76732"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034" w:type="dxa"/>
          </w:tcPr>
          <w:p w14:paraId="39763B6E" w14:textId="7052DFB0" w:rsidR="00796F8B" w:rsidRPr="005447EB" w:rsidRDefault="00A76732"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BA16A9" w14:paraId="63C6A2FB" w14:textId="77777777" w:rsidTr="00E13F48">
        <w:trPr>
          <w:trHeight w:val="124"/>
        </w:trPr>
        <w:tc>
          <w:tcPr>
            <w:tcW w:w="2261" w:type="dxa"/>
            <w:vMerge/>
          </w:tcPr>
          <w:p w14:paraId="4961C034" w14:textId="77777777" w:rsidR="00BA16A9" w:rsidRDefault="00BA16A9" w:rsidP="009139A0">
            <w:pPr>
              <w:spacing w:line="360" w:lineRule="auto"/>
              <w:jc w:val="both"/>
              <w:rPr>
                <w:rFonts w:ascii="Times New Roman" w:hAnsi="Times New Roman" w:cs="Times New Roman"/>
                <w:sz w:val="28"/>
                <w:szCs w:val="28"/>
              </w:rPr>
            </w:pPr>
          </w:p>
        </w:tc>
        <w:tc>
          <w:tcPr>
            <w:tcW w:w="1818" w:type="dxa"/>
          </w:tcPr>
          <w:p w14:paraId="46175538" w14:textId="33323E4F" w:rsidR="00BA16A9" w:rsidRPr="005447EB" w:rsidRDefault="00335E80" w:rsidP="009139A0">
            <w:pPr>
              <w:spacing w:line="360" w:lineRule="auto"/>
              <w:jc w:val="both"/>
              <w:rPr>
                <w:rFonts w:ascii="Times New Roman" w:hAnsi="Times New Roman" w:cs="Times New Roman"/>
                <w:sz w:val="28"/>
                <w:szCs w:val="28"/>
              </w:rPr>
            </w:pPr>
            <w:r w:rsidRPr="002A4D58">
              <w:rPr>
                <w:rFonts w:ascii="Times New Roman" w:hAnsi="Times New Roman" w:cs="Times New Roman"/>
                <w:sz w:val="28"/>
                <w:szCs w:val="28"/>
              </w:rPr>
              <w:t>2,1</w:t>
            </w:r>
            <w:r>
              <w:rPr>
                <w:rFonts w:ascii="Times New Roman" w:hAnsi="Times New Roman" w:cs="Times New Roman"/>
                <w:sz w:val="28"/>
                <w:szCs w:val="28"/>
              </w:rPr>
              <w:t>7</w:t>
            </w:r>
          </w:p>
        </w:tc>
        <w:tc>
          <w:tcPr>
            <w:tcW w:w="1822" w:type="dxa"/>
          </w:tcPr>
          <w:p w14:paraId="082D2661" w14:textId="13FB5AD3" w:rsidR="00BA16A9" w:rsidRPr="005447EB" w:rsidRDefault="00335E80" w:rsidP="009139A0">
            <w:pPr>
              <w:spacing w:line="360" w:lineRule="auto"/>
              <w:jc w:val="both"/>
              <w:rPr>
                <w:rFonts w:ascii="Times New Roman" w:hAnsi="Times New Roman" w:cs="Times New Roman"/>
                <w:sz w:val="28"/>
                <w:szCs w:val="28"/>
              </w:rPr>
            </w:pPr>
            <w:r w:rsidRPr="00DA4FAA">
              <w:rPr>
                <w:rFonts w:ascii="Times New Roman" w:hAnsi="Times New Roman" w:cs="Times New Roman"/>
                <w:sz w:val="28"/>
                <w:szCs w:val="28"/>
              </w:rPr>
              <w:t>1,</w:t>
            </w:r>
            <w:r>
              <w:rPr>
                <w:rFonts w:ascii="Times New Roman" w:hAnsi="Times New Roman" w:cs="Times New Roman"/>
                <w:sz w:val="28"/>
                <w:szCs w:val="28"/>
              </w:rPr>
              <w:t>50</w:t>
            </w:r>
          </w:p>
        </w:tc>
        <w:tc>
          <w:tcPr>
            <w:tcW w:w="2459" w:type="dxa"/>
          </w:tcPr>
          <w:p w14:paraId="47261355" w14:textId="2B6BAFEC" w:rsidR="00BA16A9" w:rsidRPr="005447EB" w:rsidRDefault="00B95867" w:rsidP="009139A0">
            <w:pPr>
              <w:spacing w:line="360" w:lineRule="auto"/>
              <w:jc w:val="both"/>
              <w:rPr>
                <w:rFonts w:ascii="Times New Roman" w:hAnsi="Times New Roman" w:cs="Times New Roman"/>
                <w:sz w:val="28"/>
                <w:szCs w:val="28"/>
              </w:rPr>
            </w:pPr>
            <w:r w:rsidRPr="005A6C88">
              <w:rPr>
                <w:rFonts w:ascii="Times New Roman" w:hAnsi="Times New Roman" w:cs="Times New Roman"/>
                <w:color w:val="000000"/>
                <w:sz w:val="28"/>
                <w:szCs w:val="28"/>
              </w:rPr>
              <w:t>7680,500</w:t>
            </w:r>
          </w:p>
        </w:tc>
        <w:tc>
          <w:tcPr>
            <w:tcW w:w="1034" w:type="dxa"/>
          </w:tcPr>
          <w:p w14:paraId="1AC07148" w14:textId="47300D63" w:rsidR="00BA16A9" w:rsidRPr="005447EB" w:rsidRDefault="00E93A70" w:rsidP="009139A0">
            <w:pPr>
              <w:spacing w:line="360" w:lineRule="auto"/>
              <w:jc w:val="both"/>
              <w:rPr>
                <w:rFonts w:ascii="Times New Roman" w:hAnsi="Times New Roman" w:cs="Times New Roman"/>
                <w:sz w:val="28"/>
                <w:szCs w:val="28"/>
              </w:rPr>
            </w:pPr>
            <w:r w:rsidRPr="00620989">
              <w:rPr>
                <w:rFonts w:ascii="Times New Roman" w:hAnsi="Times New Roman" w:cs="Times New Roman"/>
                <w:sz w:val="28"/>
                <w:szCs w:val="28"/>
              </w:rPr>
              <w:t>0,003</w:t>
            </w:r>
          </w:p>
        </w:tc>
      </w:tr>
    </w:tbl>
    <w:p w14:paraId="1EE27F70" w14:textId="3CC3C04D" w:rsidR="00DB3102" w:rsidRDefault="00B84AE5"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в большинстве случаев у мужчин наблюдался больший размер доминантного узла</w:t>
      </w:r>
      <w:r w:rsidR="00700BC1">
        <w:rPr>
          <w:rFonts w:ascii="Times New Roman" w:hAnsi="Times New Roman" w:cs="Times New Roman"/>
          <w:sz w:val="28"/>
          <w:szCs w:val="28"/>
        </w:rPr>
        <w:t xml:space="preserve"> и более высокий уровень базального кальцитонина. </w:t>
      </w:r>
      <w:r w:rsidR="00606E69">
        <w:rPr>
          <w:rFonts w:ascii="Times New Roman" w:hAnsi="Times New Roman" w:cs="Times New Roman"/>
          <w:sz w:val="28"/>
          <w:szCs w:val="28"/>
        </w:rPr>
        <w:t xml:space="preserve">При выявлении зависимости между полом и размером доминантного узла </w:t>
      </w:r>
      <w:r w:rsidR="00D644CF">
        <w:rPr>
          <w:rFonts w:ascii="Times New Roman" w:hAnsi="Times New Roman" w:cs="Times New Roman"/>
          <w:sz w:val="28"/>
          <w:szCs w:val="28"/>
        </w:rPr>
        <w:t xml:space="preserve">сравнивались только пациенты с известным базальным уровнем кальцитонина </w:t>
      </w:r>
      <w:bookmarkEnd w:id="6"/>
    </w:p>
    <w:p w14:paraId="576D0B5D" w14:textId="6E1CAA1B" w:rsidR="005C5E5A" w:rsidRPr="00CC3229" w:rsidRDefault="00D644CF" w:rsidP="009139A0">
      <w:pPr>
        <w:spacing w:line="360" w:lineRule="auto"/>
        <w:jc w:val="both"/>
        <w:rPr>
          <w:rFonts w:ascii="Times New Roman" w:hAnsi="Times New Roman" w:cs="Times New Roman"/>
          <w:sz w:val="28"/>
          <w:szCs w:val="28"/>
        </w:rPr>
      </w:pPr>
      <w:bookmarkStart w:id="7" w:name="_Hlk104393931"/>
      <w:bookmarkStart w:id="8" w:name="_Hlk104393898"/>
      <w:r>
        <w:rPr>
          <w:rFonts w:ascii="Times New Roman" w:hAnsi="Times New Roman" w:cs="Times New Roman"/>
          <w:sz w:val="28"/>
          <w:szCs w:val="28"/>
        </w:rPr>
        <w:t>(</w:t>
      </w:r>
      <w:r w:rsidR="00A36DC4">
        <w:rPr>
          <w:rFonts w:ascii="Times New Roman" w:hAnsi="Times New Roman" w:cs="Times New Roman"/>
          <w:sz w:val="28"/>
          <w:szCs w:val="28"/>
        </w:rPr>
        <w:t xml:space="preserve">261 женщина и 76 мужчин). </w:t>
      </w:r>
      <w:r w:rsidR="00083527">
        <w:rPr>
          <w:rFonts w:ascii="Times New Roman" w:hAnsi="Times New Roman" w:cs="Times New Roman"/>
          <w:sz w:val="28"/>
          <w:szCs w:val="28"/>
        </w:rPr>
        <w:t>Для</w:t>
      </w:r>
      <w:r w:rsidR="00DB3102">
        <w:rPr>
          <w:rFonts w:ascii="Times New Roman" w:hAnsi="Times New Roman" w:cs="Times New Roman"/>
          <w:sz w:val="28"/>
          <w:szCs w:val="28"/>
        </w:rPr>
        <w:t xml:space="preserve"> </w:t>
      </w:r>
      <w:r w:rsidR="00083527">
        <w:rPr>
          <w:rFonts w:ascii="Times New Roman" w:hAnsi="Times New Roman" w:cs="Times New Roman"/>
          <w:sz w:val="28"/>
          <w:szCs w:val="28"/>
        </w:rPr>
        <w:t>анализа данных на нормальность распределения использовался</w:t>
      </w:r>
      <w:r w:rsidR="00A36DC4">
        <w:rPr>
          <w:rFonts w:ascii="Times New Roman" w:hAnsi="Times New Roman" w:cs="Times New Roman"/>
          <w:sz w:val="28"/>
          <w:szCs w:val="28"/>
        </w:rPr>
        <w:t xml:space="preserve"> расчет критерия Колмогорова-Смирно</w:t>
      </w:r>
      <w:r w:rsidR="00F87FF0">
        <w:rPr>
          <w:rFonts w:ascii="Times New Roman" w:hAnsi="Times New Roman" w:cs="Times New Roman"/>
          <w:sz w:val="28"/>
          <w:szCs w:val="28"/>
        </w:rPr>
        <w:t>ва</w:t>
      </w:r>
      <w:r w:rsidR="00A36DC4">
        <w:rPr>
          <w:rFonts w:ascii="Times New Roman" w:hAnsi="Times New Roman" w:cs="Times New Roman"/>
          <w:sz w:val="28"/>
          <w:szCs w:val="28"/>
        </w:rPr>
        <w:t xml:space="preserve"> и </w:t>
      </w:r>
      <w:r w:rsidR="00A36DC4">
        <w:rPr>
          <w:rFonts w:ascii="Times New Roman" w:hAnsi="Times New Roman" w:cs="Times New Roman"/>
          <w:sz w:val="28"/>
          <w:szCs w:val="28"/>
        </w:rPr>
        <w:lastRenderedPageBreak/>
        <w:t>построени</w:t>
      </w:r>
      <w:r w:rsidR="00083527">
        <w:rPr>
          <w:rFonts w:ascii="Times New Roman" w:hAnsi="Times New Roman" w:cs="Times New Roman"/>
          <w:sz w:val="28"/>
          <w:szCs w:val="28"/>
        </w:rPr>
        <w:t>е</w:t>
      </w:r>
      <w:r w:rsidR="00A36DC4">
        <w:rPr>
          <w:rFonts w:ascii="Times New Roman" w:hAnsi="Times New Roman" w:cs="Times New Roman"/>
          <w:sz w:val="28"/>
          <w:szCs w:val="28"/>
        </w:rPr>
        <w:t xml:space="preserve"> </w:t>
      </w:r>
      <w:r w:rsidR="00083527">
        <w:rPr>
          <w:rFonts w:ascii="Times New Roman" w:hAnsi="Times New Roman" w:cs="Times New Roman"/>
          <w:sz w:val="28"/>
          <w:szCs w:val="28"/>
        </w:rPr>
        <w:t xml:space="preserve">столбчатых диаграмм с кривой распределения. Для оценки </w:t>
      </w:r>
      <w:r w:rsidR="00DD3A6B">
        <w:rPr>
          <w:rFonts w:ascii="Times New Roman" w:hAnsi="Times New Roman" w:cs="Times New Roman"/>
          <w:sz w:val="28"/>
          <w:szCs w:val="28"/>
        </w:rPr>
        <w:t>среднего значения базального кальцитонина и размера доминантного узла использовался критерий Манна-Уитни, так как эти данные не подчинялись закону нормального распределения.</w:t>
      </w:r>
      <w:r w:rsidR="00420234">
        <w:rPr>
          <w:rFonts w:ascii="Times New Roman" w:hAnsi="Times New Roman" w:cs="Times New Roman"/>
          <w:sz w:val="28"/>
          <w:szCs w:val="28"/>
        </w:rPr>
        <w:t xml:space="preserve"> Оценивая качественные признаки для выявления статистически значимой разницы в распределении пациентов по группам, использовался критерий хи-квадрат. </w:t>
      </w:r>
      <w:r w:rsidR="00B545AC">
        <w:rPr>
          <w:rFonts w:ascii="Times New Roman" w:hAnsi="Times New Roman" w:cs="Times New Roman"/>
          <w:sz w:val="28"/>
          <w:szCs w:val="28"/>
        </w:rPr>
        <w:t>Также была выявлена</w:t>
      </w:r>
      <w:r w:rsidR="007D5643">
        <w:rPr>
          <w:rFonts w:ascii="Times New Roman" w:hAnsi="Times New Roman" w:cs="Times New Roman"/>
          <w:sz w:val="28"/>
          <w:szCs w:val="28"/>
        </w:rPr>
        <w:t xml:space="preserve"> взаимосвязь между формой заболевания и мультифокальностью опухоли (таблица 2.2). </w:t>
      </w:r>
      <w:r w:rsidR="00EE1A4B">
        <w:rPr>
          <w:rFonts w:ascii="Times New Roman" w:hAnsi="Times New Roman" w:cs="Times New Roman"/>
          <w:sz w:val="28"/>
          <w:szCs w:val="28"/>
        </w:rPr>
        <w:t xml:space="preserve">У пациентов с </w:t>
      </w:r>
      <w:r w:rsidR="00163872">
        <w:rPr>
          <w:rFonts w:ascii="Times New Roman" w:hAnsi="Times New Roman" w:cs="Times New Roman"/>
          <w:sz w:val="28"/>
          <w:szCs w:val="28"/>
        </w:rPr>
        <w:t>диагностированной</w:t>
      </w:r>
      <w:r w:rsidR="00EE1A4B">
        <w:rPr>
          <w:rFonts w:ascii="Times New Roman" w:hAnsi="Times New Roman" w:cs="Times New Roman"/>
          <w:sz w:val="28"/>
          <w:szCs w:val="28"/>
        </w:rPr>
        <w:t xml:space="preserve"> </w:t>
      </w:r>
      <w:r w:rsidR="00EE1A4B">
        <w:rPr>
          <w:rFonts w:ascii="Times New Roman" w:hAnsi="Times New Roman" w:cs="Times New Roman"/>
          <w:sz w:val="28"/>
          <w:szCs w:val="28"/>
          <w:lang w:val="en-US"/>
        </w:rPr>
        <w:t>RET</w:t>
      </w:r>
      <w:r w:rsidR="00EE1A4B" w:rsidRPr="00CC3229">
        <w:rPr>
          <w:rFonts w:ascii="Times New Roman" w:hAnsi="Times New Roman" w:cs="Times New Roman"/>
          <w:sz w:val="28"/>
          <w:szCs w:val="28"/>
        </w:rPr>
        <w:t>-</w:t>
      </w:r>
      <w:r w:rsidR="00CC3229">
        <w:rPr>
          <w:rFonts w:ascii="Times New Roman" w:hAnsi="Times New Roman" w:cs="Times New Roman"/>
          <w:sz w:val="28"/>
          <w:szCs w:val="28"/>
        </w:rPr>
        <w:t>мутацией мультифокальность достигала 8</w:t>
      </w:r>
      <w:r w:rsidR="0064235F">
        <w:rPr>
          <w:rFonts w:ascii="Times New Roman" w:hAnsi="Times New Roman" w:cs="Times New Roman"/>
          <w:sz w:val="28"/>
          <w:szCs w:val="28"/>
        </w:rPr>
        <w:t>3</w:t>
      </w:r>
      <w:r w:rsidR="00CC3229">
        <w:rPr>
          <w:rFonts w:ascii="Times New Roman" w:hAnsi="Times New Roman" w:cs="Times New Roman"/>
          <w:sz w:val="28"/>
          <w:szCs w:val="28"/>
        </w:rPr>
        <w:t>,</w:t>
      </w:r>
      <w:r w:rsidR="0064235F">
        <w:rPr>
          <w:rFonts w:ascii="Times New Roman" w:hAnsi="Times New Roman" w:cs="Times New Roman"/>
          <w:sz w:val="28"/>
          <w:szCs w:val="28"/>
        </w:rPr>
        <w:t>3</w:t>
      </w:r>
      <w:r w:rsidR="00CC3229">
        <w:rPr>
          <w:rFonts w:ascii="Times New Roman" w:hAnsi="Times New Roman" w:cs="Times New Roman"/>
          <w:sz w:val="28"/>
          <w:szCs w:val="28"/>
        </w:rPr>
        <w:t xml:space="preserve">%, в то время как для </w:t>
      </w:r>
      <w:r w:rsidR="005C64DE">
        <w:rPr>
          <w:rFonts w:ascii="Times New Roman" w:hAnsi="Times New Roman" w:cs="Times New Roman"/>
          <w:sz w:val="28"/>
          <w:szCs w:val="28"/>
        </w:rPr>
        <w:t>спорадической формы данный показатель составил 1</w:t>
      </w:r>
      <w:r w:rsidR="0064235F">
        <w:rPr>
          <w:rFonts w:ascii="Times New Roman" w:hAnsi="Times New Roman" w:cs="Times New Roman"/>
          <w:sz w:val="28"/>
          <w:szCs w:val="28"/>
        </w:rPr>
        <w:t>7</w:t>
      </w:r>
      <w:r w:rsidR="005C64DE">
        <w:rPr>
          <w:rFonts w:ascii="Times New Roman" w:hAnsi="Times New Roman" w:cs="Times New Roman"/>
          <w:sz w:val="28"/>
          <w:szCs w:val="28"/>
        </w:rPr>
        <w:t>,</w:t>
      </w:r>
      <w:r w:rsidR="0064235F">
        <w:rPr>
          <w:rFonts w:ascii="Times New Roman" w:hAnsi="Times New Roman" w:cs="Times New Roman"/>
          <w:sz w:val="28"/>
          <w:szCs w:val="28"/>
        </w:rPr>
        <w:t>6</w:t>
      </w:r>
      <w:r w:rsidR="005C64DE">
        <w:rPr>
          <w:rFonts w:ascii="Times New Roman" w:hAnsi="Times New Roman" w:cs="Times New Roman"/>
          <w:sz w:val="28"/>
          <w:szCs w:val="28"/>
        </w:rPr>
        <w:t xml:space="preserve">%. </w:t>
      </w:r>
      <w:r w:rsidR="00534BBC">
        <w:rPr>
          <w:rFonts w:ascii="Times New Roman" w:hAnsi="Times New Roman" w:cs="Times New Roman"/>
          <w:sz w:val="28"/>
          <w:szCs w:val="28"/>
        </w:rPr>
        <w:t>Среди пациентов без признаков МЭН синдрома и данных генетического исследования мультифокальная опухоль встречалась в 1</w:t>
      </w:r>
      <w:r w:rsidR="0064235F">
        <w:rPr>
          <w:rFonts w:ascii="Times New Roman" w:hAnsi="Times New Roman" w:cs="Times New Roman"/>
          <w:sz w:val="28"/>
          <w:szCs w:val="28"/>
        </w:rPr>
        <w:t>8</w:t>
      </w:r>
      <w:r w:rsidR="00534BBC">
        <w:rPr>
          <w:rFonts w:ascii="Times New Roman" w:hAnsi="Times New Roman" w:cs="Times New Roman"/>
          <w:sz w:val="28"/>
          <w:szCs w:val="28"/>
        </w:rPr>
        <w:t>,7</w:t>
      </w:r>
      <w:r w:rsidR="0064235F">
        <w:rPr>
          <w:rFonts w:ascii="Times New Roman" w:hAnsi="Times New Roman" w:cs="Times New Roman"/>
          <w:sz w:val="28"/>
          <w:szCs w:val="28"/>
        </w:rPr>
        <w:t>5</w:t>
      </w:r>
      <w:r w:rsidR="00534BBC">
        <w:rPr>
          <w:rFonts w:ascii="Times New Roman" w:hAnsi="Times New Roman" w:cs="Times New Roman"/>
          <w:sz w:val="28"/>
          <w:szCs w:val="28"/>
        </w:rPr>
        <w:t>% случаев.</w:t>
      </w:r>
      <w:r w:rsidR="003B1D9B">
        <w:rPr>
          <w:rFonts w:ascii="Times New Roman" w:hAnsi="Times New Roman" w:cs="Times New Roman"/>
          <w:sz w:val="28"/>
          <w:szCs w:val="28"/>
        </w:rPr>
        <w:t xml:space="preserve"> Среди пациентов с признаками МЭН синдрома, но без данных генетического исследования статистически значимой разницы в распределении выявлено не было.</w:t>
      </w:r>
    </w:p>
    <w:p w14:paraId="0CBD7F49" w14:textId="215508F7" w:rsidR="007D5643" w:rsidRDefault="0057738B" w:rsidP="009E007E">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2.2 Мультифокальность при семейной и спорадической форме</w:t>
      </w:r>
      <w:bookmarkEnd w:id="7"/>
    </w:p>
    <w:tbl>
      <w:tblPr>
        <w:tblStyle w:val="a3"/>
        <w:tblpPr w:leftFromText="180" w:rightFromText="180" w:vertAnchor="page" w:horzAnchor="margin" w:tblpY="9001"/>
        <w:tblW w:w="9853" w:type="dxa"/>
        <w:tblLayout w:type="fixed"/>
        <w:tblLook w:val="04A0" w:firstRow="1" w:lastRow="0" w:firstColumn="1" w:lastColumn="0" w:noHBand="0" w:noVBand="1"/>
      </w:tblPr>
      <w:tblGrid>
        <w:gridCol w:w="1271"/>
        <w:gridCol w:w="2344"/>
        <w:gridCol w:w="1525"/>
        <w:gridCol w:w="1386"/>
        <w:gridCol w:w="1526"/>
        <w:gridCol w:w="831"/>
        <w:gridCol w:w="970"/>
      </w:tblGrid>
      <w:tr w:rsidR="009E007E" w:rsidRPr="00CC3229" w14:paraId="71B451AB" w14:textId="77777777" w:rsidTr="009E007E">
        <w:trPr>
          <w:trHeight w:val="1140"/>
        </w:trPr>
        <w:tc>
          <w:tcPr>
            <w:tcW w:w="1271" w:type="dxa"/>
          </w:tcPr>
          <w:p w14:paraId="76DA66D4" w14:textId="77777777" w:rsidR="009E007E" w:rsidRPr="00CC3229" w:rsidRDefault="009E007E" w:rsidP="009E007E">
            <w:pPr>
              <w:spacing w:line="360" w:lineRule="auto"/>
              <w:jc w:val="both"/>
              <w:rPr>
                <w:rFonts w:ascii="Times New Roman" w:hAnsi="Times New Roman" w:cs="Times New Roman"/>
                <w:sz w:val="28"/>
                <w:szCs w:val="28"/>
              </w:rPr>
            </w:pPr>
            <w:bookmarkStart w:id="9" w:name="_Hlk104394002"/>
          </w:p>
        </w:tc>
        <w:tc>
          <w:tcPr>
            <w:tcW w:w="2344" w:type="dxa"/>
          </w:tcPr>
          <w:p w14:paraId="33A7C6A2"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Генетическое исследование</w:t>
            </w:r>
          </w:p>
        </w:tc>
        <w:tc>
          <w:tcPr>
            <w:tcW w:w="1525" w:type="dxa"/>
          </w:tcPr>
          <w:p w14:paraId="467BF2D1"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Мультиф</w:t>
            </w:r>
            <w:r>
              <w:rPr>
                <w:rFonts w:ascii="Times New Roman" w:hAnsi="Times New Roman" w:cs="Times New Roman"/>
                <w:sz w:val="28"/>
                <w:szCs w:val="28"/>
              </w:rPr>
              <w:t>.</w:t>
            </w:r>
            <w:r w:rsidRPr="00CC3229">
              <w:rPr>
                <w:rFonts w:ascii="Times New Roman" w:hAnsi="Times New Roman" w:cs="Times New Roman"/>
                <w:sz w:val="28"/>
                <w:szCs w:val="28"/>
              </w:rPr>
              <w:t xml:space="preserve"> опухоль</w:t>
            </w:r>
          </w:p>
        </w:tc>
        <w:tc>
          <w:tcPr>
            <w:tcW w:w="1386" w:type="dxa"/>
          </w:tcPr>
          <w:p w14:paraId="1C1F1E16"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Не мультиф</w:t>
            </w:r>
            <w:r>
              <w:rPr>
                <w:rFonts w:ascii="Times New Roman" w:hAnsi="Times New Roman" w:cs="Times New Roman"/>
                <w:sz w:val="28"/>
                <w:szCs w:val="28"/>
              </w:rPr>
              <w:t>.</w:t>
            </w:r>
            <w:r w:rsidRPr="00CC3229">
              <w:rPr>
                <w:rFonts w:ascii="Times New Roman" w:hAnsi="Times New Roman" w:cs="Times New Roman"/>
                <w:sz w:val="28"/>
                <w:szCs w:val="28"/>
              </w:rPr>
              <w:t xml:space="preserve"> опухоль</w:t>
            </w:r>
          </w:p>
        </w:tc>
        <w:tc>
          <w:tcPr>
            <w:tcW w:w="1526" w:type="dxa"/>
          </w:tcPr>
          <w:p w14:paraId="70D1E384"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Мультифокальность (%)</w:t>
            </w:r>
          </w:p>
        </w:tc>
        <w:tc>
          <w:tcPr>
            <w:tcW w:w="831" w:type="dxa"/>
          </w:tcPr>
          <w:p w14:paraId="3F1241A1"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Хи</w:t>
            </w:r>
            <w:r w:rsidRPr="00CC3229">
              <w:rPr>
                <w:rFonts w:ascii="Times New Roman" w:hAnsi="Times New Roman" w:cs="Times New Roman"/>
                <w:sz w:val="28"/>
                <w:szCs w:val="28"/>
                <w:vertAlign w:val="superscript"/>
              </w:rPr>
              <w:t>2</w:t>
            </w:r>
          </w:p>
        </w:tc>
        <w:tc>
          <w:tcPr>
            <w:tcW w:w="970" w:type="dxa"/>
          </w:tcPr>
          <w:p w14:paraId="3A6C8EF0" w14:textId="77777777" w:rsidR="009E007E" w:rsidRPr="00CC3229" w:rsidRDefault="009E007E" w:rsidP="009E007E">
            <w:pPr>
              <w:spacing w:line="360" w:lineRule="auto"/>
              <w:jc w:val="both"/>
              <w:rPr>
                <w:rFonts w:ascii="Times New Roman" w:hAnsi="Times New Roman" w:cs="Times New Roman"/>
                <w:sz w:val="28"/>
                <w:szCs w:val="28"/>
                <w:lang w:val="en-US"/>
              </w:rPr>
            </w:pPr>
            <w:r w:rsidRPr="00CC3229">
              <w:rPr>
                <w:rFonts w:ascii="Times New Roman" w:hAnsi="Times New Roman" w:cs="Times New Roman"/>
                <w:sz w:val="28"/>
                <w:szCs w:val="28"/>
                <w:lang w:val="en-US"/>
              </w:rPr>
              <w:t>p</w:t>
            </w:r>
          </w:p>
        </w:tc>
      </w:tr>
      <w:tr w:rsidR="009E007E" w:rsidRPr="00CC3229" w14:paraId="2D85639A" w14:textId="77777777" w:rsidTr="009E007E">
        <w:trPr>
          <w:trHeight w:val="766"/>
        </w:trPr>
        <w:tc>
          <w:tcPr>
            <w:tcW w:w="1271" w:type="dxa"/>
            <w:vMerge w:val="restart"/>
          </w:tcPr>
          <w:p w14:paraId="2DAE0E13"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МЭН синдром</w:t>
            </w:r>
          </w:p>
        </w:tc>
        <w:tc>
          <w:tcPr>
            <w:tcW w:w="2344" w:type="dxa"/>
          </w:tcPr>
          <w:p w14:paraId="095EB99C"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 xml:space="preserve">Есть </w:t>
            </w:r>
            <w:r w:rsidRPr="00CC3229">
              <w:rPr>
                <w:rFonts w:ascii="Times New Roman" w:hAnsi="Times New Roman" w:cs="Times New Roman"/>
                <w:sz w:val="28"/>
                <w:szCs w:val="28"/>
                <w:lang w:val="en-US"/>
              </w:rPr>
              <w:t xml:space="preserve">RET </w:t>
            </w:r>
            <w:r w:rsidRPr="00CC3229">
              <w:rPr>
                <w:rFonts w:ascii="Times New Roman" w:hAnsi="Times New Roman" w:cs="Times New Roman"/>
                <w:sz w:val="28"/>
                <w:szCs w:val="28"/>
              </w:rPr>
              <w:t>мутация</w:t>
            </w:r>
          </w:p>
        </w:tc>
        <w:tc>
          <w:tcPr>
            <w:tcW w:w="1525" w:type="dxa"/>
          </w:tcPr>
          <w:p w14:paraId="12034CD2"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3</w:t>
            </w:r>
            <w:r>
              <w:rPr>
                <w:rFonts w:ascii="Times New Roman" w:hAnsi="Times New Roman" w:cs="Times New Roman"/>
                <w:sz w:val="28"/>
                <w:szCs w:val="28"/>
              </w:rPr>
              <w:t>5</w:t>
            </w:r>
          </w:p>
        </w:tc>
        <w:tc>
          <w:tcPr>
            <w:tcW w:w="1386" w:type="dxa"/>
          </w:tcPr>
          <w:p w14:paraId="23A6E224"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7</w:t>
            </w:r>
          </w:p>
        </w:tc>
        <w:tc>
          <w:tcPr>
            <w:tcW w:w="1526" w:type="dxa"/>
          </w:tcPr>
          <w:p w14:paraId="543E4E5A"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8</w:t>
            </w:r>
            <w:r>
              <w:rPr>
                <w:rFonts w:ascii="Times New Roman" w:hAnsi="Times New Roman" w:cs="Times New Roman"/>
                <w:sz w:val="28"/>
                <w:szCs w:val="28"/>
              </w:rPr>
              <w:t>3</w:t>
            </w:r>
            <w:r w:rsidRPr="00CC3229">
              <w:rPr>
                <w:rFonts w:ascii="Times New Roman" w:hAnsi="Times New Roman" w:cs="Times New Roman"/>
                <w:sz w:val="28"/>
                <w:szCs w:val="28"/>
              </w:rPr>
              <w:t>,</w:t>
            </w:r>
            <w:r>
              <w:rPr>
                <w:rFonts w:ascii="Times New Roman" w:hAnsi="Times New Roman" w:cs="Times New Roman"/>
                <w:sz w:val="28"/>
                <w:szCs w:val="28"/>
              </w:rPr>
              <w:t>3</w:t>
            </w:r>
          </w:p>
        </w:tc>
        <w:tc>
          <w:tcPr>
            <w:tcW w:w="831" w:type="dxa"/>
          </w:tcPr>
          <w:p w14:paraId="7550B346" w14:textId="77777777" w:rsidR="009E007E" w:rsidRPr="00972486" w:rsidRDefault="009E007E" w:rsidP="009E007E">
            <w:pPr>
              <w:spacing w:line="360" w:lineRule="auto"/>
              <w:jc w:val="both"/>
              <w:rPr>
                <w:rFonts w:ascii="Times New Roman" w:hAnsi="Times New Roman" w:cs="Times New Roman"/>
                <w:sz w:val="28"/>
                <w:szCs w:val="28"/>
                <w:lang w:val="en-US"/>
              </w:rPr>
            </w:pPr>
            <w:r w:rsidRPr="00CC3229">
              <w:rPr>
                <w:rFonts w:ascii="Times New Roman" w:hAnsi="Times New Roman" w:cs="Times New Roman"/>
                <w:sz w:val="28"/>
                <w:szCs w:val="28"/>
              </w:rPr>
              <w:t>1</w:t>
            </w:r>
            <w:r>
              <w:rPr>
                <w:rFonts w:ascii="Times New Roman" w:hAnsi="Times New Roman" w:cs="Times New Roman"/>
                <w:sz w:val="28"/>
                <w:szCs w:val="28"/>
              </w:rPr>
              <w:t>8</w:t>
            </w:r>
            <w:r w:rsidRPr="00CC3229">
              <w:rPr>
                <w:rFonts w:ascii="Times New Roman" w:hAnsi="Times New Roman" w:cs="Times New Roman"/>
                <w:sz w:val="28"/>
                <w:szCs w:val="28"/>
              </w:rPr>
              <w:t>,</w:t>
            </w:r>
            <w:r>
              <w:rPr>
                <w:rFonts w:ascii="Times New Roman" w:hAnsi="Times New Roman" w:cs="Times New Roman"/>
                <w:sz w:val="28"/>
                <w:szCs w:val="28"/>
              </w:rPr>
              <w:t>6</w:t>
            </w:r>
          </w:p>
        </w:tc>
        <w:tc>
          <w:tcPr>
            <w:tcW w:w="970" w:type="dxa"/>
          </w:tcPr>
          <w:p w14:paraId="33FA89CE" w14:textId="77777777" w:rsidR="009E007E" w:rsidRPr="00CC3229" w:rsidRDefault="009E007E" w:rsidP="009E007E">
            <w:pPr>
              <w:spacing w:line="360" w:lineRule="auto"/>
              <w:jc w:val="both"/>
              <w:rPr>
                <w:rFonts w:ascii="Times New Roman" w:hAnsi="Times New Roman" w:cs="Times New Roman"/>
                <w:sz w:val="28"/>
                <w:szCs w:val="28"/>
                <w:lang w:val="en-US"/>
              </w:rPr>
            </w:pPr>
            <w:r w:rsidRPr="00CC3229">
              <w:rPr>
                <w:rFonts w:ascii="Times New Roman" w:hAnsi="Times New Roman" w:cs="Times New Roman"/>
                <w:sz w:val="28"/>
                <w:szCs w:val="28"/>
                <w:lang w:val="en-US"/>
              </w:rPr>
              <w:t>&gt;0,01</w:t>
            </w:r>
          </w:p>
        </w:tc>
      </w:tr>
      <w:tr w:rsidR="009E007E" w:rsidRPr="00CC3229" w14:paraId="77F02678" w14:textId="77777777" w:rsidTr="009E007E">
        <w:trPr>
          <w:trHeight w:val="766"/>
        </w:trPr>
        <w:tc>
          <w:tcPr>
            <w:tcW w:w="1271" w:type="dxa"/>
            <w:vMerge/>
          </w:tcPr>
          <w:p w14:paraId="714AD486" w14:textId="77777777" w:rsidR="009E007E" w:rsidRPr="00CC3229" w:rsidRDefault="009E007E" w:rsidP="009E007E">
            <w:pPr>
              <w:spacing w:line="360" w:lineRule="auto"/>
              <w:jc w:val="both"/>
              <w:rPr>
                <w:rFonts w:ascii="Times New Roman" w:hAnsi="Times New Roman" w:cs="Times New Roman"/>
                <w:sz w:val="28"/>
                <w:szCs w:val="28"/>
              </w:rPr>
            </w:pPr>
          </w:p>
        </w:tc>
        <w:tc>
          <w:tcPr>
            <w:tcW w:w="2344" w:type="dxa"/>
          </w:tcPr>
          <w:p w14:paraId="5EC800C1"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Нет исследования</w:t>
            </w:r>
          </w:p>
        </w:tc>
        <w:tc>
          <w:tcPr>
            <w:tcW w:w="1525" w:type="dxa"/>
          </w:tcPr>
          <w:p w14:paraId="39D1D17E" w14:textId="77777777" w:rsidR="009E007E" w:rsidRDefault="009E007E" w:rsidP="009E007E">
            <w:pPr>
              <w:spacing w:line="360" w:lineRule="auto"/>
              <w:jc w:val="both"/>
              <w:rPr>
                <w:rFonts w:ascii="Times New Roman" w:hAnsi="Times New Roman" w:cs="Times New Roman"/>
                <w:sz w:val="28"/>
                <w:szCs w:val="28"/>
              </w:rPr>
            </w:pPr>
          </w:p>
          <w:p w14:paraId="415E9F66" w14:textId="77777777" w:rsidR="009E007E" w:rsidRPr="00CC3229" w:rsidRDefault="009E007E" w:rsidP="009E007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386" w:type="dxa"/>
          </w:tcPr>
          <w:p w14:paraId="6615D09D" w14:textId="77777777" w:rsidR="009E007E" w:rsidRDefault="009E007E" w:rsidP="009E007E">
            <w:pPr>
              <w:spacing w:line="360" w:lineRule="auto"/>
              <w:jc w:val="both"/>
              <w:rPr>
                <w:rFonts w:ascii="Times New Roman" w:hAnsi="Times New Roman" w:cs="Times New Roman"/>
                <w:sz w:val="28"/>
                <w:szCs w:val="28"/>
              </w:rPr>
            </w:pPr>
          </w:p>
          <w:p w14:paraId="6DF0F897" w14:textId="77777777" w:rsidR="009E007E" w:rsidRPr="00CC3229" w:rsidRDefault="009E007E" w:rsidP="009E007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526" w:type="dxa"/>
          </w:tcPr>
          <w:p w14:paraId="507DA5BA" w14:textId="77777777" w:rsidR="009E007E" w:rsidRPr="00CC3229" w:rsidRDefault="009E007E" w:rsidP="009E007E">
            <w:pPr>
              <w:spacing w:line="360" w:lineRule="auto"/>
              <w:jc w:val="both"/>
              <w:rPr>
                <w:rFonts w:ascii="Times New Roman" w:hAnsi="Times New Roman" w:cs="Times New Roman"/>
                <w:sz w:val="28"/>
                <w:szCs w:val="28"/>
              </w:rPr>
            </w:pPr>
            <w:r>
              <w:rPr>
                <w:rFonts w:ascii="Times New Roman" w:hAnsi="Times New Roman" w:cs="Times New Roman"/>
                <w:sz w:val="28"/>
                <w:szCs w:val="28"/>
              </w:rPr>
              <w:t>33,3</w:t>
            </w:r>
          </w:p>
        </w:tc>
        <w:tc>
          <w:tcPr>
            <w:tcW w:w="831" w:type="dxa"/>
          </w:tcPr>
          <w:p w14:paraId="7F4BA78F"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0,</w:t>
            </w:r>
            <w:r>
              <w:rPr>
                <w:rFonts w:ascii="Times New Roman" w:hAnsi="Times New Roman" w:cs="Times New Roman"/>
                <w:sz w:val="28"/>
                <w:szCs w:val="28"/>
              </w:rPr>
              <w:t>66</w:t>
            </w:r>
          </w:p>
        </w:tc>
        <w:tc>
          <w:tcPr>
            <w:tcW w:w="970" w:type="dxa"/>
          </w:tcPr>
          <w:p w14:paraId="146814BC"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0,</w:t>
            </w:r>
            <w:r>
              <w:rPr>
                <w:rFonts w:ascii="Times New Roman" w:hAnsi="Times New Roman" w:cs="Times New Roman"/>
                <w:sz w:val="28"/>
                <w:szCs w:val="28"/>
              </w:rPr>
              <w:t>4</w:t>
            </w:r>
          </w:p>
        </w:tc>
      </w:tr>
      <w:tr w:rsidR="009E007E" w:rsidRPr="00CC3229" w14:paraId="68A77750" w14:textId="77777777" w:rsidTr="009E007E">
        <w:trPr>
          <w:trHeight w:val="766"/>
        </w:trPr>
        <w:tc>
          <w:tcPr>
            <w:tcW w:w="1271" w:type="dxa"/>
            <w:vMerge w:val="restart"/>
          </w:tcPr>
          <w:p w14:paraId="5300AFF2"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Спорад</w:t>
            </w:r>
            <w:r>
              <w:rPr>
                <w:rFonts w:ascii="Times New Roman" w:hAnsi="Times New Roman" w:cs="Times New Roman"/>
                <w:sz w:val="28"/>
                <w:szCs w:val="28"/>
              </w:rPr>
              <w:t>.</w:t>
            </w:r>
            <w:r w:rsidRPr="00CC3229">
              <w:rPr>
                <w:rFonts w:ascii="Times New Roman" w:hAnsi="Times New Roman" w:cs="Times New Roman"/>
                <w:sz w:val="28"/>
                <w:szCs w:val="28"/>
              </w:rPr>
              <w:t>форма</w:t>
            </w:r>
          </w:p>
        </w:tc>
        <w:tc>
          <w:tcPr>
            <w:tcW w:w="2344" w:type="dxa"/>
          </w:tcPr>
          <w:p w14:paraId="5C6AB58C"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lang w:val="en-US"/>
              </w:rPr>
              <w:t>WT (</w:t>
            </w:r>
            <w:r w:rsidRPr="00CC3229">
              <w:rPr>
                <w:rFonts w:ascii="Times New Roman" w:hAnsi="Times New Roman" w:cs="Times New Roman"/>
                <w:sz w:val="28"/>
                <w:szCs w:val="28"/>
              </w:rPr>
              <w:t>дикий тип)</w:t>
            </w:r>
          </w:p>
        </w:tc>
        <w:tc>
          <w:tcPr>
            <w:tcW w:w="1525" w:type="dxa"/>
          </w:tcPr>
          <w:p w14:paraId="04C3A583" w14:textId="77777777" w:rsidR="009E007E" w:rsidRPr="00972486" w:rsidRDefault="009E007E" w:rsidP="009E007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386" w:type="dxa"/>
          </w:tcPr>
          <w:p w14:paraId="60B14A69" w14:textId="77777777" w:rsidR="009E007E" w:rsidRPr="00972486" w:rsidRDefault="009E007E" w:rsidP="009E007E">
            <w:pPr>
              <w:spacing w:line="360" w:lineRule="auto"/>
              <w:jc w:val="both"/>
              <w:rPr>
                <w:rFonts w:ascii="Times New Roman" w:hAnsi="Times New Roman" w:cs="Times New Roman"/>
                <w:sz w:val="28"/>
                <w:szCs w:val="28"/>
                <w:lang w:val="en-US"/>
              </w:rPr>
            </w:pPr>
            <w:r w:rsidRPr="00CC3229">
              <w:rPr>
                <w:rFonts w:ascii="Times New Roman" w:hAnsi="Times New Roman" w:cs="Times New Roman"/>
                <w:sz w:val="28"/>
                <w:szCs w:val="28"/>
              </w:rPr>
              <w:t>1</w:t>
            </w:r>
            <w:r>
              <w:rPr>
                <w:rFonts w:ascii="Times New Roman" w:hAnsi="Times New Roman" w:cs="Times New Roman"/>
                <w:sz w:val="28"/>
                <w:szCs w:val="28"/>
                <w:lang w:val="en-US"/>
              </w:rPr>
              <w:t>40</w:t>
            </w:r>
          </w:p>
        </w:tc>
        <w:tc>
          <w:tcPr>
            <w:tcW w:w="1526" w:type="dxa"/>
          </w:tcPr>
          <w:p w14:paraId="0C80845A" w14:textId="77777777" w:rsidR="009E007E" w:rsidRPr="00972486" w:rsidRDefault="009E007E" w:rsidP="009E007E">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17,6</w:t>
            </w:r>
          </w:p>
        </w:tc>
        <w:tc>
          <w:tcPr>
            <w:tcW w:w="831" w:type="dxa"/>
          </w:tcPr>
          <w:p w14:paraId="39621AE1" w14:textId="77777777" w:rsidR="009E007E" w:rsidRPr="00972486" w:rsidRDefault="009E007E" w:rsidP="009E007E">
            <w:pPr>
              <w:spacing w:line="360" w:lineRule="auto"/>
              <w:jc w:val="both"/>
              <w:rPr>
                <w:rFonts w:ascii="Times New Roman" w:hAnsi="Times New Roman" w:cs="Times New Roman"/>
                <w:sz w:val="28"/>
                <w:szCs w:val="28"/>
              </w:rPr>
            </w:pPr>
            <w:r>
              <w:rPr>
                <w:rFonts w:ascii="Times New Roman" w:hAnsi="Times New Roman" w:cs="Times New Roman"/>
                <w:sz w:val="28"/>
                <w:szCs w:val="28"/>
              </w:rPr>
              <w:t>71,1</w:t>
            </w:r>
          </w:p>
        </w:tc>
        <w:tc>
          <w:tcPr>
            <w:tcW w:w="970" w:type="dxa"/>
          </w:tcPr>
          <w:p w14:paraId="03AE0DB2" w14:textId="77777777" w:rsidR="009E007E" w:rsidRDefault="009E007E" w:rsidP="009E007E">
            <w:pPr>
              <w:spacing w:line="360" w:lineRule="auto"/>
              <w:jc w:val="both"/>
              <w:rPr>
                <w:rFonts w:ascii="Times New Roman" w:hAnsi="Times New Roman" w:cs="Times New Roman"/>
                <w:sz w:val="28"/>
                <w:szCs w:val="28"/>
                <w:lang w:val="en-US"/>
              </w:rPr>
            </w:pPr>
          </w:p>
          <w:p w14:paraId="475024FA"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lang w:val="en-US"/>
              </w:rPr>
              <w:t>&gt;0,01</w:t>
            </w:r>
          </w:p>
        </w:tc>
      </w:tr>
      <w:tr w:rsidR="009E007E" w:rsidRPr="00CC3229" w14:paraId="1E382BF6" w14:textId="77777777" w:rsidTr="009E007E">
        <w:trPr>
          <w:trHeight w:val="766"/>
        </w:trPr>
        <w:tc>
          <w:tcPr>
            <w:tcW w:w="1271" w:type="dxa"/>
            <w:vMerge/>
          </w:tcPr>
          <w:p w14:paraId="7B9938DC" w14:textId="77777777" w:rsidR="009E007E" w:rsidRPr="00CC3229" w:rsidRDefault="009E007E" w:rsidP="009E007E">
            <w:pPr>
              <w:spacing w:line="360" w:lineRule="auto"/>
              <w:jc w:val="both"/>
              <w:rPr>
                <w:rFonts w:ascii="Times New Roman" w:hAnsi="Times New Roman" w:cs="Times New Roman"/>
                <w:sz w:val="28"/>
                <w:szCs w:val="28"/>
              </w:rPr>
            </w:pPr>
          </w:p>
        </w:tc>
        <w:tc>
          <w:tcPr>
            <w:tcW w:w="2344" w:type="dxa"/>
          </w:tcPr>
          <w:p w14:paraId="40275957"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Нет исследования</w:t>
            </w:r>
          </w:p>
        </w:tc>
        <w:tc>
          <w:tcPr>
            <w:tcW w:w="1525" w:type="dxa"/>
          </w:tcPr>
          <w:p w14:paraId="409B3D8A" w14:textId="77777777" w:rsidR="009E007E" w:rsidRDefault="009E007E" w:rsidP="009E007E">
            <w:pPr>
              <w:spacing w:line="360" w:lineRule="auto"/>
              <w:jc w:val="both"/>
              <w:rPr>
                <w:rFonts w:ascii="Times New Roman" w:hAnsi="Times New Roman" w:cs="Times New Roman"/>
                <w:sz w:val="28"/>
                <w:szCs w:val="28"/>
              </w:rPr>
            </w:pPr>
          </w:p>
          <w:p w14:paraId="1E94B64B"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24</w:t>
            </w:r>
          </w:p>
        </w:tc>
        <w:tc>
          <w:tcPr>
            <w:tcW w:w="1386" w:type="dxa"/>
          </w:tcPr>
          <w:p w14:paraId="4A2228F2" w14:textId="77777777" w:rsidR="009E007E" w:rsidRDefault="009E007E" w:rsidP="009E007E">
            <w:pPr>
              <w:spacing w:line="360" w:lineRule="auto"/>
              <w:jc w:val="both"/>
              <w:rPr>
                <w:rFonts w:ascii="Times New Roman" w:hAnsi="Times New Roman" w:cs="Times New Roman"/>
                <w:sz w:val="28"/>
                <w:szCs w:val="28"/>
              </w:rPr>
            </w:pPr>
          </w:p>
          <w:p w14:paraId="1B89B39E"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1</w:t>
            </w:r>
            <w:r>
              <w:rPr>
                <w:rFonts w:ascii="Times New Roman" w:hAnsi="Times New Roman" w:cs="Times New Roman"/>
                <w:sz w:val="28"/>
                <w:szCs w:val="28"/>
              </w:rPr>
              <w:t>04</w:t>
            </w:r>
          </w:p>
        </w:tc>
        <w:tc>
          <w:tcPr>
            <w:tcW w:w="1526" w:type="dxa"/>
          </w:tcPr>
          <w:p w14:paraId="0CBC76DD" w14:textId="77777777" w:rsidR="009E007E" w:rsidRDefault="009E007E" w:rsidP="009E007E">
            <w:pPr>
              <w:spacing w:line="360" w:lineRule="auto"/>
              <w:jc w:val="both"/>
              <w:rPr>
                <w:rFonts w:ascii="Times New Roman" w:hAnsi="Times New Roman" w:cs="Times New Roman"/>
                <w:sz w:val="28"/>
                <w:szCs w:val="28"/>
              </w:rPr>
            </w:pPr>
          </w:p>
          <w:p w14:paraId="3528B42F"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1</w:t>
            </w:r>
            <w:r>
              <w:rPr>
                <w:rFonts w:ascii="Times New Roman" w:hAnsi="Times New Roman" w:cs="Times New Roman"/>
                <w:sz w:val="28"/>
                <w:szCs w:val="28"/>
              </w:rPr>
              <w:t>8</w:t>
            </w:r>
            <w:r w:rsidRPr="00CC3229">
              <w:rPr>
                <w:rFonts w:ascii="Times New Roman" w:hAnsi="Times New Roman" w:cs="Times New Roman"/>
                <w:sz w:val="28"/>
                <w:szCs w:val="28"/>
              </w:rPr>
              <w:t>,7</w:t>
            </w:r>
            <w:r>
              <w:rPr>
                <w:rFonts w:ascii="Times New Roman" w:hAnsi="Times New Roman" w:cs="Times New Roman"/>
                <w:sz w:val="28"/>
                <w:szCs w:val="28"/>
              </w:rPr>
              <w:t>5</w:t>
            </w:r>
          </w:p>
        </w:tc>
        <w:tc>
          <w:tcPr>
            <w:tcW w:w="831" w:type="dxa"/>
          </w:tcPr>
          <w:p w14:paraId="759535E1" w14:textId="77777777" w:rsidR="009E007E" w:rsidRDefault="009E007E" w:rsidP="009E007E">
            <w:pPr>
              <w:spacing w:line="360" w:lineRule="auto"/>
              <w:jc w:val="both"/>
              <w:rPr>
                <w:rFonts w:ascii="Times New Roman" w:hAnsi="Times New Roman" w:cs="Times New Roman"/>
                <w:sz w:val="28"/>
                <w:szCs w:val="28"/>
              </w:rPr>
            </w:pPr>
          </w:p>
          <w:p w14:paraId="7840EB86" w14:textId="77777777" w:rsidR="009E007E" w:rsidRPr="00CC3229" w:rsidRDefault="009E007E" w:rsidP="009E007E">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970" w:type="dxa"/>
          </w:tcPr>
          <w:p w14:paraId="6D987E5F" w14:textId="77777777" w:rsidR="009E007E" w:rsidRDefault="009E007E" w:rsidP="009E007E">
            <w:pPr>
              <w:spacing w:line="360" w:lineRule="auto"/>
              <w:jc w:val="both"/>
              <w:rPr>
                <w:rFonts w:ascii="Times New Roman" w:hAnsi="Times New Roman" w:cs="Times New Roman"/>
                <w:sz w:val="28"/>
                <w:szCs w:val="28"/>
                <w:lang w:val="en-US"/>
              </w:rPr>
            </w:pPr>
          </w:p>
          <w:p w14:paraId="0E34E4BF" w14:textId="77777777" w:rsidR="009E007E" w:rsidRPr="00CC3229" w:rsidRDefault="009E007E" w:rsidP="009E007E">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lang w:val="en-US"/>
              </w:rPr>
              <w:t>&gt;0,01</w:t>
            </w:r>
          </w:p>
        </w:tc>
      </w:tr>
      <w:bookmarkEnd w:id="9"/>
    </w:tbl>
    <w:p w14:paraId="5645AA98" w14:textId="7AD97C0D" w:rsidR="009E007E" w:rsidRDefault="009E007E" w:rsidP="009E007E">
      <w:pPr>
        <w:spacing w:line="360" w:lineRule="auto"/>
        <w:jc w:val="center"/>
        <w:rPr>
          <w:rFonts w:ascii="Times New Roman" w:hAnsi="Times New Roman" w:cs="Times New Roman"/>
          <w:sz w:val="28"/>
          <w:szCs w:val="28"/>
        </w:rPr>
      </w:pPr>
    </w:p>
    <w:p w14:paraId="0478FEDB" w14:textId="77777777" w:rsidR="009E007E" w:rsidRPr="009E007E" w:rsidRDefault="009E007E" w:rsidP="009E007E">
      <w:pPr>
        <w:spacing w:line="360" w:lineRule="auto"/>
        <w:jc w:val="center"/>
        <w:rPr>
          <w:rFonts w:ascii="Times New Roman" w:hAnsi="Times New Roman" w:cs="Times New Roman"/>
          <w:sz w:val="28"/>
          <w:szCs w:val="28"/>
        </w:rPr>
      </w:pPr>
    </w:p>
    <w:bookmarkEnd w:id="8"/>
    <w:p w14:paraId="2B177A23" w14:textId="76E43A63" w:rsidR="007D5643" w:rsidRPr="00C06343" w:rsidRDefault="00C06343"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Стоит уточнить, что мультифокальная опухоль может быть локализована в пределах одной доли. </w:t>
      </w:r>
      <w:r w:rsidR="0025273F">
        <w:rPr>
          <w:rFonts w:ascii="Times New Roman" w:hAnsi="Times New Roman" w:cs="Times New Roman"/>
          <w:noProof/>
          <w:sz w:val="28"/>
          <w:szCs w:val="28"/>
        </w:rPr>
        <w:t xml:space="preserve">Далее мы отдельно сравнили спорадическую и семейную форму по признаку </w:t>
      </w:r>
      <w:r w:rsidR="009543CA">
        <w:rPr>
          <w:rFonts w:ascii="Times New Roman" w:hAnsi="Times New Roman" w:cs="Times New Roman"/>
          <w:noProof/>
          <w:sz w:val="28"/>
          <w:szCs w:val="28"/>
        </w:rPr>
        <w:t>билатерального поражения щитовидной железы (таблица 2.3).</w:t>
      </w:r>
    </w:p>
    <w:tbl>
      <w:tblPr>
        <w:tblStyle w:val="a3"/>
        <w:tblpPr w:leftFromText="180" w:rightFromText="180" w:vertAnchor="page" w:horzAnchor="margin" w:tblpXSpec="center" w:tblpY="3871"/>
        <w:tblW w:w="10021" w:type="dxa"/>
        <w:tblLayout w:type="fixed"/>
        <w:tblLook w:val="04A0" w:firstRow="1" w:lastRow="0" w:firstColumn="1" w:lastColumn="0" w:noHBand="0" w:noVBand="1"/>
      </w:tblPr>
      <w:tblGrid>
        <w:gridCol w:w="1664"/>
        <w:gridCol w:w="1948"/>
        <w:gridCol w:w="1390"/>
        <w:gridCol w:w="1948"/>
        <w:gridCol w:w="1251"/>
        <w:gridCol w:w="833"/>
        <w:gridCol w:w="987"/>
      </w:tblGrid>
      <w:tr w:rsidR="00E13F48" w14:paraId="6088E055" w14:textId="77777777" w:rsidTr="00E13F48">
        <w:trPr>
          <w:trHeight w:val="340"/>
        </w:trPr>
        <w:tc>
          <w:tcPr>
            <w:tcW w:w="10021" w:type="dxa"/>
            <w:gridSpan w:val="7"/>
          </w:tcPr>
          <w:p w14:paraId="117C16F1" w14:textId="1FEAA396" w:rsidR="00E13F48" w:rsidRPr="007D5643" w:rsidRDefault="00F458D7" w:rsidP="00F458D7">
            <w:pPr>
              <w:spacing w:line="360" w:lineRule="auto"/>
              <w:jc w:val="center"/>
              <w:rPr>
                <w:rFonts w:ascii="Times New Roman" w:hAnsi="Times New Roman" w:cs="Times New Roman"/>
                <w:sz w:val="28"/>
                <w:szCs w:val="28"/>
              </w:rPr>
            </w:pPr>
            <w:r>
              <w:rPr>
                <w:rFonts w:ascii="Times New Roman" w:hAnsi="Times New Roman" w:cs="Times New Roman"/>
                <w:sz w:val="28"/>
                <w:szCs w:val="28"/>
              </w:rPr>
              <w:t>Билатеральность поражения</w:t>
            </w:r>
          </w:p>
        </w:tc>
      </w:tr>
      <w:tr w:rsidR="00E13F48" w14:paraId="6477578F" w14:textId="77777777" w:rsidTr="00E13F48">
        <w:trPr>
          <w:trHeight w:val="1040"/>
        </w:trPr>
        <w:tc>
          <w:tcPr>
            <w:tcW w:w="1664" w:type="dxa"/>
          </w:tcPr>
          <w:p w14:paraId="7E131356" w14:textId="77777777" w:rsidR="00E13F48" w:rsidRPr="007D5643" w:rsidRDefault="00E13F48" w:rsidP="009139A0">
            <w:pPr>
              <w:spacing w:line="360" w:lineRule="auto"/>
              <w:jc w:val="both"/>
              <w:rPr>
                <w:rFonts w:ascii="Times New Roman" w:hAnsi="Times New Roman" w:cs="Times New Roman"/>
                <w:sz w:val="28"/>
                <w:szCs w:val="28"/>
              </w:rPr>
            </w:pPr>
          </w:p>
        </w:tc>
        <w:tc>
          <w:tcPr>
            <w:tcW w:w="1948" w:type="dxa"/>
          </w:tcPr>
          <w:p w14:paraId="3CD9D11D"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Генетическое исследование</w:t>
            </w:r>
          </w:p>
        </w:tc>
        <w:tc>
          <w:tcPr>
            <w:tcW w:w="1390" w:type="dxa"/>
          </w:tcPr>
          <w:p w14:paraId="0B381D94"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Билатеральные</w:t>
            </w:r>
          </w:p>
        </w:tc>
        <w:tc>
          <w:tcPr>
            <w:tcW w:w="1948" w:type="dxa"/>
          </w:tcPr>
          <w:p w14:paraId="02D37AA8"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Локализованы в одной доле</w:t>
            </w:r>
          </w:p>
        </w:tc>
        <w:tc>
          <w:tcPr>
            <w:tcW w:w="1251" w:type="dxa"/>
          </w:tcPr>
          <w:p w14:paraId="061521E0"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Билатеральные (%)</w:t>
            </w:r>
          </w:p>
        </w:tc>
        <w:tc>
          <w:tcPr>
            <w:tcW w:w="833" w:type="dxa"/>
          </w:tcPr>
          <w:p w14:paraId="73C1539C"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Хи</w:t>
            </w:r>
            <w:r w:rsidRPr="007D5643">
              <w:rPr>
                <w:rFonts w:ascii="Times New Roman" w:hAnsi="Times New Roman" w:cs="Times New Roman"/>
                <w:sz w:val="28"/>
                <w:szCs w:val="28"/>
                <w:vertAlign w:val="superscript"/>
              </w:rPr>
              <w:t>2</w:t>
            </w:r>
          </w:p>
        </w:tc>
        <w:tc>
          <w:tcPr>
            <w:tcW w:w="987" w:type="dxa"/>
          </w:tcPr>
          <w:p w14:paraId="5AB17236"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lang w:val="en-US"/>
              </w:rPr>
              <w:t>p</w:t>
            </w:r>
          </w:p>
        </w:tc>
      </w:tr>
      <w:tr w:rsidR="00E13F48" w14:paraId="32A1274D" w14:textId="77777777" w:rsidTr="00E13F48">
        <w:trPr>
          <w:trHeight w:val="698"/>
        </w:trPr>
        <w:tc>
          <w:tcPr>
            <w:tcW w:w="1664" w:type="dxa"/>
            <w:vMerge w:val="restart"/>
          </w:tcPr>
          <w:p w14:paraId="5166EFE6"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МЭН синдром</w:t>
            </w:r>
          </w:p>
        </w:tc>
        <w:tc>
          <w:tcPr>
            <w:tcW w:w="1948" w:type="dxa"/>
          </w:tcPr>
          <w:p w14:paraId="750E3A6B"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 xml:space="preserve">Есть </w:t>
            </w:r>
            <w:r w:rsidRPr="007D5643">
              <w:rPr>
                <w:rFonts w:ascii="Times New Roman" w:hAnsi="Times New Roman" w:cs="Times New Roman"/>
                <w:sz w:val="28"/>
                <w:szCs w:val="28"/>
                <w:lang w:val="en-US"/>
              </w:rPr>
              <w:t xml:space="preserve">RET </w:t>
            </w:r>
            <w:r w:rsidRPr="007D5643">
              <w:rPr>
                <w:rFonts w:ascii="Times New Roman" w:hAnsi="Times New Roman" w:cs="Times New Roman"/>
                <w:sz w:val="28"/>
                <w:szCs w:val="28"/>
              </w:rPr>
              <w:t>мутация</w:t>
            </w:r>
          </w:p>
        </w:tc>
        <w:tc>
          <w:tcPr>
            <w:tcW w:w="1390" w:type="dxa"/>
          </w:tcPr>
          <w:p w14:paraId="3DE42258" w14:textId="5A477E64"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2</w:t>
            </w:r>
            <w:r w:rsidR="0052053B">
              <w:rPr>
                <w:rFonts w:ascii="Times New Roman" w:hAnsi="Times New Roman" w:cs="Times New Roman"/>
                <w:sz w:val="28"/>
                <w:szCs w:val="28"/>
              </w:rPr>
              <w:t>9</w:t>
            </w:r>
          </w:p>
        </w:tc>
        <w:tc>
          <w:tcPr>
            <w:tcW w:w="1948" w:type="dxa"/>
          </w:tcPr>
          <w:p w14:paraId="74064D07" w14:textId="7004E052" w:rsidR="00E13F48" w:rsidRPr="007D5643" w:rsidRDefault="0052053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251" w:type="dxa"/>
          </w:tcPr>
          <w:p w14:paraId="30C5F530" w14:textId="694BF288" w:rsidR="00E13F48" w:rsidRPr="007D5643" w:rsidRDefault="00292319"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833" w:type="dxa"/>
          </w:tcPr>
          <w:p w14:paraId="355BFECA" w14:textId="3B1A80D4" w:rsidR="00E13F48" w:rsidRPr="007D5643" w:rsidRDefault="00065076"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6,09</w:t>
            </w:r>
          </w:p>
        </w:tc>
        <w:tc>
          <w:tcPr>
            <w:tcW w:w="987" w:type="dxa"/>
          </w:tcPr>
          <w:p w14:paraId="254A68BF" w14:textId="29DD24A2" w:rsidR="00E13F48" w:rsidRPr="00065076" w:rsidRDefault="00065076"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0,014</w:t>
            </w:r>
          </w:p>
        </w:tc>
      </w:tr>
      <w:tr w:rsidR="00E13F48" w14:paraId="4C9601A8" w14:textId="77777777" w:rsidTr="00E13F48">
        <w:trPr>
          <w:trHeight w:val="698"/>
        </w:trPr>
        <w:tc>
          <w:tcPr>
            <w:tcW w:w="1664" w:type="dxa"/>
            <w:vMerge/>
          </w:tcPr>
          <w:p w14:paraId="6B6D8C7D" w14:textId="77777777" w:rsidR="00E13F48" w:rsidRPr="007D5643" w:rsidRDefault="00E13F48" w:rsidP="009139A0">
            <w:pPr>
              <w:spacing w:line="360" w:lineRule="auto"/>
              <w:jc w:val="both"/>
              <w:rPr>
                <w:rFonts w:ascii="Times New Roman" w:hAnsi="Times New Roman" w:cs="Times New Roman"/>
                <w:sz w:val="28"/>
                <w:szCs w:val="28"/>
              </w:rPr>
            </w:pPr>
          </w:p>
        </w:tc>
        <w:tc>
          <w:tcPr>
            <w:tcW w:w="1948" w:type="dxa"/>
          </w:tcPr>
          <w:p w14:paraId="64B3773E"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Нет исследования</w:t>
            </w:r>
          </w:p>
        </w:tc>
        <w:tc>
          <w:tcPr>
            <w:tcW w:w="1390" w:type="dxa"/>
          </w:tcPr>
          <w:p w14:paraId="53F26BA6" w14:textId="69F1BC42" w:rsidR="00E13F48" w:rsidRPr="007D5643" w:rsidRDefault="00292319"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48" w:type="dxa"/>
          </w:tcPr>
          <w:p w14:paraId="1618AF40" w14:textId="4225CE46" w:rsidR="00E13F48" w:rsidRPr="007D5643" w:rsidRDefault="00292319"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251" w:type="dxa"/>
          </w:tcPr>
          <w:p w14:paraId="4C07EBF6" w14:textId="77777777" w:rsidR="00E13F48" w:rsidRPr="007D5643" w:rsidRDefault="00E13F48" w:rsidP="009139A0">
            <w:pPr>
              <w:spacing w:line="360" w:lineRule="auto"/>
              <w:jc w:val="both"/>
              <w:rPr>
                <w:rFonts w:ascii="Times New Roman" w:hAnsi="Times New Roman" w:cs="Times New Roman"/>
                <w:sz w:val="28"/>
                <w:szCs w:val="28"/>
              </w:rPr>
            </w:pPr>
          </w:p>
          <w:p w14:paraId="66F421AB" w14:textId="1D613EA3" w:rsidR="00E13F48" w:rsidRPr="007D5643" w:rsidRDefault="00292319"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33,3</w:t>
            </w:r>
          </w:p>
        </w:tc>
        <w:tc>
          <w:tcPr>
            <w:tcW w:w="833" w:type="dxa"/>
          </w:tcPr>
          <w:p w14:paraId="3EBC8D24" w14:textId="34DC300B" w:rsidR="00E13F48" w:rsidRPr="007D5643" w:rsidRDefault="00292319" w:rsidP="009139A0">
            <w:pPr>
              <w:spacing w:line="360" w:lineRule="auto"/>
              <w:jc w:val="both"/>
              <w:rPr>
                <w:rFonts w:ascii="Times New Roman" w:hAnsi="Times New Roman" w:cs="Times New Roman"/>
                <w:sz w:val="28"/>
                <w:szCs w:val="28"/>
              </w:rPr>
            </w:pPr>
            <w:r w:rsidRPr="00CC3229">
              <w:rPr>
                <w:rFonts w:ascii="Times New Roman" w:hAnsi="Times New Roman" w:cs="Times New Roman"/>
                <w:sz w:val="28"/>
                <w:szCs w:val="28"/>
              </w:rPr>
              <w:t>0,</w:t>
            </w:r>
            <w:r>
              <w:rPr>
                <w:rFonts w:ascii="Times New Roman" w:hAnsi="Times New Roman" w:cs="Times New Roman"/>
                <w:sz w:val="28"/>
                <w:szCs w:val="28"/>
              </w:rPr>
              <w:t>66</w:t>
            </w:r>
          </w:p>
        </w:tc>
        <w:tc>
          <w:tcPr>
            <w:tcW w:w="987" w:type="dxa"/>
          </w:tcPr>
          <w:p w14:paraId="627F66C2" w14:textId="7799AB08" w:rsidR="00E13F48" w:rsidRPr="00FB00E9" w:rsidRDefault="00E13F48" w:rsidP="009139A0">
            <w:pPr>
              <w:spacing w:line="360" w:lineRule="auto"/>
              <w:jc w:val="both"/>
              <w:rPr>
                <w:rFonts w:ascii="Times New Roman" w:hAnsi="Times New Roman" w:cs="Times New Roman"/>
                <w:sz w:val="28"/>
                <w:szCs w:val="28"/>
              </w:rPr>
            </w:pPr>
            <w:r w:rsidRPr="00FB00E9">
              <w:rPr>
                <w:rFonts w:ascii="Times New Roman" w:hAnsi="Times New Roman" w:cs="Times New Roman"/>
                <w:sz w:val="28"/>
                <w:szCs w:val="28"/>
              </w:rPr>
              <w:t>0,</w:t>
            </w:r>
            <w:r w:rsidR="00292319">
              <w:rPr>
                <w:rFonts w:ascii="Times New Roman" w:hAnsi="Times New Roman" w:cs="Times New Roman"/>
                <w:sz w:val="28"/>
                <w:szCs w:val="28"/>
              </w:rPr>
              <w:t>4</w:t>
            </w:r>
          </w:p>
        </w:tc>
      </w:tr>
      <w:tr w:rsidR="00E13F48" w14:paraId="6158ECD1" w14:textId="77777777" w:rsidTr="00E13F48">
        <w:trPr>
          <w:trHeight w:val="698"/>
        </w:trPr>
        <w:tc>
          <w:tcPr>
            <w:tcW w:w="1664" w:type="dxa"/>
            <w:vMerge w:val="restart"/>
          </w:tcPr>
          <w:p w14:paraId="31CA7A6D"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Спорадическая форма</w:t>
            </w:r>
          </w:p>
        </w:tc>
        <w:tc>
          <w:tcPr>
            <w:tcW w:w="1948" w:type="dxa"/>
          </w:tcPr>
          <w:p w14:paraId="3FC76CC2"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lang w:val="en-US"/>
              </w:rPr>
              <w:t>WT (</w:t>
            </w:r>
            <w:r w:rsidRPr="007D5643">
              <w:rPr>
                <w:rFonts w:ascii="Times New Roman" w:hAnsi="Times New Roman" w:cs="Times New Roman"/>
                <w:sz w:val="28"/>
                <w:szCs w:val="28"/>
              </w:rPr>
              <w:t>дикий тип)</w:t>
            </w:r>
          </w:p>
        </w:tc>
        <w:tc>
          <w:tcPr>
            <w:tcW w:w="1390" w:type="dxa"/>
          </w:tcPr>
          <w:p w14:paraId="60A41B0D" w14:textId="7B2A6081" w:rsidR="00E13F48" w:rsidRPr="007D5643" w:rsidRDefault="0052053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948" w:type="dxa"/>
          </w:tcPr>
          <w:p w14:paraId="12AEB3FE" w14:textId="04EF9210" w:rsidR="00E13F48" w:rsidRPr="007D5643" w:rsidRDefault="0052053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162</w:t>
            </w:r>
          </w:p>
        </w:tc>
        <w:tc>
          <w:tcPr>
            <w:tcW w:w="1251" w:type="dxa"/>
          </w:tcPr>
          <w:p w14:paraId="533BCAD3"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 xml:space="preserve">    </w:t>
            </w:r>
          </w:p>
          <w:p w14:paraId="37E0D94B" w14:textId="3E7F4C82" w:rsidR="00E13F48" w:rsidRPr="007D5643" w:rsidRDefault="00671BBE"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833" w:type="dxa"/>
          </w:tcPr>
          <w:p w14:paraId="47FCE784" w14:textId="7E774D19" w:rsidR="00E13F48" w:rsidRPr="007D5643" w:rsidRDefault="00977B3F"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139,5</w:t>
            </w:r>
          </w:p>
        </w:tc>
        <w:tc>
          <w:tcPr>
            <w:tcW w:w="987" w:type="dxa"/>
          </w:tcPr>
          <w:p w14:paraId="4C4A818D" w14:textId="7D679E3A" w:rsidR="00E13F48" w:rsidRPr="00FB00E9" w:rsidRDefault="00977B3F"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&gt;</w:t>
            </w:r>
            <w:r w:rsidR="00E13F48" w:rsidRPr="00FB00E9">
              <w:rPr>
                <w:rFonts w:ascii="Times New Roman" w:hAnsi="Times New Roman" w:cs="Times New Roman"/>
                <w:sz w:val="28"/>
                <w:szCs w:val="28"/>
              </w:rPr>
              <w:t>0,0</w:t>
            </w:r>
            <w:r>
              <w:rPr>
                <w:rFonts w:ascii="Times New Roman" w:hAnsi="Times New Roman" w:cs="Times New Roman"/>
                <w:sz w:val="28"/>
                <w:szCs w:val="28"/>
              </w:rPr>
              <w:t>1</w:t>
            </w:r>
          </w:p>
        </w:tc>
      </w:tr>
      <w:tr w:rsidR="00E13F48" w14:paraId="3FFA2949" w14:textId="77777777" w:rsidTr="00E13F48">
        <w:trPr>
          <w:trHeight w:val="814"/>
        </w:trPr>
        <w:tc>
          <w:tcPr>
            <w:tcW w:w="1664" w:type="dxa"/>
            <w:vMerge/>
          </w:tcPr>
          <w:p w14:paraId="2B81EBAA" w14:textId="77777777" w:rsidR="00E13F48" w:rsidRPr="007D5643" w:rsidRDefault="00E13F48" w:rsidP="009139A0">
            <w:pPr>
              <w:spacing w:line="360" w:lineRule="auto"/>
              <w:jc w:val="both"/>
              <w:rPr>
                <w:rFonts w:ascii="Times New Roman" w:hAnsi="Times New Roman" w:cs="Times New Roman"/>
                <w:sz w:val="28"/>
                <w:szCs w:val="28"/>
              </w:rPr>
            </w:pPr>
          </w:p>
        </w:tc>
        <w:tc>
          <w:tcPr>
            <w:tcW w:w="1948" w:type="dxa"/>
          </w:tcPr>
          <w:p w14:paraId="323A9527"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Нет исследования</w:t>
            </w:r>
          </w:p>
        </w:tc>
        <w:tc>
          <w:tcPr>
            <w:tcW w:w="1390" w:type="dxa"/>
          </w:tcPr>
          <w:p w14:paraId="0C78BC15" w14:textId="77777777" w:rsidR="00E13F48" w:rsidRDefault="00E13F48" w:rsidP="009139A0">
            <w:pPr>
              <w:spacing w:line="360" w:lineRule="auto"/>
              <w:jc w:val="both"/>
              <w:rPr>
                <w:rFonts w:ascii="Times New Roman" w:hAnsi="Times New Roman" w:cs="Times New Roman"/>
                <w:sz w:val="28"/>
                <w:szCs w:val="28"/>
              </w:rPr>
            </w:pPr>
          </w:p>
          <w:p w14:paraId="0ED42CFA" w14:textId="77777777"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10</w:t>
            </w:r>
          </w:p>
        </w:tc>
        <w:tc>
          <w:tcPr>
            <w:tcW w:w="1948" w:type="dxa"/>
          </w:tcPr>
          <w:p w14:paraId="7CCE20E6" w14:textId="77777777" w:rsidR="00E13F48" w:rsidRDefault="00E13F48" w:rsidP="009139A0">
            <w:pPr>
              <w:spacing w:line="360" w:lineRule="auto"/>
              <w:jc w:val="both"/>
              <w:rPr>
                <w:rFonts w:ascii="Times New Roman" w:hAnsi="Times New Roman" w:cs="Times New Roman"/>
                <w:sz w:val="28"/>
                <w:szCs w:val="28"/>
              </w:rPr>
            </w:pPr>
          </w:p>
          <w:p w14:paraId="0AD10C99" w14:textId="7FECAA45" w:rsidR="00E13F48" w:rsidRPr="007D5643" w:rsidRDefault="00E13F48" w:rsidP="009139A0">
            <w:pPr>
              <w:spacing w:line="360" w:lineRule="auto"/>
              <w:jc w:val="both"/>
              <w:rPr>
                <w:rFonts w:ascii="Times New Roman" w:hAnsi="Times New Roman" w:cs="Times New Roman"/>
                <w:sz w:val="28"/>
                <w:szCs w:val="28"/>
              </w:rPr>
            </w:pPr>
            <w:r w:rsidRPr="007D5643">
              <w:rPr>
                <w:rFonts w:ascii="Times New Roman" w:hAnsi="Times New Roman" w:cs="Times New Roman"/>
                <w:sz w:val="28"/>
                <w:szCs w:val="28"/>
              </w:rPr>
              <w:t>1</w:t>
            </w:r>
            <w:r w:rsidR="00292319">
              <w:rPr>
                <w:rFonts w:ascii="Times New Roman" w:hAnsi="Times New Roman" w:cs="Times New Roman"/>
                <w:sz w:val="28"/>
                <w:szCs w:val="28"/>
              </w:rPr>
              <w:t>18</w:t>
            </w:r>
          </w:p>
        </w:tc>
        <w:tc>
          <w:tcPr>
            <w:tcW w:w="1251" w:type="dxa"/>
          </w:tcPr>
          <w:p w14:paraId="10DCF292" w14:textId="77777777" w:rsidR="00E13F48" w:rsidRPr="007D5643" w:rsidRDefault="00E13F48" w:rsidP="009139A0">
            <w:pPr>
              <w:spacing w:line="360" w:lineRule="auto"/>
              <w:jc w:val="both"/>
              <w:rPr>
                <w:rFonts w:ascii="Times New Roman" w:hAnsi="Times New Roman" w:cs="Times New Roman"/>
                <w:sz w:val="28"/>
                <w:szCs w:val="28"/>
              </w:rPr>
            </w:pPr>
          </w:p>
          <w:p w14:paraId="07528C3B" w14:textId="4ADFF9B5" w:rsidR="00E13F48" w:rsidRPr="007D5643" w:rsidRDefault="00671BBE"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833" w:type="dxa"/>
          </w:tcPr>
          <w:p w14:paraId="04DA67F6" w14:textId="7BD3E1BE" w:rsidR="00E13F48" w:rsidRPr="007D5643" w:rsidRDefault="00977B3F"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91,1</w:t>
            </w:r>
          </w:p>
        </w:tc>
        <w:tc>
          <w:tcPr>
            <w:tcW w:w="987" w:type="dxa"/>
          </w:tcPr>
          <w:p w14:paraId="49D30881" w14:textId="493D7631" w:rsidR="00E13F48" w:rsidRPr="00FB00E9" w:rsidRDefault="00977B3F"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&gt;</w:t>
            </w:r>
            <w:r w:rsidRPr="00FB00E9">
              <w:rPr>
                <w:rFonts w:ascii="Times New Roman" w:hAnsi="Times New Roman" w:cs="Times New Roman"/>
                <w:sz w:val="28"/>
                <w:szCs w:val="28"/>
              </w:rPr>
              <w:t>0,0</w:t>
            </w:r>
            <w:r>
              <w:rPr>
                <w:rFonts w:ascii="Times New Roman" w:hAnsi="Times New Roman" w:cs="Times New Roman"/>
                <w:sz w:val="28"/>
                <w:szCs w:val="28"/>
              </w:rPr>
              <w:t>1</w:t>
            </w:r>
          </w:p>
        </w:tc>
      </w:tr>
    </w:tbl>
    <w:p w14:paraId="129FFA5B" w14:textId="42C24AC6" w:rsidR="002E0F1F" w:rsidRDefault="009543CA" w:rsidP="009139A0">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2.3 Билатеральность при семейной и спорадической форме</w:t>
      </w:r>
    </w:p>
    <w:p w14:paraId="013AE1DC" w14:textId="77777777" w:rsidR="0057738B" w:rsidRDefault="0057738B" w:rsidP="009139A0">
      <w:pPr>
        <w:spacing w:line="360" w:lineRule="auto"/>
        <w:jc w:val="both"/>
        <w:rPr>
          <w:rFonts w:ascii="Times New Roman" w:hAnsi="Times New Roman" w:cs="Times New Roman"/>
          <w:noProof/>
          <w:sz w:val="28"/>
          <w:szCs w:val="28"/>
        </w:rPr>
      </w:pPr>
    </w:p>
    <w:p w14:paraId="407F5AF0" w14:textId="284C9C2D" w:rsidR="002A6522" w:rsidRDefault="00387AD6"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Для пациентов с подтвержденной семейной формой</w:t>
      </w:r>
      <w:r w:rsidR="007F0AE7" w:rsidRPr="007F0AE7">
        <w:rPr>
          <w:rFonts w:ascii="Times New Roman" w:hAnsi="Times New Roman" w:cs="Times New Roman"/>
          <w:noProof/>
          <w:sz w:val="28"/>
          <w:szCs w:val="28"/>
        </w:rPr>
        <w:t xml:space="preserve"> </w:t>
      </w:r>
      <w:r w:rsidR="007F0AE7">
        <w:rPr>
          <w:rFonts w:ascii="Times New Roman" w:hAnsi="Times New Roman" w:cs="Times New Roman"/>
          <w:noProof/>
          <w:sz w:val="28"/>
          <w:szCs w:val="28"/>
        </w:rPr>
        <w:t>медуллярного рака</w:t>
      </w:r>
      <w:r>
        <w:rPr>
          <w:rFonts w:ascii="Times New Roman" w:hAnsi="Times New Roman" w:cs="Times New Roman"/>
          <w:noProof/>
          <w:sz w:val="28"/>
          <w:szCs w:val="28"/>
        </w:rPr>
        <w:t xml:space="preserve"> доля билатерального поражения составила </w:t>
      </w:r>
      <w:r w:rsidR="00671BBE">
        <w:rPr>
          <w:rFonts w:ascii="Times New Roman" w:hAnsi="Times New Roman" w:cs="Times New Roman"/>
          <w:noProof/>
          <w:sz w:val="28"/>
          <w:szCs w:val="28"/>
        </w:rPr>
        <w:t>69</w:t>
      </w:r>
      <w:r>
        <w:rPr>
          <w:rFonts w:ascii="Times New Roman" w:hAnsi="Times New Roman" w:cs="Times New Roman"/>
          <w:noProof/>
          <w:sz w:val="28"/>
          <w:szCs w:val="28"/>
        </w:rPr>
        <w:t>%</w:t>
      </w:r>
      <w:r w:rsidR="000D7689">
        <w:rPr>
          <w:rFonts w:ascii="Times New Roman" w:hAnsi="Times New Roman" w:cs="Times New Roman"/>
          <w:noProof/>
          <w:sz w:val="28"/>
          <w:szCs w:val="28"/>
        </w:rPr>
        <w:t xml:space="preserve">, в то время как при </w:t>
      </w:r>
      <w:r w:rsidR="00DA6E8B">
        <w:rPr>
          <w:rFonts w:ascii="Times New Roman" w:hAnsi="Times New Roman" w:cs="Times New Roman"/>
          <w:noProof/>
          <w:sz w:val="28"/>
          <w:szCs w:val="28"/>
        </w:rPr>
        <w:t xml:space="preserve">подтверженной </w:t>
      </w:r>
      <w:r w:rsidR="000D7689">
        <w:rPr>
          <w:rFonts w:ascii="Times New Roman" w:hAnsi="Times New Roman" w:cs="Times New Roman"/>
          <w:noProof/>
          <w:sz w:val="28"/>
          <w:szCs w:val="28"/>
        </w:rPr>
        <w:t xml:space="preserve">спорадической форме двустороннее поражение </w:t>
      </w:r>
      <w:r w:rsidR="007F0AE7">
        <w:rPr>
          <w:rFonts w:ascii="Times New Roman" w:hAnsi="Times New Roman" w:cs="Times New Roman"/>
          <w:noProof/>
          <w:sz w:val="28"/>
          <w:szCs w:val="28"/>
        </w:rPr>
        <w:t xml:space="preserve">встречалась </w:t>
      </w:r>
      <w:r w:rsidR="00425F60">
        <w:rPr>
          <w:rFonts w:ascii="Times New Roman" w:hAnsi="Times New Roman" w:cs="Times New Roman"/>
          <w:noProof/>
          <w:sz w:val="28"/>
          <w:szCs w:val="28"/>
        </w:rPr>
        <w:t xml:space="preserve">только в </w:t>
      </w:r>
      <w:r w:rsidR="00671BBE">
        <w:rPr>
          <w:rFonts w:ascii="Times New Roman" w:hAnsi="Times New Roman" w:cs="Times New Roman"/>
          <w:noProof/>
          <w:sz w:val="28"/>
          <w:szCs w:val="28"/>
        </w:rPr>
        <w:t>4,7</w:t>
      </w:r>
      <w:r w:rsidR="00425F60">
        <w:rPr>
          <w:rFonts w:ascii="Times New Roman" w:hAnsi="Times New Roman" w:cs="Times New Roman"/>
          <w:noProof/>
          <w:sz w:val="28"/>
          <w:szCs w:val="28"/>
        </w:rPr>
        <w:t>% случаев</w:t>
      </w:r>
      <w:r w:rsidR="00DA6E8B">
        <w:rPr>
          <w:rFonts w:ascii="Times New Roman" w:hAnsi="Times New Roman" w:cs="Times New Roman"/>
          <w:noProof/>
          <w:sz w:val="28"/>
          <w:szCs w:val="28"/>
        </w:rPr>
        <w:t>.</w:t>
      </w:r>
      <w:r w:rsidR="00666200">
        <w:rPr>
          <w:rFonts w:ascii="Times New Roman" w:hAnsi="Times New Roman" w:cs="Times New Roman"/>
          <w:noProof/>
          <w:sz w:val="28"/>
          <w:szCs w:val="28"/>
        </w:rPr>
        <w:t xml:space="preserve"> Таким образом, полученные данные свидетельствуют о том, что </w:t>
      </w:r>
      <w:r w:rsidR="007D306B">
        <w:rPr>
          <w:rFonts w:ascii="Times New Roman" w:hAnsi="Times New Roman" w:cs="Times New Roman"/>
          <w:noProof/>
          <w:sz w:val="28"/>
          <w:szCs w:val="28"/>
        </w:rPr>
        <w:t xml:space="preserve">в подавляющем большинстве случаев семейная </w:t>
      </w:r>
      <w:r w:rsidR="00F57B38">
        <w:rPr>
          <w:rFonts w:ascii="Times New Roman" w:hAnsi="Times New Roman" w:cs="Times New Roman"/>
          <w:noProof/>
          <w:sz w:val="28"/>
          <w:szCs w:val="28"/>
        </w:rPr>
        <w:t xml:space="preserve">форма </w:t>
      </w:r>
      <w:r w:rsidR="003D540C">
        <w:rPr>
          <w:rFonts w:ascii="Times New Roman" w:hAnsi="Times New Roman" w:cs="Times New Roman"/>
          <w:noProof/>
          <w:sz w:val="28"/>
          <w:szCs w:val="28"/>
        </w:rPr>
        <w:t>связана с</w:t>
      </w:r>
      <w:r w:rsidR="00F50C26">
        <w:rPr>
          <w:rFonts w:ascii="Times New Roman" w:hAnsi="Times New Roman" w:cs="Times New Roman"/>
          <w:noProof/>
          <w:sz w:val="28"/>
          <w:szCs w:val="28"/>
        </w:rPr>
        <w:t xml:space="preserve"> мультифокальным ростом и двусторонн</w:t>
      </w:r>
      <w:r w:rsidR="002E0F1F">
        <w:rPr>
          <w:rFonts w:ascii="Times New Roman" w:hAnsi="Times New Roman" w:cs="Times New Roman"/>
          <w:noProof/>
          <w:sz w:val="28"/>
          <w:szCs w:val="28"/>
        </w:rPr>
        <w:t>ей локализацией опухоли.</w:t>
      </w:r>
      <w:r w:rsidR="007D306B">
        <w:rPr>
          <w:rFonts w:ascii="Times New Roman" w:hAnsi="Times New Roman" w:cs="Times New Roman"/>
          <w:noProof/>
          <w:sz w:val="28"/>
          <w:szCs w:val="28"/>
        </w:rPr>
        <w:t xml:space="preserve">   </w:t>
      </w:r>
    </w:p>
    <w:p w14:paraId="6F91B8AE" w14:textId="77777777" w:rsidR="002A6522" w:rsidRDefault="002A6522"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наличию метастазов всех пациентов можно разделить на две группы. Признаки экстратиреоидного распространения заболевания были обнаружены у 15 пациентов, одному из которых была выполнена гемитиреоидэктомия. </w:t>
      </w:r>
    </w:p>
    <w:p w14:paraId="71902AAE" w14:textId="77777777" w:rsidR="009139A0" w:rsidRDefault="00A323ED"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455607B" w14:textId="35E6C7EA" w:rsidR="00F145EA" w:rsidRDefault="002A6522" w:rsidP="009139A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2.</w:t>
      </w:r>
      <w:r w:rsidR="00D063EB">
        <w:rPr>
          <w:rFonts w:ascii="Times New Roman" w:hAnsi="Times New Roman" w:cs="Times New Roman"/>
          <w:sz w:val="28"/>
          <w:szCs w:val="28"/>
        </w:rPr>
        <w:t>4</w:t>
      </w:r>
      <w:r>
        <w:rPr>
          <w:rFonts w:ascii="Times New Roman" w:hAnsi="Times New Roman" w:cs="Times New Roman"/>
          <w:sz w:val="28"/>
          <w:szCs w:val="28"/>
        </w:rPr>
        <w:t xml:space="preserve"> Распределение пациентов по исследуемым группам</w:t>
      </w:r>
    </w:p>
    <w:tbl>
      <w:tblPr>
        <w:tblStyle w:val="a3"/>
        <w:tblpPr w:leftFromText="180" w:rightFromText="180" w:vertAnchor="page" w:horzAnchor="margin" w:tblpY="1696"/>
        <w:tblW w:w="8971" w:type="dxa"/>
        <w:tblLook w:val="04A0" w:firstRow="1" w:lastRow="0" w:firstColumn="1" w:lastColumn="0" w:noHBand="0" w:noVBand="1"/>
      </w:tblPr>
      <w:tblGrid>
        <w:gridCol w:w="1374"/>
        <w:gridCol w:w="3664"/>
        <w:gridCol w:w="3933"/>
      </w:tblGrid>
      <w:tr w:rsidR="009139A0" w14:paraId="273420AF" w14:textId="77777777" w:rsidTr="009139A0">
        <w:trPr>
          <w:trHeight w:val="711"/>
        </w:trPr>
        <w:tc>
          <w:tcPr>
            <w:tcW w:w="1374" w:type="dxa"/>
          </w:tcPr>
          <w:p w14:paraId="4B534C0A" w14:textId="77777777" w:rsidR="009139A0" w:rsidRDefault="009139A0" w:rsidP="009139A0">
            <w:pPr>
              <w:spacing w:line="360" w:lineRule="auto"/>
              <w:jc w:val="both"/>
              <w:rPr>
                <w:rFonts w:ascii="Times New Roman" w:hAnsi="Times New Roman" w:cs="Times New Roman"/>
                <w:sz w:val="28"/>
                <w:szCs w:val="28"/>
              </w:rPr>
            </w:pPr>
          </w:p>
        </w:tc>
        <w:tc>
          <w:tcPr>
            <w:tcW w:w="3664" w:type="dxa"/>
          </w:tcPr>
          <w:p w14:paraId="5598FACA" w14:textId="77777777" w:rsidR="009139A0" w:rsidRDefault="009139A0" w:rsidP="009139A0">
            <w:pPr>
              <w:spacing w:line="360" w:lineRule="auto"/>
              <w:jc w:val="both"/>
              <w:rPr>
                <w:rFonts w:ascii="Times New Roman" w:hAnsi="Times New Roman" w:cs="Times New Roman"/>
                <w:sz w:val="28"/>
                <w:szCs w:val="28"/>
              </w:rPr>
            </w:pPr>
          </w:p>
          <w:p w14:paraId="68DA0B72"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ТЭ</w:t>
            </w:r>
          </w:p>
        </w:tc>
        <w:tc>
          <w:tcPr>
            <w:tcW w:w="3933" w:type="dxa"/>
          </w:tcPr>
          <w:p w14:paraId="0FF5FC1E" w14:textId="77777777" w:rsidR="009139A0" w:rsidRDefault="009139A0" w:rsidP="009139A0">
            <w:pPr>
              <w:spacing w:line="360" w:lineRule="auto"/>
              <w:jc w:val="both"/>
              <w:rPr>
                <w:rFonts w:ascii="Times New Roman" w:hAnsi="Times New Roman" w:cs="Times New Roman"/>
                <w:sz w:val="28"/>
                <w:szCs w:val="28"/>
              </w:rPr>
            </w:pPr>
          </w:p>
          <w:p w14:paraId="6AD5CD5C"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ГТЭ</w:t>
            </w:r>
          </w:p>
        </w:tc>
      </w:tr>
      <w:tr w:rsidR="009139A0" w14:paraId="453586AD" w14:textId="77777777" w:rsidTr="009139A0">
        <w:trPr>
          <w:trHeight w:val="927"/>
        </w:trPr>
        <w:tc>
          <w:tcPr>
            <w:tcW w:w="1374" w:type="dxa"/>
          </w:tcPr>
          <w:p w14:paraId="15D6A089" w14:textId="77777777" w:rsidR="009139A0" w:rsidRDefault="009139A0" w:rsidP="009139A0">
            <w:pPr>
              <w:spacing w:line="360" w:lineRule="auto"/>
              <w:jc w:val="both"/>
              <w:rPr>
                <w:rFonts w:ascii="Times New Roman" w:hAnsi="Times New Roman" w:cs="Times New Roman"/>
                <w:sz w:val="28"/>
                <w:szCs w:val="28"/>
              </w:rPr>
            </w:pPr>
          </w:p>
          <w:p w14:paraId="65D95BC5" w14:textId="77777777" w:rsidR="009139A0" w:rsidRPr="0092782D" w:rsidRDefault="009139A0" w:rsidP="009139A0">
            <w:pPr>
              <w:spacing w:line="360" w:lineRule="auto"/>
              <w:jc w:val="both"/>
              <w:rPr>
                <w:rFonts w:ascii="Times New Roman" w:hAnsi="Times New Roman" w:cs="Times New Roman"/>
                <w:sz w:val="28"/>
                <w:szCs w:val="28"/>
                <w:vertAlign w:val="subscript"/>
              </w:rPr>
            </w:pPr>
            <w:r>
              <w:rPr>
                <w:rFonts w:ascii="Times New Roman" w:hAnsi="Times New Roman" w:cs="Times New Roman"/>
                <w:sz w:val="28"/>
                <w:szCs w:val="28"/>
              </w:rPr>
              <w:t>М</w:t>
            </w:r>
            <w:r>
              <w:rPr>
                <w:rFonts w:ascii="Times New Roman" w:hAnsi="Times New Roman" w:cs="Times New Roman"/>
                <w:sz w:val="28"/>
                <w:szCs w:val="28"/>
                <w:vertAlign w:val="subscript"/>
              </w:rPr>
              <w:t>1</w:t>
            </w:r>
          </w:p>
        </w:tc>
        <w:tc>
          <w:tcPr>
            <w:tcW w:w="3664" w:type="dxa"/>
          </w:tcPr>
          <w:p w14:paraId="5EA270A7" w14:textId="77777777" w:rsidR="009139A0" w:rsidRDefault="009139A0" w:rsidP="009139A0">
            <w:pPr>
              <w:spacing w:line="360" w:lineRule="auto"/>
              <w:jc w:val="both"/>
              <w:rPr>
                <w:rFonts w:ascii="Times New Roman" w:hAnsi="Times New Roman" w:cs="Times New Roman"/>
                <w:sz w:val="28"/>
                <w:szCs w:val="28"/>
              </w:rPr>
            </w:pPr>
          </w:p>
          <w:p w14:paraId="18C89993"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3933" w:type="dxa"/>
          </w:tcPr>
          <w:p w14:paraId="62B86D40" w14:textId="77777777" w:rsidR="009139A0" w:rsidRDefault="009139A0" w:rsidP="009139A0">
            <w:pPr>
              <w:spacing w:line="360" w:lineRule="auto"/>
              <w:jc w:val="both"/>
              <w:rPr>
                <w:rFonts w:ascii="Times New Roman" w:hAnsi="Times New Roman" w:cs="Times New Roman"/>
                <w:sz w:val="28"/>
                <w:szCs w:val="28"/>
              </w:rPr>
            </w:pPr>
          </w:p>
          <w:p w14:paraId="584409B7"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39A0" w14:paraId="2A8707E7" w14:textId="77777777" w:rsidTr="009139A0">
        <w:trPr>
          <w:trHeight w:val="802"/>
        </w:trPr>
        <w:tc>
          <w:tcPr>
            <w:tcW w:w="1374" w:type="dxa"/>
          </w:tcPr>
          <w:p w14:paraId="317C627B" w14:textId="77777777" w:rsidR="009139A0" w:rsidRDefault="009139A0" w:rsidP="009139A0">
            <w:pPr>
              <w:spacing w:line="360" w:lineRule="auto"/>
              <w:jc w:val="both"/>
              <w:rPr>
                <w:rFonts w:ascii="Times New Roman" w:hAnsi="Times New Roman" w:cs="Times New Roman"/>
                <w:sz w:val="28"/>
                <w:szCs w:val="28"/>
              </w:rPr>
            </w:pPr>
          </w:p>
          <w:p w14:paraId="0BDAD50A" w14:textId="77777777" w:rsidR="009139A0" w:rsidRPr="0092782D" w:rsidRDefault="009139A0" w:rsidP="009139A0">
            <w:pPr>
              <w:spacing w:line="360" w:lineRule="auto"/>
              <w:jc w:val="both"/>
              <w:rPr>
                <w:rFonts w:ascii="Times New Roman" w:hAnsi="Times New Roman" w:cs="Times New Roman"/>
                <w:sz w:val="28"/>
                <w:szCs w:val="28"/>
                <w:vertAlign w:val="subscript"/>
              </w:rPr>
            </w:pPr>
            <w:r>
              <w:rPr>
                <w:rFonts w:ascii="Times New Roman" w:hAnsi="Times New Roman" w:cs="Times New Roman"/>
                <w:sz w:val="28"/>
                <w:szCs w:val="28"/>
              </w:rPr>
              <w:t>М</w:t>
            </w:r>
            <w:r>
              <w:rPr>
                <w:rFonts w:ascii="Times New Roman" w:hAnsi="Times New Roman" w:cs="Times New Roman"/>
                <w:sz w:val="28"/>
                <w:szCs w:val="28"/>
                <w:vertAlign w:val="subscript"/>
              </w:rPr>
              <w:t xml:space="preserve">0 </w:t>
            </w:r>
            <w:r w:rsidRPr="0092782D">
              <w:rPr>
                <w:rFonts w:ascii="Times New Roman" w:hAnsi="Times New Roman" w:cs="Times New Roman"/>
                <w:sz w:val="28"/>
                <w:szCs w:val="28"/>
              </w:rPr>
              <w:t>и</w:t>
            </w:r>
            <w:r>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rPr>
              <w:t>х</w:t>
            </w:r>
          </w:p>
        </w:tc>
        <w:tc>
          <w:tcPr>
            <w:tcW w:w="3664" w:type="dxa"/>
          </w:tcPr>
          <w:p w14:paraId="652B97A1" w14:textId="77777777" w:rsidR="009139A0" w:rsidRDefault="009139A0" w:rsidP="009139A0">
            <w:pPr>
              <w:spacing w:line="360" w:lineRule="auto"/>
              <w:jc w:val="both"/>
              <w:rPr>
                <w:rFonts w:ascii="Times New Roman" w:hAnsi="Times New Roman" w:cs="Times New Roman"/>
                <w:sz w:val="28"/>
                <w:szCs w:val="28"/>
              </w:rPr>
            </w:pPr>
          </w:p>
          <w:p w14:paraId="5464E1C4" w14:textId="77777777" w:rsidR="009139A0" w:rsidRPr="00D970FD"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298</w:t>
            </w:r>
          </w:p>
        </w:tc>
        <w:tc>
          <w:tcPr>
            <w:tcW w:w="3933" w:type="dxa"/>
          </w:tcPr>
          <w:p w14:paraId="3D35F3B8" w14:textId="77777777" w:rsidR="009139A0" w:rsidRDefault="009139A0" w:rsidP="009139A0">
            <w:pPr>
              <w:spacing w:line="360" w:lineRule="auto"/>
              <w:jc w:val="both"/>
              <w:rPr>
                <w:rFonts w:ascii="Times New Roman" w:hAnsi="Times New Roman" w:cs="Times New Roman"/>
                <w:sz w:val="28"/>
                <w:szCs w:val="28"/>
              </w:rPr>
            </w:pPr>
          </w:p>
          <w:p w14:paraId="59D3B9AD"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9139A0" w14:paraId="2E361118" w14:textId="77777777" w:rsidTr="009139A0">
        <w:trPr>
          <w:trHeight w:val="802"/>
        </w:trPr>
        <w:tc>
          <w:tcPr>
            <w:tcW w:w="1374" w:type="dxa"/>
          </w:tcPr>
          <w:p w14:paraId="1946EB88" w14:textId="77777777" w:rsidR="009139A0" w:rsidRDefault="009139A0" w:rsidP="009139A0">
            <w:pPr>
              <w:spacing w:line="360" w:lineRule="auto"/>
              <w:jc w:val="both"/>
              <w:rPr>
                <w:rFonts w:ascii="Times New Roman" w:hAnsi="Times New Roman" w:cs="Times New Roman"/>
                <w:sz w:val="28"/>
                <w:szCs w:val="28"/>
              </w:rPr>
            </w:pPr>
          </w:p>
          <w:p w14:paraId="50C6863D"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3664" w:type="dxa"/>
          </w:tcPr>
          <w:p w14:paraId="6B18B716" w14:textId="77777777" w:rsidR="009139A0" w:rsidRDefault="009139A0" w:rsidP="009139A0">
            <w:pPr>
              <w:spacing w:line="360" w:lineRule="auto"/>
              <w:jc w:val="both"/>
              <w:rPr>
                <w:rFonts w:ascii="Times New Roman" w:hAnsi="Times New Roman" w:cs="Times New Roman"/>
                <w:sz w:val="28"/>
                <w:szCs w:val="28"/>
              </w:rPr>
            </w:pPr>
          </w:p>
          <w:p w14:paraId="2E34BA88"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312</w:t>
            </w:r>
          </w:p>
        </w:tc>
        <w:tc>
          <w:tcPr>
            <w:tcW w:w="3933" w:type="dxa"/>
          </w:tcPr>
          <w:p w14:paraId="37E4D0D8" w14:textId="77777777" w:rsidR="009139A0" w:rsidRDefault="009139A0" w:rsidP="009139A0">
            <w:pPr>
              <w:spacing w:line="360" w:lineRule="auto"/>
              <w:jc w:val="both"/>
              <w:rPr>
                <w:rFonts w:ascii="Times New Roman" w:hAnsi="Times New Roman" w:cs="Times New Roman"/>
                <w:sz w:val="28"/>
                <w:szCs w:val="28"/>
              </w:rPr>
            </w:pPr>
          </w:p>
          <w:p w14:paraId="602CB559" w14:textId="77777777" w:rsidR="009139A0" w:rsidRDefault="009139A0"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bl>
    <w:p w14:paraId="3E3C99D8" w14:textId="77777777" w:rsidR="009139A0" w:rsidRDefault="009139A0" w:rsidP="009139A0">
      <w:pPr>
        <w:spacing w:line="360" w:lineRule="auto"/>
        <w:jc w:val="both"/>
        <w:rPr>
          <w:rFonts w:ascii="Times New Roman" w:hAnsi="Times New Roman" w:cs="Times New Roman"/>
          <w:sz w:val="28"/>
          <w:szCs w:val="28"/>
        </w:rPr>
      </w:pPr>
    </w:p>
    <w:p w14:paraId="44C48114" w14:textId="6B3A7F90" w:rsidR="002A6522" w:rsidRDefault="00AB4EA5"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категории пациентов без метастазов (331 человек) </w:t>
      </w:r>
      <w:r w:rsidR="002A6522">
        <w:rPr>
          <w:rFonts w:ascii="Times New Roman" w:hAnsi="Times New Roman" w:cs="Times New Roman"/>
          <w:sz w:val="28"/>
          <w:szCs w:val="28"/>
        </w:rPr>
        <w:t>органосохраняющая операция была выполнена 33 пациентам, тиреоидэктомия 298</w:t>
      </w:r>
      <w:r w:rsidR="002A6522" w:rsidRPr="00006DAA">
        <w:rPr>
          <w:rFonts w:ascii="Times New Roman" w:hAnsi="Times New Roman" w:cs="Times New Roman"/>
          <w:sz w:val="28"/>
          <w:szCs w:val="28"/>
        </w:rPr>
        <w:t xml:space="preserve"> </w:t>
      </w:r>
      <w:r w:rsidR="002A6522">
        <w:rPr>
          <w:rFonts w:ascii="Times New Roman" w:hAnsi="Times New Roman" w:cs="Times New Roman"/>
          <w:sz w:val="28"/>
          <w:szCs w:val="28"/>
        </w:rPr>
        <w:t>пациентам. К категории органосохраняющих операций были отнесены гемитиреоидэктомия и субтотальная резекция щитовидной железы. Пациенты, которым была повторно выполнена ГТЭ были отнесены в группу ТЭ.  В группу пациентов без подтвержденного наличия метастазов были отнесены пациенты с М</w:t>
      </w:r>
      <w:r w:rsidR="002A6522">
        <w:rPr>
          <w:rFonts w:ascii="Times New Roman" w:hAnsi="Times New Roman" w:cs="Times New Roman"/>
          <w:sz w:val="28"/>
          <w:szCs w:val="28"/>
          <w:vertAlign w:val="subscript"/>
        </w:rPr>
        <w:t xml:space="preserve">х </w:t>
      </w:r>
      <w:r w:rsidR="002A6522">
        <w:rPr>
          <w:rFonts w:ascii="Times New Roman" w:hAnsi="Times New Roman" w:cs="Times New Roman"/>
          <w:sz w:val="28"/>
          <w:szCs w:val="28"/>
        </w:rPr>
        <w:t>и М</w:t>
      </w:r>
      <w:r w:rsidR="002A6522">
        <w:rPr>
          <w:rFonts w:ascii="Times New Roman" w:hAnsi="Times New Roman" w:cs="Times New Roman"/>
          <w:sz w:val="28"/>
          <w:szCs w:val="28"/>
          <w:vertAlign w:val="subscript"/>
        </w:rPr>
        <w:t>0</w:t>
      </w:r>
      <w:r w:rsidR="002A6522">
        <w:rPr>
          <w:rFonts w:ascii="Times New Roman" w:hAnsi="Times New Roman" w:cs="Times New Roman"/>
          <w:sz w:val="28"/>
          <w:szCs w:val="28"/>
        </w:rPr>
        <w:t xml:space="preserve">.     </w:t>
      </w:r>
    </w:p>
    <w:p w14:paraId="0D4007F4" w14:textId="5EC78787" w:rsidR="00B102BC" w:rsidRDefault="00D102FB" w:rsidP="009139A0">
      <w:pPr>
        <w:spacing w:line="360" w:lineRule="auto"/>
        <w:jc w:val="both"/>
        <w:rPr>
          <w:rFonts w:ascii="Times New Roman" w:hAnsi="Times New Roman" w:cs="Times New Roman"/>
          <w:sz w:val="28"/>
          <w:szCs w:val="28"/>
        </w:rPr>
      </w:pPr>
      <w:r>
        <w:rPr>
          <w:noProof/>
          <w:sz w:val="28"/>
          <w:szCs w:val="28"/>
        </w:rPr>
        <w:t xml:space="preserve">Во всех групах пациенов наблюдались послеоперационные осложнения такие как послеоперационный гипопаратиреоз (гипокальциемия), нарушение подвижности голосовых складок вследствие повреждения возвратного нерва, синдром Горнера и послеоперационная гематома. </w:t>
      </w:r>
      <w:r w:rsidR="009A4F46">
        <w:rPr>
          <w:noProof/>
          <w:sz w:val="28"/>
          <w:szCs w:val="28"/>
        </w:rPr>
        <w:t>Среди пациентов после гемитиреоидэктомии</w:t>
      </w:r>
      <w:r>
        <w:rPr>
          <w:noProof/>
          <w:sz w:val="28"/>
          <w:szCs w:val="28"/>
        </w:rPr>
        <w:t xml:space="preserve"> осложнения отсутствовали у 2</w:t>
      </w:r>
      <w:r w:rsidR="0023560D">
        <w:rPr>
          <w:noProof/>
          <w:sz w:val="28"/>
          <w:szCs w:val="28"/>
        </w:rPr>
        <w:t>3</w:t>
      </w:r>
      <w:r>
        <w:rPr>
          <w:noProof/>
          <w:sz w:val="28"/>
          <w:szCs w:val="28"/>
        </w:rPr>
        <w:t xml:space="preserve"> человек, в то время как 1</w:t>
      </w:r>
      <w:r w:rsidR="0023560D">
        <w:rPr>
          <w:noProof/>
          <w:sz w:val="28"/>
          <w:szCs w:val="28"/>
        </w:rPr>
        <w:t>0</w:t>
      </w:r>
      <w:r>
        <w:rPr>
          <w:noProof/>
          <w:sz w:val="28"/>
          <w:szCs w:val="28"/>
        </w:rPr>
        <w:t xml:space="preserve"> пациентов имели нежелательные последствия операции.</w:t>
      </w:r>
      <w:r w:rsidR="000060A9">
        <w:rPr>
          <w:noProof/>
          <w:sz w:val="28"/>
          <w:szCs w:val="28"/>
        </w:rPr>
        <w:t xml:space="preserve"> </w:t>
      </w:r>
      <w:r w:rsidR="000060A9">
        <w:rPr>
          <w:rFonts w:ascii="Times New Roman" w:hAnsi="Times New Roman" w:cs="Times New Roman"/>
          <w:sz w:val="28"/>
          <w:szCs w:val="28"/>
        </w:rPr>
        <w:t>Наиболее частым наблюдаемым осложнением в этой группе пациентов было нарушение подвижности голосовых связок, которое отмечалось у 9 человек. Другие осложнения</w:t>
      </w:r>
      <w:r w:rsidR="0023560D">
        <w:rPr>
          <w:rFonts w:ascii="Times New Roman" w:hAnsi="Times New Roman" w:cs="Times New Roman"/>
          <w:sz w:val="28"/>
          <w:szCs w:val="28"/>
        </w:rPr>
        <w:t xml:space="preserve"> (синдром Горнера, послеоперационная гематома)</w:t>
      </w:r>
      <w:r w:rsidR="000060A9">
        <w:rPr>
          <w:rFonts w:ascii="Times New Roman" w:hAnsi="Times New Roman" w:cs="Times New Roman"/>
          <w:sz w:val="28"/>
          <w:szCs w:val="28"/>
        </w:rPr>
        <w:t xml:space="preserve"> встречались сравнительно не часто. Пациент, которому выполнили субтотальную резекцию щитовидной железы имел как нарушение подвижности голосовых связок, так и низкий уровень кальция в крови. В группе из 311 пациентов, после тиреоидэктомии осложнения наблюдались у 147 пациентов.</w:t>
      </w:r>
      <w:r w:rsidR="000060A9" w:rsidRPr="000060A9">
        <w:rPr>
          <w:rFonts w:ascii="Times New Roman" w:hAnsi="Times New Roman" w:cs="Times New Roman"/>
          <w:sz w:val="28"/>
          <w:szCs w:val="28"/>
        </w:rPr>
        <w:t xml:space="preserve"> </w:t>
      </w:r>
      <w:r w:rsidR="000060A9">
        <w:rPr>
          <w:rFonts w:ascii="Times New Roman" w:hAnsi="Times New Roman" w:cs="Times New Roman"/>
          <w:sz w:val="28"/>
          <w:szCs w:val="28"/>
        </w:rPr>
        <w:t xml:space="preserve">У 99 </w:t>
      </w:r>
      <w:r w:rsidR="000060A9">
        <w:rPr>
          <w:rFonts w:ascii="Times New Roman" w:hAnsi="Times New Roman" w:cs="Times New Roman"/>
          <w:sz w:val="28"/>
          <w:szCs w:val="28"/>
        </w:rPr>
        <w:lastRenderedPageBreak/>
        <w:t>пациентов из данной группы наблюдалась гипокальциемия. 29 человек имели нарушение функции голосовых связок, один из которых имел двусторонний парез гортани</w:t>
      </w:r>
      <w:r w:rsidR="00D10A05">
        <w:rPr>
          <w:rFonts w:ascii="Times New Roman" w:hAnsi="Times New Roman" w:cs="Times New Roman"/>
          <w:sz w:val="28"/>
          <w:szCs w:val="28"/>
        </w:rPr>
        <w:t xml:space="preserve">, при этом </w:t>
      </w:r>
      <w:r w:rsidR="007354F8">
        <w:rPr>
          <w:rFonts w:ascii="Times New Roman" w:hAnsi="Times New Roman" w:cs="Times New Roman"/>
          <w:sz w:val="28"/>
          <w:szCs w:val="28"/>
        </w:rPr>
        <w:t xml:space="preserve">у </w:t>
      </w:r>
      <w:r w:rsidR="00D10A05">
        <w:rPr>
          <w:rFonts w:ascii="Times New Roman" w:hAnsi="Times New Roman" w:cs="Times New Roman"/>
          <w:sz w:val="28"/>
          <w:szCs w:val="28"/>
        </w:rPr>
        <w:t>5 человек</w:t>
      </w:r>
      <w:r w:rsidR="007354F8">
        <w:rPr>
          <w:rFonts w:ascii="Times New Roman" w:hAnsi="Times New Roman" w:cs="Times New Roman"/>
          <w:sz w:val="28"/>
          <w:szCs w:val="28"/>
        </w:rPr>
        <w:t xml:space="preserve"> отмечалась периневральная инвазия опухоли. </w:t>
      </w:r>
      <w:r w:rsidR="000060A9">
        <w:rPr>
          <w:rFonts w:ascii="Times New Roman" w:hAnsi="Times New Roman" w:cs="Times New Roman"/>
          <w:sz w:val="28"/>
          <w:szCs w:val="28"/>
        </w:rPr>
        <w:t xml:space="preserve">Еще у 17 человек был диагностирован как гипопаратиреоз, так и нарушение подвижности голосовых связок. Двое пациентов имели послеоперационную гематому, которая не потребовала хирургического вмешательства. </w:t>
      </w:r>
      <w:r w:rsidR="00DD7900">
        <w:rPr>
          <w:rFonts w:ascii="Times New Roman" w:hAnsi="Times New Roman" w:cs="Times New Roman"/>
          <w:sz w:val="28"/>
          <w:szCs w:val="28"/>
        </w:rPr>
        <w:t>Распределение пациентов по группам в зависимости от наличия осложнения представлено в таблице 2.5.</w:t>
      </w:r>
    </w:p>
    <w:p w14:paraId="14AF2973" w14:textId="3BEE00B5" w:rsidR="00A323ED" w:rsidRDefault="00A323ED" w:rsidP="009139A0">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2.5 Группы осложнений</w:t>
      </w:r>
    </w:p>
    <w:tbl>
      <w:tblPr>
        <w:tblStyle w:val="a3"/>
        <w:tblW w:w="9421" w:type="dxa"/>
        <w:tblLook w:val="04A0" w:firstRow="1" w:lastRow="0" w:firstColumn="1" w:lastColumn="0" w:noHBand="0" w:noVBand="1"/>
      </w:tblPr>
      <w:tblGrid>
        <w:gridCol w:w="907"/>
        <w:gridCol w:w="1459"/>
        <w:gridCol w:w="1591"/>
        <w:gridCol w:w="2144"/>
        <w:gridCol w:w="2144"/>
        <w:gridCol w:w="706"/>
        <w:gridCol w:w="864"/>
      </w:tblGrid>
      <w:tr w:rsidR="00B102BC" w:rsidRPr="00F95F9E" w14:paraId="566992EB" w14:textId="77777777" w:rsidTr="00B102BC">
        <w:trPr>
          <w:trHeight w:val="962"/>
        </w:trPr>
        <w:tc>
          <w:tcPr>
            <w:tcW w:w="871" w:type="dxa"/>
          </w:tcPr>
          <w:p w14:paraId="6C7DCEE4" w14:textId="77777777" w:rsidR="00B102BC" w:rsidRDefault="00B102BC" w:rsidP="009139A0">
            <w:pPr>
              <w:spacing w:line="360" w:lineRule="auto"/>
              <w:jc w:val="both"/>
            </w:pPr>
          </w:p>
        </w:tc>
        <w:tc>
          <w:tcPr>
            <w:tcW w:w="1401" w:type="dxa"/>
          </w:tcPr>
          <w:p w14:paraId="3176E3F6" w14:textId="77777777" w:rsidR="00B102BC" w:rsidRPr="00F95F9E" w:rsidRDefault="00B102BC" w:rsidP="009139A0">
            <w:pPr>
              <w:spacing w:line="360" w:lineRule="auto"/>
              <w:jc w:val="both"/>
              <w:rPr>
                <w:rFonts w:ascii="Times New Roman" w:hAnsi="Times New Roman" w:cs="Times New Roman"/>
                <w:sz w:val="28"/>
                <w:szCs w:val="28"/>
              </w:rPr>
            </w:pPr>
            <w:r w:rsidRPr="00F95F9E">
              <w:rPr>
                <w:rFonts w:ascii="Times New Roman" w:hAnsi="Times New Roman" w:cs="Times New Roman"/>
                <w:sz w:val="28"/>
                <w:szCs w:val="28"/>
              </w:rPr>
              <w:t>Всего пациентов</w:t>
            </w:r>
          </w:p>
        </w:tc>
        <w:tc>
          <w:tcPr>
            <w:tcW w:w="1527" w:type="dxa"/>
          </w:tcPr>
          <w:p w14:paraId="391413D5" w14:textId="77777777" w:rsidR="00B102BC" w:rsidRPr="00F95F9E" w:rsidRDefault="00B102BC" w:rsidP="009139A0">
            <w:pPr>
              <w:spacing w:line="360" w:lineRule="auto"/>
              <w:jc w:val="both"/>
              <w:rPr>
                <w:rFonts w:ascii="Times New Roman" w:hAnsi="Times New Roman" w:cs="Times New Roman"/>
                <w:sz w:val="28"/>
                <w:szCs w:val="28"/>
              </w:rPr>
            </w:pPr>
            <w:r w:rsidRPr="00F95F9E">
              <w:rPr>
                <w:rFonts w:ascii="Times New Roman" w:hAnsi="Times New Roman" w:cs="Times New Roman"/>
                <w:sz w:val="28"/>
                <w:szCs w:val="28"/>
              </w:rPr>
              <w:t>Нарушения функции голосовых связок</w:t>
            </w:r>
          </w:p>
        </w:tc>
        <w:tc>
          <w:tcPr>
            <w:tcW w:w="2058" w:type="dxa"/>
          </w:tcPr>
          <w:p w14:paraId="5249A673" w14:textId="77777777" w:rsidR="00B102BC" w:rsidRDefault="00B102BC" w:rsidP="009139A0">
            <w:pPr>
              <w:spacing w:line="360" w:lineRule="auto"/>
              <w:jc w:val="both"/>
              <w:rPr>
                <w:rFonts w:ascii="Times New Roman" w:hAnsi="Times New Roman" w:cs="Times New Roman"/>
                <w:sz w:val="28"/>
                <w:szCs w:val="28"/>
              </w:rPr>
            </w:pPr>
          </w:p>
          <w:p w14:paraId="6E835BF9" w14:textId="77777777" w:rsidR="00B102BC" w:rsidRPr="00F95F9E" w:rsidRDefault="00B102BC" w:rsidP="009139A0">
            <w:pPr>
              <w:spacing w:line="360" w:lineRule="auto"/>
              <w:jc w:val="both"/>
              <w:rPr>
                <w:rFonts w:ascii="Times New Roman" w:hAnsi="Times New Roman" w:cs="Times New Roman"/>
                <w:sz w:val="28"/>
                <w:szCs w:val="28"/>
              </w:rPr>
            </w:pPr>
            <w:r w:rsidRPr="00F95F9E">
              <w:rPr>
                <w:rFonts w:ascii="Times New Roman" w:hAnsi="Times New Roman" w:cs="Times New Roman"/>
                <w:sz w:val="28"/>
                <w:szCs w:val="28"/>
              </w:rPr>
              <w:t>Гипопаратиреоз</w:t>
            </w:r>
          </w:p>
        </w:tc>
        <w:tc>
          <w:tcPr>
            <w:tcW w:w="2058" w:type="dxa"/>
          </w:tcPr>
          <w:p w14:paraId="406C4343" w14:textId="77777777" w:rsidR="00B102BC" w:rsidRPr="00F95F9E" w:rsidRDefault="00B102BC" w:rsidP="009139A0">
            <w:pPr>
              <w:spacing w:line="360" w:lineRule="auto"/>
              <w:jc w:val="both"/>
              <w:rPr>
                <w:rFonts w:ascii="Times New Roman" w:hAnsi="Times New Roman" w:cs="Times New Roman"/>
                <w:sz w:val="28"/>
                <w:szCs w:val="28"/>
              </w:rPr>
            </w:pPr>
            <w:r w:rsidRPr="00F95F9E">
              <w:rPr>
                <w:rFonts w:ascii="Times New Roman" w:hAnsi="Times New Roman" w:cs="Times New Roman"/>
                <w:sz w:val="28"/>
                <w:szCs w:val="28"/>
              </w:rPr>
              <w:t>Гипопаратиреоз и нарушения голоса</w:t>
            </w:r>
          </w:p>
        </w:tc>
        <w:tc>
          <w:tcPr>
            <w:tcW w:w="677" w:type="dxa"/>
          </w:tcPr>
          <w:p w14:paraId="145D3915" w14:textId="77777777" w:rsidR="00B102BC" w:rsidRDefault="00B102BC" w:rsidP="009139A0">
            <w:pPr>
              <w:spacing w:line="360" w:lineRule="auto"/>
              <w:jc w:val="both"/>
              <w:rPr>
                <w:rFonts w:ascii="Times New Roman" w:hAnsi="Times New Roman" w:cs="Times New Roman"/>
                <w:sz w:val="28"/>
                <w:szCs w:val="28"/>
              </w:rPr>
            </w:pPr>
          </w:p>
          <w:p w14:paraId="5763A901" w14:textId="77777777" w:rsidR="00B102BC" w:rsidRPr="00F95F9E" w:rsidRDefault="00B102BC" w:rsidP="009139A0">
            <w:pPr>
              <w:spacing w:line="360" w:lineRule="auto"/>
              <w:jc w:val="both"/>
              <w:rPr>
                <w:rFonts w:ascii="Times New Roman" w:hAnsi="Times New Roman" w:cs="Times New Roman"/>
                <w:sz w:val="28"/>
                <w:szCs w:val="28"/>
                <w:vertAlign w:val="superscript"/>
              </w:rPr>
            </w:pPr>
            <w:r w:rsidRPr="00F95F9E">
              <w:rPr>
                <w:rFonts w:ascii="Times New Roman" w:hAnsi="Times New Roman" w:cs="Times New Roman"/>
                <w:sz w:val="28"/>
                <w:szCs w:val="28"/>
              </w:rPr>
              <w:t>Хи</w:t>
            </w:r>
            <w:r w:rsidRPr="00F95F9E">
              <w:rPr>
                <w:rFonts w:ascii="Times New Roman" w:hAnsi="Times New Roman" w:cs="Times New Roman"/>
                <w:sz w:val="28"/>
                <w:szCs w:val="28"/>
                <w:vertAlign w:val="superscript"/>
              </w:rPr>
              <w:t>2</w:t>
            </w:r>
          </w:p>
        </w:tc>
        <w:tc>
          <w:tcPr>
            <w:tcW w:w="829" w:type="dxa"/>
          </w:tcPr>
          <w:p w14:paraId="2557650E" w14:textId="77777777" w:rsidR="00B102BC" w:rsidRDefault="00B102BC" w:rsidP="009139A0">
            <w:pPr>
              <w:spacing w:line="360" w:lineRule="auto"/>
              <w:jc w:val="both"/>
              <w:rPr>
                <w:rFonts w:ascii="Times New Roman" w:hAnsi="Times New Roman" w:cs="Times New Roman"/>
                <w:sz w:val="28"/>
                <w:szCs w:val="28"/>
                <w:lang w:val="en-US"/>
              </w:rPr>
            </w:pPr>
          </w:p>
          <w:p w14:paraId="24CC8DD3" w14:textId="77777777" w:rsidR="00B102BC" w:rsidRPr="00F95F9E" w:rsidRDefault="00B102BC" w:rsidP="009139A0">
            <w:pPr>
              <w:spacing w:line="360" w:lineRule="auto"/>
              <w:jc w:val="both"/>
              <w:rPr>
                <w:rFonts w:ascii="Times New Roman" w:hAnsi="Times New Roman" w:cs="Times New Roman"/>
                <w:sz w:val="28"/>
                <w:szCs w:val="28"/>
                <w:lang w:val="en-US"/>
              </w:rPr>
            </w:pPr>
            <w:r w:rsidRPr="00F95F9E">
              <w:rPr>
                <w:rFonts w:ascii="Times New Roman" w:hAnsi="Times New Roman" w:cs="Times New Roman"/>
                <w:sz w:val="28"/>
                <w:szCs w:val="28"/>
                <w:lang w:val="en-US"/>
              </w:rPr>
              <w:t>p</w:t>
            </w:r>
          </w:p>
        </w:tc>
      </w:tr>
      <w:tr w:rsidR="00B102BC" w14:paraId="1C71D703" w14:textId="77777777" w:rsidTr="00B102BC">
        <w:trPr>
          <w:trHeight w:val="233"/>
        </w:trPr>
        <w:tc>
          <w:tcPr>
            <w:tcW w:w="871" w:type="dxa"/>
          </w:tcPr>
          <w:p w14:paraId="2B363536" w14:textId="77777777" w:rsidR="00B102BC" w:rsidRPr="00F95F9E" w:rsidRDefault="00B102BC" w:rsidP="009139A0">
            <w:pPr>
              <w:spacing w:line="360" w:lineRule="auto"/>
              <w:jc w:val="both"/>
              <w:rPr>
                <w:rFonts w:ascii="Times New Roman" w:hAnsi="Times New Roman" w:cs="Times New Roman"/>
                <w:sz w:val="28"/>
                <w:szCs w:val="28"/>
              </w:rPr>
            </w:pPr>
            <w:r w:rsidRPr="00F95F9E">
              <w:rPr>
                <w:rFonts w:ascii="Times New Roman" w:hAnsi="Times New Roman" w:cs="Times New Roman"/>
                <w:sz w:val="28"/>
                <w:szCs w:val="28"/>
              </w:rPr>
              <w:t>ГТЭ</w:t>
            </w:r>
          </w:p>
        </w:tc>
        <w:tc>
          <w:tcPr>
            <w:tcW w:w="1401" w:type="dxa"/>
          </w:tcPr>
          <w:p w14:paraId="59A42B69"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34</w:t>
            </w:r>
          </w:p>
        </w:tc>
        <w:tc>
          <w:tcPr>
            <w:tcW w:w="1527" w:type="dxa"/>
          </w:tcPr>
          <w:p w14:paraId="0A225056"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9</w:t>
            </w:r>
          </w:p>
        </w:tc>
        <w:tc>
          <w:tcPr>
            <w:tcW w:w="2058" w:type="dxa"/>
          </w:tcPr>
          <w:p w14:paraId="6170AA03" w14:textId="5A1B6F87" w:rsidR="00B102BC" w:rsidRPr="00E153C7" w:rsidRDefault="00977B3F"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058" w:type="dxa"/>
          </w:tcPr>
          <w:p w14:paraId="3A372CD3"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1</w:t>
            </w:r>
          </w:p>
        </w:tc>
        <w:tc>
          <w:tcPr>
            <w:tcW w:w="677" w:type="dxa"/>
            <w:vMerge w:val="restart"/>
          </w:tcPr>
          <w:p w14:paraId="71BF7E87" w14:textId="77777777" w:rsidR="00B102BC" w:rsidRDefault="00B102BC" w:rsidP="009139A0">
            <w:pPr>
              <w:spacing w:line="360" w:lineRule="auto"/>
              <w:jc w:val="both"/>
              <w:rPr>
                <w:rFonts w:ascii="Times New Roman" w:hAnsi="Times New Roman" w:cs="Times New Roman"/>
                <w:sz w:val="28"/>
                <w:szCs w:val="28"/>
              </w:rPr>
            </w:pPr>
          </w:p>
          <w:p w14:paraId="5A66061D" w14:textId="77777777" w:rsidR="00B102BC" w:rsidRPr="00412B3E" w:rsidRDefault="00B102BC" w:rsidP="009139A0">
            <w:pPr>
              <w:spacing w:line="360" w:lineRule="auto"/>
              <w:jc w:val="both"/>
              <w:rPr>
                <w:rFonts w:ascii="Times New Roman" w:hAnsi="Times New Roman" w:cs="Times New Roman"/>
                <w:sz w:val="28"/>
                <w:szCs w:val="28"/>
              </w:rPr>
            </w:pPr>
            <w:r w:rsidRPr="00412B3E">
              <w:rPr>
                <w:rFonts w:ascii="Times New Roman" w:hAnsi="Times New Roman" w:cs="Times New Roman"/>
                <w:sz w:val="28"/>
                <w:szCs w:val="28"/>
              </w:rPr>
              <w:t>27,2</w:t>
            </w:r>
          </w:p>
        </w:tc>
        <w:tc>
          <w:tcPr>
            <w:tcW w:w="829" w:type="dxa"/>
            <w:vMerge w:val="restart"/>
          </w:tcPr>
          <w:p w14:paraId="17057728" w14:textId="77777777" w:rsidR="00B102BC" w:rsidRDefault="00B102BC" w:rsidP="009139A0">
            <w:pPr>
              <w:spacing w:line="360" w:lineRule="auto"/>
              <w:jc w:val="both"/>
              <w:rPr>
                <w:rFonts w:ascii="Times New Roman" w:hAnsi="Times New Roman" w:cs="Times New Roman"/>
                <w:sz w:val="28"/>
                <w:szCs w:val="28"/>
                <w:lang w:val="en-US"/>
              </w:rPr>
            </w:pPr>
          </w:p>
          <w:p w14:paraId="47B8ED3B" w14:textId="77777777" w:rsidR="00B102BC" w:rsidRPr="00412B3E" w:rsidRDefault="00B102BC" w:rsidP="009139A0">
            <w:pPr>
              <w:spacing w:line="360" w:lineRule="auto"/>
              <w:jc w:val="both"/>
              <w:rPr>
                <w:rFonts w:ascii="Times New Roman" w:hAnsi="Times New Roman" w:cs="Times New Roman"/>
                <w:sz w:val="28"/>
                <w:szCs w:val="28"/>
              </w:rPr>
            </w:pPr>
            <w:r w:rsidRPr="00412B3E">
              <w:rPr>
                <w:rFonts w:ascii="Times New Roman" w:hAnsi="Times New Roman" w:cs="Times New Roman"/>
                <w:sz w:val="28"/>
                <w:szCs w:val="28"/>
                <w:lang w:val="en-US"/>
              </w:rPr>
              <w:t>&gt;</w:t>
            </w:r>
            <w:r w:rsidRPr="00412B3E">
              <w:rPr>
                <w:rFonts w:ascii="Times New Roman" w:hAnsi="Times New Roman" w:cs="Times New Roman"/>
                <w:sz w:val="28"/>
                <w:szCs w:val="28"/>
              </w:rPr>
              <w:t>0,01</w:t>
            </w:r>
          </w:p>
        </w:tc>
      </w:tr>
      <w:tr w:rsidR="00B102BC" w14:paraId="5198F448" w14:textId="77777777" w:rsidTr="00B102BC">
        <w:trPr>
          <w:trHeight w:val="233"/>
        </w:trPr>
        <w:tc>
          <w:tcPr>
            <w:tcW w:w="871" w:type="dxa"/>
          </w:tcPr>
          <w:p w14:paraId="56525B1D" w14:textId="77777777" w:rsidR="00B102BC" w:rsidRPr="00F95F9E" w:rsidRDefault="00B102BC" w:rsidP="009139A0">
            <w:pPr>
              <w:spacing w:line="360" w:lineRule="auto"/>
              <w:jc w:val="both"/>
              <w:rPr>
                <w:rFonts w:ascii="Times New Roman" w:hAnsi="Times New Roman" w:cs="Times New Roman"/>
                <w:sz w:val="28"/>
                <w:szCs w:val="28"/>
              </w:rPr>
            </w:pPr>
            <w:r w:rsidRPr="00F95F9E">
              <w:rPr>
                <w:rFonts w:ascii="Times New Roman" w:hAnsi="Times New Roman" w:cs="Times New Roman"/>
                <w:sz w:val="28"/>
                <w:szCs w:val="28"/>
              </w:rPr>
              <w:t>ТЭ</w:t>
            </w:r>
          </w:p>
        </w:tc>
        <w:tc>
          <w:tcPr>
            <w:tcW w:w="1401" w:type="dxa"/>
          </w:tcPr>
          <w:p w14:paraId="307E5D40"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312</w:t>
            </w:r>
          </w:p>
        </w:tc>
        <w:tc>
          <w:tcPr>
            <w:tcW w:w="1527" w:type="dxa"/>
          </w:tcPr>
          <w:p w14:paraId="7ACC216F"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29</w:t>
            </w:r>
          </w:p>
        </w:tc>
        <w:tc>
          <w:tcPr>
            <w:tcW w:w="2058" w:type="dxa"/>
          </w:tcPr>
          <w:p w14:paraId="042BA094"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99</w:t>
            </w:r>
          </w:p>
        </w:tc>
        <w:tc>
          <w:tcPr>
            <w:tcW w:w="2058" w:type="dxa"/>
          </w:tcPr>
          <w:p w14:paraId="18BC0DFB" w14:textId="77777777" w:rsidR="00B102BC" w:rsidRPr="00E153C7" w:rsidRDefault="00B102BC" w:rsidP="009139A0">
            <w:pPr>
              <w:spacing w:line="360" w:lineRule="auto"/>
              <w:jc w:val="both"/>
              <w:rPr>
                <w:rFonts w:ascii="Times New Roman" w:hAnsi="Times New Roman" w:cs="Times New Roman"/>
                <w:sz w:val="28"/>
                <w:szCs w:val="28"/>
              </w:rPr>
            </w:pPr>
            <w:r w:rsidRPr="00E153C7">
              <w:rPr>
                <w:rFonts w:ascii="Times New Roman" w:hAnsi="Times New Roman" w:cs="Times New Roman"/>
                <w:sz w:val="28"/>
                <w:szCs w:val="28"/>
              </w:rPr>
              <w:t>17</w:t>
            </w:r>
          </w:p>
        </w:tc>
        <w:tc>
          <w:tcPr>
            <w:tcW w:w="677" w:type="dxa"/>
            <w:vMerge/>
          </w:tcPr>
          <w:p w14:paraId="01712337" w14:textId="77777777" w:rsidR="00B102BC" w:rsidRDefault="00B102BC" w:rsidP="009139A0">
            <w:pPr>
              <w:spacing w:line="360" w:lineRule="auto"/>
              <w:jc w:val="both"/>
            </w:pPr>
          </w:p>
        </w:tc>
        <w:tc>
          <w:tcPr>
            <w:tcW w:w="829" w:type="dxa"/>
            <w:vMerge/>
          </w:tcPr>
          <w:p w14:paraId="6C609DF7" w14:textId="77777777" w:rsidR="00B102BC" w:rsidRDefault="00B102BC" w:rsidP="009139A0">
            <w:pPr>
              <w:spacing w:line="360" w:lineRule="auto"/>
              <w:jc w:val="both"/>
            </w:pPr>
          </w:p>
        </w:tc>
      </w:tr>
      <w:tr w:rsidR="00B102BC" w14:paraId="19FD6C88" w14:textId="77777777" w:rsidTr="00B102BC">
        <w:trPr>
          <w:trHeight w:val="233"/>
        </w:trPr>
        <w:tc>
          <w:tcPr>
            <w:tcW w:w="871" w:type="dxa"/>
          </w:tcPr>
          <w:p w14:paraId="73E05495" w14:textId="77777777" w:rsidR="00B102BC" w:rsidRPr="00F95F9E" w:rsidRDefault="00B102BC"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1401" w:type="dxa"/>
          </w:tcPr>
          <w:p w14:paraId="0019BD96" w14:textId="77777777" w:rsidR="00B102BC" w:rsidRPr="00E153C7" w:rsidRDefault="00B102BC"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346</w:t>
            </w:r>
          </w:p>
        </w:tc>
        <w:tc>
          <w:tcPr>
            <w:tcW w:w="1527" w:type="dxa"/>
          </w:tcPr>
          <w:p w14:paraId="768AD4DE" w14:textId="77777777" w:rsidR="00B102BC" w:rsidRPr="00E153C7" w:rsidRDefault="00B102BC"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2058" w:type="dxa"/>
          </w:tcPr>
          <w:p w14:paraId="47153D63" w14:textId="77777777" w:rsidR="00B102BC" w:rsidRPr="00E153C7" w:rsidRDefault="00B102BC"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058" w:type="dxa"/>
          </w:tcPr>
          <w:p w14:paraId="14E0E672" w14:textId="77777777" w:rsidR="00B102BC" w:rsidRPr="00E153C7" w:rsidRDefault="00B102BC"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677" w:type="dxa"/>
            <w:vMerge/>
          </w:tcPr>
          <w:p w14:paraId="12F550F9" w14:textId="77777777" w:rsidR="00B102BC" w:rsidRDefault="00B102BC" w:rsidP="009139A0">
            <w:pPr>
              <w:spacing w:line="360" w:lineRule="auto"/>
              <w:jc w:val="both"/>
            </w:pPr>
          </w:p>
        </w:tc>
        <w:tc>
          <w:tcPr>
            <w:tcW w:w="829" w:type="dxa"/>
            <w:vMerge/>
          </w:tcPr>
          <w:p w14:paraId="683024B7" w14:textId="77777777" w:rsidR="00B102BC" w:rsidRDefault="00B102BC" w:rsidP="009139A0">
            <w:pPr>
              <w:spacing w:line="360" w:lineRule="auto"/>
              <w:jc w:val="both"/>
            </w:pPr>
          </w:p>
        </w:tc>
      </w:tr>
    </w:tbl>
    <w:p w14:paraId="2A394E09" w14:textId="2907808B" w:rsidR="00B102BC" w:rsidRDefault="00B102BC" w:rsidP="009139A0">
      <w:pPr>
        <w:spacing w:line="360" w:lineRule="auto"/>
        <w:jc w:val="both"/>
      </w:pPr>
      <w:r>
        <w:t xml:space="preserve"> </w:t>
      </w:r>
      <w:r w:rsidR="007354F8">
        <w:t xml:space="preserve"> </w:t>
      </w:r>
    </w:p>
    <w:p w14:paraId="1FDB2D23" w14:textId="5F50D5D3" w:rsidR="007354F8" w:rsidRDefault="007354F8" w:rsidP="009139A0">
      <w:pPr>
        <w:spacing w:line="360" w:lineRule="auto"/>
        <w:jc w:val="both"/>
      </w:pPr>
      <w:r>
        <w:rPr>
          <w:rFonts w:ascii="Times New Roman" w:hAnsi="Times New Roman" w:cs="Times New Roman"/>
          <w:sz w:val="28"/>
          <w:szCs w:val="28"/>
        </w:rPr>
        <w:t xml:space="preserve">У части пациентов наблюдалось врастание опухоли в капсулу щитовидной железы, в сосуды, возвратные нервы и другие окружающие ткани (мышечная ткань, жировая клетчатка). Часть пациентов также имела метастазы в боковую группу лимфоузлов шеи. Наиболее часто встречалось врастание капсулу щитовидной железы, несколько реже – распространение в боковые лимфоузлы шеи. Инвазия в возвратные гортанные нервы встречалась наиболее редко. При сравнении пациентов с подтвержденными спорадической и семейной формами по данным генетического исследования статистически значимых различий ни по одному из вышеперечисленных признаков выявлено не было, их распределение показано в таблицах 2.6 и 2.7.  </w:t>
      </w:r>
    </w:p>
    <w:p w14:paraId="5A83027F" w14:textId="77777777" w:rsidR="009139A0" w:rsidRDefault="009139A0" w:rsidP="009139A0">
      <w:pPr>
        <w:spacing w:line="360" w:lineRule="auto"/>
        <w:jc w:val="both"/>
        <w:rPr>
          <w:rFonts w:ascii="Times New Roman" w:hAnsi="Times New Roman" w:cs="Times New Roman"/>
          <w:sz w:val="28"/>
          <w:szCs w:val="28"/>
        </w:rPr>
      </w:pPr>
    </w:p>
    <w:p w14:paraId="2936453D" w14:textId="32BB679F" w:rsidR="007354F8" w:rsidRDefault="007354F8" w:rsidP="009139A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2.6 Местное распространение опухолевого процесса</w:t>
      </w:r>
    </w:p>
    <w:tbl>
      <w:tblPr>
        <w:tblStyle w:val="a3"/>
        <w:tblW w:w="9447" w:type="dxa"/>
        <w:tblLook w:val="04A0" w:firstRow="1" w:lastRow="0" w:firstColumn="1" w:lastColumn="0" w:noHBand="0" w:noVBand="1"/>
      </w:tblPr>
      <w:tblGrid>
        <w:gridCol w:w="1377"/>
        <w:gridCol w:w="1579"/>
        <w:gridCol w:w="1645"/>
        <w:gridCol w:w="1632"/>
        <w:gridCol w:w="1598"/>
        <w:gridCol w:w="1616"/>
      </w:tblGrid>
      <w:tr w:rsidR="007354F8" w14:paraId="091B34A5" w14:textId="77777777" w:rsidTr="00447D4B">
        <w:trPr>
          <w:trHeight w:val="1211"/>
        </w:trPr>
        <w:tc>
          <w:tcPr>
            <w:tcW w:w="1377" w:type="dxa"/>
          </w:tcPr>
          <w:p w14:paraId="05BEB179" w14:textId="77777777" w:rsidR="007354F8" w:rsidRDefault="007354F8" w:rsidP="009139A0">
            <w:pPr>
              <w:spacing w:line="360" w:lineRule="auto"/>
              <w:jc w:val="both"/>
            </w:pPr>
          </w:p>
        </w:tc>
        <w:tc>
          <w:tcPr>
            <w:tcW w:w="1579" w:type="dxa"/>
          </w:tcPr>
          <w:p w14:paraId="7FAB2667" w14:textId="77777777" w:rsidR="007354F8" w:rsidRPr="00DE1017" w:rsidRDefault="007354F8"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Инвазия в нерв</w:t>
            </w:r>
          </w:p>
        </w:tc>
        <w:tc>
          <w:tcPr>
            <w:tcW w:w="1645" w:type="dxa"/>
          </w:tcPr>
          <w:p w14:paraId="63ED2724" w14:textId="77777777" w:rsidR="007354F8" w:rsidRPr="00DE1017" w:rsidRDefault="007354F8" w:rsidP="009139A0">
            <w:pPr>
              <w:spacing w:line="360" w:lineRule="auto"/>
              <w:jc w:val="both"/>
              <w:rPr>
                <w:rFonts w:ascii="Times New Roman" w:hAnsi="Times New Roman" w:cs="Times New Roman"/>
              </w:rPr>
            </w:pPr>
            <w:r w:rsidRPr="00DE1017">
              <w:rPr>
                <w:rFonts w:ascii="Times New Roman" w:hAnsi="Times New Roman" w:cs="Times New Roman"/>
                <w:sz w:val="28"/>
                <w:szCs w:val="28"/>
              </w:rPr>
              <w:t>Инвазия в</w:t>
            </w:r>
            <w:r>
              <w:rPr>
                <w:rFonts w:ascii="Times New Roman" w:hAnsi="Times New Roman" w:cs="Times New Roman"/>
                <w:sz w:val="28"/>
                <w:szCs w:val="28"/>
              </w:rPr>
              <w:t xml:space="preserve"> </w:t>
            </w:r>
            <w:r w:rsidRPr="00DE1017">
              <w:rPr>
                <w:rFonts w:ascii="Times New Roman" w:hAnsi="Times New Roman" w:cs="Times New Roman"/>
                <w:sz w:val="28"/>
                <w:szCs w:val="28"/>
              </w:rPr>
              <w:t>капсулу</w:t>
            </w:r>
          </w:p>
        </w:tc>
        <w:tc>
          <w:tcPr>
            <w:tcW w:w="1632" w:type="dxa"/>
          </w:tcPr>
          <w:p w14:paraId="1C03754F" w14:textId="77777777" w:rsidR="007354F8" w:rsidRPr="00DE1017" w:rsidRDefault="007354F8" w:rsidP="009139A0">
            <w:pPr>
              <w:spacing w:line="360" w:lineRule="auto"/>
              <w:jc w:val="both"/>
              <w:rPr>
                <w:rFonts w:ascii="Times New Roman" w:hAnsi="Times New Roman" w:cs="Times New Roman"/>
              </w:rPr>
            </w:pPr>
            <w:r w:rsidRPr="00DE1017">
              <w:rPr>
                <w:rFonts w:ascii="Times New Roman" w:hAnsi="Times New Roman" w:cs="Times New Roman"/>
                <w:sz w:val="28"/>
                <w:szCs w:val="28"/>
              </w:rPr>
              <w:t>Инвазия в сосуды</w:t>
            </w:r>
          </w:p>
        </w:tc>
        <w:tc>
          <w:tcPr>
            <w:tcW w:w="1598" w:type="dxa"/>
          </w:tcPr>
          <w:p w14:paraId="4BB81A63" w14:textId="77777777" w:rsidR="007354F8" w:rsidRPr="00B257DC" w:rsidRDefault="007354F8" w:rsidP="009139A0">
            <w:pPr>
              <w:spacing w:line="360" w:lineRule="auto"/>
              <w:jc w:val="both"/>
              <w:rPr>
                <w:rFonts w:ascii="Times New Roman" w:hAnsi="Times New Roman" w:cs="Times New Roman"/>
                <w:sz w:val="28"/>
                <w:szCs w:val="28"/>
              </w:rPr>
            </w:pPr>
            <w:r w:rsidRPr="00B257DC">
              <w:rPr>
                <w:rFonts w:ascii="Times New Roman" w:hAnsi="Times New Roman" w:cs="Times New Roman"/>
                <w:sz w:val="28"/>
                <w:szCs w:val="28"/>
              </w:rPr>
              <w:t>Инвазия в окр. ткани</w:t>
            </w:r>
          </w:p>
        </w:tc>
        <w:tc>
          <w:tcPr>
            <w:tcW w:w="1616" w:type="dxa"/>
          </w:tcPr>
          <w:p w14:paraId="70D914C4" w14:textId="77777777" w:rsidR="007354F8" w:rsidRPr="00DE1017" w:rsidRDefault="007354F8" w:rsidP="009139A0">
            <w:pPr>
              <w:spacing w:line="360" w:lineRule="auto"/>
              <w:jc w:val="both"/>
              <w:rPr>
                <w:rFonts w:ascii="Times New Roman" w:hAnsi="Times New Roman" w:cs="Times New Roman"/>
                <w:sz w:val="28"/>
                <w:szCs w:val="28"/>
              </w:rPr>
            </w:pPr>
            <w:r w:rsidRPr="00DE1017">
              <w:rPr>
                <w:rFonts w:ascii="Times New Roman" w:hAnsi="Times New Roman" w:cs="Times New Roman"/>
                <w:sz w:val="28"/>
                <w:szCs w:val="28"/>
              </w:rPr>
              <w:t>Удалены</w:t>
            </w:r>
          </w:p>
          <w:p w14:paraId="52FE8402" w14:textId="77777777" w:rsidR="007354F8" w:rsidRDefault="007354F8" w:rsidP="009139A0">
            <w:pPr>
              <w:spacing w:line="360" w:lineRule="auto"/>
              <w:jc w:val="both"/>
              <w:rPr>
                <w:rFonts w:ascii="Times New Roman" w:hAnsi="Times New Roman" w:cs="Times New Roman"/>
                <w:sz w:val="28"/>
                <w:szCs w:val="28"/>
              </w:rPr>
            </w:pPr>
            <w:r w:rsidRPr="00DE1017">
              <w:rPr>
                <w:rFonts w:ascii="Times New Roman" w:hAnsi="Times New Roman" w:cs="Times New Roman"/>
                <w:sz w:val="28"/>
                <w:szCs w:val="28"/>
              </w:rPr>
              <w:t>БЛУ</w:t>
            </w:r>
          </w:p>
        </w:tc>
      </w:tr>
      <w:tr w:rsidR="007354F8" w14:paraId="07CC0310" w14:textId="77777777" w:rsidTr="00447D4B">
        <w:trPr>
          <w:trHeight w:val="477"/>
        </w:trPr>
        <w:tc>
          <w:tcPr>
            <w:tcW w:w="1377" w:type="dxa"/>
          </w:tcPr>
          <w:p w14:paraId="73BF5157" w14:textId="77777777" w:rsidR="007354F8" w:rsidRPr="00B7386B" w:rsidRDefault="007354F8" w:rsidP="009139A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RET+</w:t>
            </w:r>
          </w:p>
        </w:tc>
        <w:tc>
          <w:tcPr>
            <w:tcW w:w="1579" w:type="dxa"/>
          </w:tcPr>
          <w:p w14:paraId="0DA067AD"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0</w:t>
            </w:r>
          </w:p>
        </w:tc>
        <w:tc>
          <w:tcPr>
            <w:tcW w:w="1645" w:type="dxa"/>
          </w:tcPr>
          <w:p w14:paraId="5DB60F11"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15</w:t>
            </w:r>
          </w:p>
        </w:tc>
        <w:tc>
          <w:tcPr>
            <w:tcW w:w="1632" w:type="dxa"/>
          </w:tcPr>
          <w:p w14:paraId="2C6CFA5C"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3</w:t>
            </w:r>
          </w:p>
        </w:tc>
        <w:tc>
          <w:tcPr>
            <w:tcW w:w="1598" w:type="dxa"/>
          </w:tcPr>
          <w:p w14:paraId="6BCD6693"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0</w:t>
            </w:r>
          </w:p>
        </w:tc>
        <w:tc>
          <w:tcPr>
            <w:tcW w:w="1616" w:type="dxa"/>
          </w:tcPr>
          <w:p w14:paraId="41E4F65C"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11</w:t>
            </w:r>
          </w:p>
        </w:tc>
      </w:tr>
      <w:tr w:rsidR="007354F8" w14:paraId="58082B0E" w14:textId="77777777" w:rsidTr="00447D4B">
        <w:trPr>
          <w:trHeight w:val="477"/>
        </w:trPr>
        <w:tc>
          <w:tcPr>
            <w:tcW w:w="1377" w:type="dxa"/>
          </w:tcPr>
          <w:p w14:paraId="389E35E9" w14:textId="77777777" w:rsidR="007354F8" w:rsidRPr="00DE1017" w:rsidRDefault="007354F8" w:rsidP="009139A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w:t>
            </w:r>
          </w:p>
        </w:tc>
        <w:tc>
          <w:tcPr>
            <w:tcW w:w="1579" w:type="dxa"/>
          </w:tcPr>
          <w:p w14:paraId="2886EEDB"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2</w:t>
            </w:r>
          </w:p>
        </w:tc>
        <w:tc>
          <w:tcPr>
            <w:tcW w:w="1645" w:type="dxa"/>
          </w:tcPr>
          <w:p w14:paraId="5B861EC6"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52</w:t>
            </w:r>
          </w:p>
        </w:tc>
        <w:tc>
          <w:tcPr>
            <w:tcW w:w="1632" w:type="dxa"/>
          </w:tcPr>
          <w:p w14:paraId="43577C41"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8</w:t>
            </w:r>
          </w:p>
        </w:tc>
        <w:tc>
          <w:tcPr>
            <w:tcW w:w="1598" w:type="dxa"/>
          </w:tcPr>
          <w:p w14:paraId="0E4699CA"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7</w:t>
            </w:r>
          </w:p>
        </w:tc>
        <w:tc>
          <w:tcPr>
            <w:tcW w:w="1616" w:type="dxa"/>
          </w:tcPr>
          <w:p w14:paraId="45869B7F" w14:textId="77777777" w:rsidR="007354F8" w:rsidRPr="00B7386B" w:rsidRDefault="007354F8" w:rsidP="009139A0">
            <w:pPr>
              <w:spacing w:line="360" w:lineRule="auto"/>
              <w:jc w:val="both"/>
              <w:rPr>
                <w:rFonts w:ascii="Times New Roman" w:hAnsi="Times New Roman" w:cs="Times New Roman"/>
                <w:sz w:val="28"/>
                <w:szCs w:val="28"/>
              </w:rPr>
            </w:pPr>
            <w:r w:rsidRPr="00B7386B">
              <w:rPr>
                <w:rFonts w:ascii="Times New Roman" w:hAnsi="Times New Roman" w:cs="Times New Roman"/>
                <w:sz w:val="28"/>
                <w:szCs w:val="28"/>
              </w:rPr>
              <w:t>34</w:t>
            </w:r>
          </w:p>
        </w:tc>
      </w:tr>
      <w:tr w:rsidR="007354F8" w14:paraId="76E2FAFC" w14:textId="77777777" w:rsidTr="00447D4B">
        <w:trPr>
          <w:trHeight w:val="477"/>
        </w:trPr>
        <w:tc>
          <w:tcPr>
            <w:tcW w:w="1377" w:type="dxa"/>
          </w:tcPr>
          <w:p w14:paraId="4C68A2B5" w14:textId="77777777" w:rsidR="007354F8" w:rsidRPr="00795C04" w:rsidRDefault="007354F8" w:rsidP="009139A0">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Хи</w:t>
            </w:r>
            <w:r>
              <w:rPr>
                <w:rFonts w:ascii="Times New Roman" w:hAnsi="Times New Roman" w:cs="Times New Roman"/>
                <w:sz w:val="28"/>
                <w:szCs w:val="28"/>
                <w:vertAlign w:val="superscript"/>
              </w:rPr>
              <w:t>2</w:t>
            </w:r>
          </w:p>
        </w:tc>
        <w:tc>
          <w:tcPr>
            <w:tcW w:w="1579" w:type="dxa"/>
          </w:tcPr>
          <w:p w14:paraId="6536E5CC"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0,49</w:t>
            </w:r>
          </w:p>
        </w:tc>
        <w:tc>
          <w:tcPr>
            <w:tcW w:w="1645" w:type="dxa"/>
          </w:tcPr>
          <w:p w14:paraId="061AC078"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0,4</w:t>
            </w:r>
          </w:p>
        </w:tc>
        <w:tc>
          <w:tcPr>
            <w:tcW w:w="1632" w:type="dxa"/>
          </w:tcPr>
          <w:p w14:paraId="4B566AA6"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0,4</w:t>
            </w:r>
          </w:p>
        </w:tc>
        <w:tc>
          <w:tcPr>
            <w:tcW w:w="1598" w:type="dxa"/>
          </w:tcPr>
          <w:p w14:paraId="4D463ED7"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1,7</w:t>
            </w:r>
          </w:p>
        </w:tc>
        <w:tc>
          <w:tcPr>
            <w:tcW w:w="1616" w:type="dxa"/>
          </w:tcPr>
          <w:p w14:paraId="1AE5A476"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1,78</w:t>
            </w:r>
          </w:p>
        </w:tc>
      </w:tr>
      <w:tr w:rsidR="007354F8" w14:paraId="0E92FD53" w14:textId="77777777" w:rsidTr="00447D4B">
        <w:trPr>
          <w:trHeight w:val="477"/>
        </w:trPr>
        <w:tc>
          <w:tcPr>
            <w:tcW w:w="1377" w:type="dxa"/>
          </w:tcPr>
          <w:p w14:paraId="7CC3979E" w14:textId="77777777" w:rsidR="007354F8" w:rsidRPr="00795C04" w:rsidRDefault="007354F8"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p</w:t>
            </w:r>
          </w:p>
        </w:tc>
        <w:tc>
          <w:tcPr>
            <w:tcW w:w="1579" w:type="dxa"/>
          </w:tcPr>
          <w:p w14:paraId="769C9530"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0,48</w:t>
            </w:r>
          </w:p>
        </w:tc>
        <w:tc>
          <w:tcPr>
            <w:tcW w:w="1645" w:type="dxa"/>
          </w:tcPr>
          <w:p w14:paraId="701437F6"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0,52</w:t>
            </w:r>
          </w:p>
        </w:tc>
        <w:tc>
          <w:tcPr>
            <w:tcW w:w="1632" w:type="dxa"/>
          </w:tcPr>
          <w:p w14:paraId="52B3DD5D"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0,52</w:t>
            </w:r>
          </w:p>
        </w:tc>
        <w:tc>
          <w:tcPr>
            <w:tcW w:w="1598" w:type="dxa"/>
          </w:tcPr>
          <w:p w14:paraId="59402282"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0,18</w:t>
            </w:r>
          </w:p>
        </w:tc>
        <w:tc>
          <w:tcPr>
            <w:tcW w:w="1616" w:type="dxa"/>
          </w:tcPr>
          <w:p w14:paraId="0C78BA62" w14:textId="77777777" w:rsidR="007354F8" w:rsidRPr="007A63D1" w:rsidRDefault="007354F8" w:rsidP="009139A0">
            <w:pPr>
              <w:spacing w:line="360" w:lineRule="auto"/>
              <w:jc w:val="both"/>
              <w:rPr>
                <w:rFonts w:ascii="Times New Roman" w:hAnsi="Times New Roman" w:cs="Times New Roman"/>
                <w:sz w:val="28"/>
                <w:szCs w:val="28"/>
              </w:rPr>
            </w:pPr>
            <w:r w:rsidRPr="007A63D1">
              <w:rPr>
                <w:rFonts w:ascii="Times New Roman" w:hAnsi="Times New Roman" w:cs="Times New Roman"/>
                <w:sz w:val="28"/>
                <w:szCs w:val="28"/>
              </w:rPr>
              <w:t>0,18</w:t>
            </w:r>
          </w:p>
        </w:tc>
      </w:tr>
    </w:tbl>
    <w:p w14:paraId="748DAF2A" w14:textId="77777777" w:rsidR="007354F8" w:rsidRDefault="007354F8" w:rsidP="009139A0">
      <w:pPr>
        <w:spacing w:line="360" w:lineRule="auto"/>
        <w:jc w:val="both"/>
        <w:rPr>
          <w:rFonts w:ascii="Times New Roman" w:hAnsi="Times New Roman" w:cs="Times New Roman"/>
          <w:sz w:val="28"/>
          <w:szCs w:val="28"/>
        </w:rPr>
      </w:pPr>
    </w:p>
    <w:p w14:paraId="7B1ED8EC" w14:textId="02915EE3" w:rsidR="007354F8" w:rsidRDefault="00A323ED" w:rsidP="009139A0">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2.7 Местное распространение опухолевого процесса в процентном соотношении</w:t>
      </w:r>
    </w:p>
    <w:tbl>
      <w:tblPr>
        <w:tblStyle w:val="a3"/>
        <w:tblW w:w="9369" w:type="dxa"/>
        <w:tblLook w:val="04A0" w:firstRow="1" w:lastRow="0" w:firstColumn="1" w:lastColumn="0" w:noHBand="0" w:noVBand="1"/>
      </w:tblPr>
      <w:tblGrid>
        <w:gridCol w:w="1561"/>
        <w:gridCol w:w="1561"/>
        <w:gridCol w:w="1561"/>
        <w:gridCol w:w="1562"/>
        <w:gridCol w:w="1562"/>
        <w:gridCol w:w="1562"/>
      </w:tblGrid>
      <w:tr w:rsidR="00A323ED" w14:paraId="075C54DF" w14:textId="77777777" w:rsidTr="00447D4B">
        <w:trPr>
          <w:trHeight w:val="614"/>
        </w:trPr>
        <w:tc>
          <w:tcPr>
            <w:tcW w:w="1561" w:type="dxa"/>
          </w:tcPr>
          <w:p w14:paraId="1F31F1DE" w14:textId="77777777" w:rsidR="00A323ED" w:rsidRDefault="00A323ED" w:rsidP="009139A0">
            <w:pPr>
              <w:spacing w:line="360" w:lineRule="auto"/>
              <w:jc w:val="both"/>
            </w:pPr>
          </w:p>
        </w:tc>
        <w:tc>
          <w:tcPr>
            <w:tcW w:w="1561" w:type="dxa"/>
          </w:tcPr>
          <w:p w14:paraId="5A188353" w14:textId="77777777" w:rsidR="00A323ED" w:rsidRDefault="00A323ED" w:rsidP="009139A0">
            <w:pPr>
              <w:spacing w:line="360" w:lineRule="auto"/>
              <w:jc w:val="both"/>
            </w:pPr>
            <w:r>
              <w:rPr>
                <w:rFonts w:ascii="Times New Roman" w:hAnsi="Times New Roman" w:cs="Times New Roman"/>
                <w:sz w:val="28"/>
                <w:szCs w:val="28"/>
              </w:rPr>
              <w:t>Инвазия в нерв</w:t>
            </w:r>
          </w:p>
        </w:tc>
        <w:tc>
          <w:tcPr>
            <w:tcW w:w="1561" w:type="dxa"/>
          </w:tcPr>
          <w:p w14:paraId="7972F166" w14:textId="77777777" w:rsidR="00A323ED" w:rsidRDefault="00A323ED" w:rsidP="009139A0">
            <w:pPr>
              <w:spacing w:line="360" w:lineRule="auto"/>
              <w:jc w:val="both"/>
            </w:pPr>
            <w:r w:rsidRPr="00DE1017">
              <w:rPr>
                <w:rFonts w:ascii="Times New Roman" w:hAnsi="Times New Roman" w:cs="Times New Roman"/>
                <w:sz w:val="28"/>
                <w:szCs w:val="28"/>
              </w:rPr>
              <w:t>Инвазия в</w:t>
            </w:r>
            <w:r>
              <w:rPr>
                <w:rFonts w:ascii="Times New Roman" w:hAnsi="Times New Roman" w:cs="Times New Roman"/>
                <w:sz w:val="28"/>
                <w:szCs w:val="28"/>
              </w:rPr>
              <w:t xml:space="preserve"> </w:t>
            </w:r>
            <w:r w:rsidRPr="00DE1017">
              <w:rPr>
                <w:rFonts w:ascii="Times New Roman" w:hAnsi="Times New Roman" w:cs="Times New Roman"/>
                <w:sz w:val="28"/>
                <w:szCs w:val="28"/>
              </w:rPr>
              <w:t>капсулу</w:t>
            </w:r>
          </w:p>
        </w:tc>
        <w:tc>
          <w:tcPr>
            <w:tcW w:w="1562" w:type="dxa"/>
          </w:tcPr>
          <w:p w14:paraId="49A3C59F" w14:textId="77777777" w:rsidR="00A323ED" w:rsidRDefault="00A323ED" w:rsidP="009139A0">
            <w:pPr>
              <w:spacing w:line="360" w:lineRule="auto"/>
              <w:jc w:val="both"/>
            </w:pPr>
            <w:r w:rsidRPr="00DE1017">
              <w:rPr>
                <w:rFonts w:ascii="Times New Roman" w:hAnsi="Times New Roman" w:cs="Times New Roman"/>
                <w:sz w:val="28"/>
                <w:szCs w:val="28"/>
              </w:rPr>
              <w:t>Инвазия в сосуды</w:t>
            </w:r>
          </w:p>
        </w:tc>
        <w:tc>
          <w:tcPr>
            <w:tcW w:w="1562" w:type="dxa"/>
          </w:tcPr>
          <w:p w14:paraId="2AE1506F" w14:textId="77777777" w:rsidR="00A323ED" w:rsidRDefault="00A323ED" w:rsidP="009139A0">
            <w:pPr>
              <w:spacing w:line="360" w:lineRule="auto"/>
              <w:jc w:val="both"/>
            </w:pPr>
            <w:r w:rsidRPr="00B257DC">
              <w:rPr>
                <w:rFonts w:ascii="Times New Roman" w:hAnsi="Times New Roman" w:cs="Times New Roman"/>
                <w:sz w:val="28"/>
                <w:szCs w:val="28"/>
              </w:rPr>
              <w:t>Инвазия в окр. ткани</w:t>
            </w:r>
          </w:p>
        </w:tc>
        <w:tc>
          <w:tcPr>
            <w:tcW w:w="1562" w:type="dxa"/>
          </w:tcPr>
          <w:p w14:paraId="20D78CD7" w14:textId="77777777" w:rsidR="00A323ED" w:rsidRPr="00DE1017" w:rsidRDefault="00A323ED" w:rsidP="009139A0">
            <w:pPr>
              <w:spacing w:line="360" w:lineRule="auto"/>
              <w:jc w:val="both"/>
              <w:rPr>
                <w:rFonts w:ascii="Times New Roman" w:hAnsi="Times New Roman" w:cs="Times New Roman"/>
                <w:sz w:val="28"/>
                <w:szCs w:val="28"/>
              </w:rPr>
            </w:pPr>
            <w:r w:rsidRPr="00DE1017">
              <w:rPr>
                <w:rFonts w:ascii="Times New Roman" w:hAnsi="Times New Roman" w:cs="Times New Roman"/>
                <w:sz w:val="28"/>
                <w:szCs w:val="28"/>
              </w:rPr>
              <w:t>Удалены</w:t>
            </w:r>
          </w:p>
          <w:p w14:paraId="0842D7C5" w14:textId="77777777" w:rsidR="00A323ED" w:rsidRDefault="00A323ED" w:rsidP="009139A0">
            <w:pPr>
              <w:spacing w:line="360" w:lineRule="auto"/>
              <w:jc w:val="both"/>
            </w:pPr>
            <w:r w:rsidRPr="00DE1017">
              <w:rPr>
                <w:rFonts w:ascii="Times New Roman" w:hAnsi="Times New Roman" w:cs="Times New Roman"/>
                <w:sz w:val="28"/>
                <w:szCs w:val="28"/>
              </w:rPr>
              <w:t>БЛУ</w:t>
            </w:r>
          </w:p>
        </w:tc>
      </w:tr>
      <w:tr w:rsidR="00A323ED" w:rsidRPr="00F079DD" w14:paraId="77EB35AA" w14:textId="77777777" w:rsidTr="00447D4B">
        <w:trPr>
          <w:trHeight w:val="580"/>
        </w:trPr>
        <w:tc>
          <w:tcPr>
            <w:tcW w:w="1561" w:type="dxa"/>
          </w:tcPr>
          <w:p w14:paraId="7C309A3E"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lang w:val="en-US"/>
              </w:rPr>
              <w:t>RET+</w:t>
            </w:r>
          </w:p>
        </w:tc>
        <w:tc>
          <w:tcPr>
            <w:tcW w:w="1561" w:type="dxa"/>
          </w:tcPr>
          <w:p w14:paraId="6F9A354E"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0%</w:t>
            </w:r>
          </w:p>
        </w:tc>
        <w:tc>
          <w:tcPr>
            <w:tcW w:w="1561" w:type="dxa"/>
          </w:tcPr>
          <w:p w14:paraId="09FBEA0D"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35,7%</w:t>
            </w:r>
          </w:p>
        </w:tc>
        <w:tc>
          <w:tcPr>
            <w:tcW w:w="1562" w:type="dxa"/>
          </w:tcPr>
          <w:p w14:paraId="204E99D0"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7,1%</w:t>
            </w:r>
          </w:p>
        </w:tc>
        <w:tc>
          <w:tcPr>
            <w:tcW w:w="1562" w:type="dxa"/>
          </w:tcPr>
          <w:p w14:paraId="026F9709"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0</w:t>
            </w:r>
          </w:p>
        </w:tc>
        <w:tc>
          <w:tcPr>
            <w:tcW w:w="1562" w:type="dxa"/>
          </w:tcPr>
          <w:p w14:paraId="0E01D8EA"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26,2%</w:t>
            </w:r>
          </w:p>
        </w:tc>
      </w:tr>
      <w:tr w:rsidR="00A323ED" w:rsidRPr="00F079DD" w14:paraId="5E02E4E1" w14:textId="77777777" w:rsidTr="00447D4B">
        <w:trPr>
          <w:trHeight w:val="614"/>
        </w:trPr>
        <w:tc>
          <w:tcPr>
            <w:tcW w:w="1561" w:type="dxa"/>
          </w:tcPr>
          <w:p w14:paraId="1576B57E"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lang w:val="en-US"/>
              </w:rPr>
              <w:t>WT</w:t>
            </w:r>
          </w:p>
        </w:tc>
        <w:tc>
          <w:tcPr>
            <w:tcW w:w="1561" w:type="dxa"/>
          </w:tcPr>
          <w:p w14:paraId="061D6AA2"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1,2%</w:t>
            </w:r>
          </w:p>
        </w:tc>
        <w:tc>
          <w:tcPr>
            <w:tcW w:w="1561" w:type="dxa"/>
          </w:tcPr>
          <w:p w14:paraId="319083BF"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30,6%</w:t>
            </w:r>
          </w:p>
        </w:tc>
        <w:tc>
          <w:tcPr>
            <w:tcW w:w="1562" w:type="dxa"/>
          </w:tcPr>
          <w:p w14:paraId="101B0763"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4,7%</w:t>
            </w:r>
          </w:p>
        </w:tc>
        <w:tc>
          <w:tcPr>
            <w:tcW w:w="1562" w:type="dxa"/>
          </w:tcPr>
          <w:p w14:paraId="77F72200"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4,1%</w:t>
            </w:r>
          </w:p>
        </w:tc>
        <w:tc>
          <w:tcPr>
            <w:tcW w:w="1562" w:type="dxa"/>
          </w:tcPr>
          <w:p w14:paraId="5EE04D50" w14:textId="77777777" w:rsidR="00A323ED" w:rsidRPr="00F079DD" w:rsidRDefault="00A323ED" w:rsidP="009139A0">
            <w:pPr>
              <w:spacing w:line="360" w:lineRule="auto"/>
              <w:jc w:val="both"/>
              <w:rPr>
                <w:rFonts w:ascii="Times New Roman" w:hAnsi="Times New Roman" w:cs="Times New Roman"/>
                <w:sz w:val="28"/>
                <w:szCs w:val="28"/>
              </w:rPr>
            </w:pPr>
            <w:r w:rsidRPr="00F079DD">
              <w:rPr>
                <w:rFonts w:ascii="Times New Roman" w:hAnsi="Times New Roman" w:cs="Times New Roman"/>
                <w:sz w:val="28"/>
                <w:szCs w:val="28"/>
              </w:rPr>
              <w:t>20%</w:t>
            </w:r>
          </w:p>
        </w:tc>
      </w:tr>
    </w:tbl>
    <w:p w14:paraId="257DB99B" w14:textId="77777777" w:rsidR="007354F8" w:rsidRDefault="007354F8" w:rsidP="009139A0">
      <w:pPr>
        <w:spacing w:line="360" w:lineRule="auto"/>
        <w:jc w:val="both"/>
        <w:rPr>
          <w:rFonts w:ascii="Times New Roman" w:hAnsi="Times New Roman" w:cs="Times New Roman"/>
          <w:sz w:val="28"/>
          <w:szCs w:val="28"/>
        </w:rPr>
      </w:pPr>
    </w:p>
    <w:p w14:paraId="57B4C6D4" w14:textId="1809E428" w:rsidR="007354F8" w:rsidRDefault="00B102BC"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исхода, пациенты были поделены на пять групп: биохимическая ремиссия, стабильный уровень кальцитонина, рост кальцитонина с периодом удвоения более двух лет, быстрый рост кальцитонина, смерть (от основного или конкурирующего заболевания). К исследуемой категории с биохимической ремиссией были отнесены пациенты с показателем кальцитонина в пределах нормы к концу наблюдения. К группе пациентов со стабильным уровнем кальцитонина отнесены обследуемые с патологически высоким уровнем данного показателя, но без его роста в течение периода наблюдения. Пациенты с временем удвоения кальцитонина менее 12 месяцев были отнесены в группу с быстрым ростом кальцитонина. </w:t>
      </w:r>
    </w:p>
    <w:p w14:paraId="7C75D915" w14:textId="77777777" w:rsidR="00E13F48" w:rsidRDefault="00E13F48" w:rsidP="009139A0">
      <w:pPr>
        <w:spacing w:line="360" w:lineRule="auto"/>
        <w:jc w:val="both"/>
        <w:rPr>
          <w:rFonts w:ascii="Times New Roman" w:hAnsi="Times New Roman" w:cs="Times New Roman"/>
          <w:sz w:val="28"/>
          <w:szCs w:val="28"/>
        </w:rPr>
      </w:pPr>
    </w:p>
    <w:p w14:paraId="6AFCBB79" w14:textId="77777777" w:rsidR="009139A0" w:rsidRDefault="009139A0" w:rsidP="009139A0">
      <w:pPr>
        <w:spacing w:line="360" w:lineRule="auto"/>
        <w:jc w:val="both"/>
        <w:rPr>
          <w:rFonts w:ascii="Times New Roman" w:hAnsi="Times New Roman" w:cs="Times New Roman"/>
          <w:sz w:val="28"/>
          <w:szCs w:val="28"/>
        </w:rPr>
      </w:pPr>
    </w:p>
    <w:p w14:paraId="48CA08C1" w14:textId="04802654" w:rsidR="00B102BC" w:rsidRPr="00F87FF0" w:rsidRDefault="00AA7D5F" w:rsidP="009139A0">
      <w:pPr>
        <w:spacing w:line="360" w:lineRule="auto"/>
        <w:jc w:val="center"/>
        <w:rPr>
          <w:sz w:val="28"/>
          <w:szCs w:val="28"/>
        </w:rPr>
      </w:pPr>
      <w:r>
        <w:rPr>
          <w:rFonts w:ascii="Times New Roman" w:hAnsi="Times New Roman" w:cs="Times New Roman"/>
          <w:sz w:val="28"/>
          <w:szCs w:val="28"/>
        </w:rPr>
        <w:lastRenderedPageBreak/>
        <w:t xml:space="preserve">Рисунок 2.2 </w:t>
      </w:r>
      <w:r w:rsidRPr="00AA7D5F">
        <w:rPr>
          <w:sz w:val="28"/>
          <w:szCs w:val="28"/>
        </w:rPr>
        <w:t>Распределение пациентов в зависимости от исхода</w:t>
      </w:r>
      <w:r w:rsidR="00150BBD">
        <w:rPr>
          <w:sz w:val="28"/>
          <w:szCs w:val="28"/>
        </w:rPr>
        <w:t xml:space="preserve"> заболевания</w:t>
      </w:r>
    </w:p>
    <w:p w14:paraId="5D8E339A" w14:textId="5F37A16C" w:rsidR="00B102BC" w:rsidRDefault="00B102BC" w:rsidP="009139A0">
      <w:pPr>
        <w:spacing w:line="360" w:lineRule="auto"/>
        <w:jc w:val="both"/>
      </w:pPr>
      <w:r>
        <w:rPr>
          <w:noProof/>
        </w:rPr>
        <w:drawing>
          <wp:inline distT="0" distB="0" distL="0" distR="0" wp14:anchorId="7438A025" wp14:editId="028EA105">
            <wp:extent cx="5940425" cy="2918434"/>
            <wp:effectExtent l="0" t="0" r="3175" b="15875"/>
            <wp:docPr id="1" name="Диаграмма 1">
              <a:extLst xmlns:a="http://schemas.openxmlformats.org/drawingml/2006/main">
                <a:ext uri="{FF2B5EF4-FFF2-40B4-BE49-F238E27FC236}">
                  <a16:creationId xmlns:a16="http://schemas.microsoft.com/office/drawing/2014/main" id="{0FEF75BD-1E39-4300-8FD1-FEB288A98A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7384AF" w14:textId="4669C18F" w:rsidR="00B102BC" w:rsidRDefault="00F17BCB" w:rsidP="009139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1F00BD">
        <w:rPr>
          <w:rFonts w:ascii="Times New Roman" w:hAnsi="Times New Roman" w:cs="Times New Roman"/>
          <w:sz w:val="28"/>
          <w:szCs w:val="28"/>
        </w:rPr>
        <w:t>когортах</w:t>
      </w:r>
      <w:r>
        <w:rPr>
          <w:rFonts w:ascii="Times New Roman" w:hAnsi="Times New Roman" w:cs="Times New Roman"/>
          <w:sz w:val="28"/>
          <w:szCs w:val="28"/>
        </w:rPr>
        <w:t xml:space="preserve"> пациентов с подтвержденной семейной </w:t>
      </w:r>
      <w:r w:rsidR="002714EB">
        <w:rPr>
          <w:rFonts w:ascii="Times New Roman" w:hAnsi="Times New Roman" w:cs="Times New Roman"/>
          <w:sz w:val="28"/>
          <w:szCs w:val="28"/>
        </w:rPr>
        <w:t>и</w:t>
      </w:r>
      <w:r>
        <w:rPr>
          <w:rFonts w:ascii="Times New Roman" w:hAnsi="Times New Roman" w:cs="Times New Roman"/>
          <w:sz w:val="28"/>
          <w:szCs w:val="28"/>
        </w:rPr>
        <w:t xml:space="preserve"> спорадической формой </w:t>
      </w:r>
      <w:r w:rsidR="002714EB">
        <w:rPr>
          <w:rFonts w:ascii="Times New Roman" w:hAnsi="Times New Roman" w:cs="Times New Roman"/>
          <w:sz w:val="28"/>
          <w:szCs w:val="28"/>
        </w:rPr>
        <w:t>не наблюдалось значимых различий в распределении по группам исхода</w:t>
      </w:r>
      <w:r w:rsidR="000E1F8F">
        <w:rPr>
          <w:rFonts w:ascii="Times New Roman" w:hAnsi="Times New Roman" w:cs="Times New Roman"/>
          <w:sz w:val="28"/>
          <w:szCs w:val="28"/>
        </w:rPr>
        <w:t xml:space="preserve"> (таблица 2.8)</w:t>
      </w:r>
      <w:r w:rsidR="002714EB">
        <w:rPr>
          <w:rFonts w:ascii="Times New Roman" w:hAnsi="Times New Roman" w:cs="Times New Roman"/>
          <w:sz w:val="28"/>
          <w:szCs w:val="28"/>
        </w:rPr>
        <w:t>.</w:t>
      </w:r>
      <w:r w:rsidR="001F00BD">
        <w:rPr>
          <w:rFonts w:ascii="Times New Roman" w:hAnsi="Times New Roman" w:cs="Times New Roman"/>
          <w:sz w:val="28"/>
          <w:szCs w:val="28"/>
        </w:rPr>
        <w:t xml:space="preserve"> Биохимическая ремиссия </w:t>
      </w:r>
      <w:r w:rsidR="00795868">
        <w:rPr>
          <w:rFonts w:ascii="Times New Roman" w:hAnsi="Times New Roman" w:cs="Times New Roman"/>
          <w:sz w:val="28"/>
          <w:szCs w:val="28"/>
        </w:rPr>
        <w:t>встречалась</w:t>
      </w:r>
      <w:r w:rsidR="0058354E">
        <w:rPr>
          <w:rFonts w:ascii="Times New Roman" w:hAnsi="Times New Roman" w:cs="Times New Roman"/>
          <w:sz w:val="28"/>
          <w:szCs w:val="28"/>
        </w:rPr>
        <w:t xml:space="preserve"> в</w:t>
      </w:r>
      <w:r w:rsidR="00795868">
        <w:rPr>
          <w:rFonts w:ascii="Times New Roman" w:hAnsi="Times New Roman" w:cs="Times New Roman"/>
          <w:sz w:val="28"/>
          <w:szCs w:val="28"/>
        </w:rPr>
        <w:t xml:space="preserve"> 69</w:t>
      </w:r>
      <w:r w:rsidR="000E1F8F">
        <w:rPr>
          <w:rFonts w:ascii="Times New Roman" w:hAnsi="Times New Roman" w:cs="Times New Roman"/>
          <w:sz w:val="28"/>
          <w:szCs w:val="28"/>
        </w:rPr>
        <w:t>%</w:t>
      </w:r>
      <w:r w:rsidR="00795868">
        <w:rPr>
          <w:rFonts w:ascii="Times New Roman" w:hAnsi="Times New Roman" w:cs="Times New Roman"/>
          <w:sz w:val="28"/>
          <w:szCs w:val="28"/>
        </w:rPr>
        <w:t xml:space="preserve"> и 71% </w:t>
      </w:r>
      <w:r w:rsidR="000E1F8F">
        <w:rPr>
          <w:rFonts w:ascii="Times New Roman" w:hAnsi="Times New Roman" w:cs="Times New Roman"/>
          <w:sz w:val="28"/>
          <w:szCs w:val="28"/>
        </w:rPr>
        <w:t xml:space="preserve">соответственно. Быстрый рост кальцитонина и летальные исходы суммарно составили менее 10% случаев. </w:t>
      </w:r>
      <w:r w:rsidR="0058354E">
        <w:rPr>
          <w:rFonts w:ascii="Times New Roman" w:hAnsi="Times New Roman" w:cs="Times New Roman"/>
          <w:sz w:val="28"/>
          <w:szCs w:val="28"/>
        </w:rPr>
        <w:t xml:space="preserve"> </w:t>
      </w:r>
      <w:r w:rsidR="00795868">
        <w:rPr>
          <w:rFonts w:ascii="Times New Roman" w:hAnsi="Times New Roman" w:cs="Times New Roman"/>
          <w:sz w:val="28"/>
          <w:szCs w:val="28"/>
        </w:rPr>
        <w:t xml:space="preserve"> </w:t>
      </w:r>
      <w:r w:rsidR="0058354E">
        <w:rPr>
          <w:rFonts w:ascii="Times New Roman" w:hAnsi="Times New Roman" w:cs="Times New Roman"/>
          <w:sz w:val="28"/>
          <w:szCs w:val="28"/>
        </w:rPr>
        <w:t xml:space="preserve"> </w:t>
      </w:r>
      <w:r w:rsidR="001F00BD">
        <w:rPr>
          <w:rFonts w:ascii="Times New Roman" w:hAnsi="Times New Roman" w:cs="Times New Roman"/>
          <w:sz w:val="28"/>
          <w:szCs w:val="28"/>
        </w:rPr>
        <w:t xml:space="preserve"> </w:t>
      </w:r>
    </w:p>
    <w:p w14:paraId="716C2BCD" w14:textId="1E62E4A6" w:rsidR="00246CB4" w:rsidRPr="00246CB4" w:rsidRDefault="000E1F8F" w:rsidP="00246CB4">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2.8 Распределение по исходам в исследуемых группах</w:t>
      </w:r>
    </w:p>
    <w:tbl>
      <w:tblPr>
        <w:tblStyle w:val="a3"/>
        <w:tblpPr w:leftFromText="180" w:rightFromText="180" w:vertAnchor="text" w:horzAnchor="margin" w:tblpY="-157"/>
        <w:tblW w:w="9493" w:type="dxa"/>
        <w:tblLook w:val="04A0" w:firstRow="1" w:lastRow="0" w:firstColumn="1" w:lastColumn="0" w:noHBand="0" w:noVBand="1"/>
      </w:tblPr>
      <w:tblGrid>
        <w:gridCol w:w="1128"/>
        <w:gridCol w:w="1458"/>
        <w:gridCol w:w="1897"/>
        <w:gridCol w:w="1897"/>
        <w:gridCol w:w="1880"/>
        <w:gridCol w:w="1233"/>
      </w:tblGrid>
      <w:tr w:rsidR="00246CB4" w14:paraId="6B1C37D5" w14:textId="77777777" w:rsidTr="00447D4B">
        <w:trPr>
          <w:trHeight w:val="1875"/>
        </w:trPr>
        <w:tc>
          <w:tcPr>
            <w:tcW w:w="1128" w:type="dxa"/>
          </w:tcPr>
          <w:p w14:paraId="5DD94FA8" w14:textId="77777777" w:rsidR="00246CB4" w:rsidRDefault="00246CB4" w:rsidP="00447D4B">
            <w:pPr>
              <w:rPr>
                <w:rFonts w:ascii="Times New Roman" w:hAnsi="Times New Roman" w:cs="Times New Roman"/>
                <w:sz w:val="28"/>
                <w:szCs w:val="28"/>
              </w:rPr>
            </w:pPr>
          </w:p>
        </w:tc>
        <w:tc>
          <w:tcPr>
            <w:tcW w:w="1458" w:type="dxa"/>
          </w:tcPr>
          <w:p w14:paraId="74D1C75B" w14:textId="77777777" w:rsidR="00246CB4" w:rsidRPr="00871CC0" w:rsidRDefault="00246CB4" w:rsidP="00447D4B">
            <w:pPr>
              <w:rPr>
                <w:rFonts w:ascii="Times New Roman" w:hAnsi="Times New Roman" w:cs="Times New Roman"/>
                <w:sz w:val="28"/>
                <w:szCs w:val="28"/>
              </w:rPr>
            </w:pPr>
            <w:r>
              <w:rPr>
                <w:rFonts w:ascii="Times New Roman" w:hAnsi="Times New Roman" w:cs="Times New Roman"/>
                <w:sz w:val="28"/>
                <w:szCs w:val="28"/>
              </w:rPr>
              <w:t>Ремиссия</w:t>
            </w:r>
          </w:p>
        </w:tc>
        <w:tc>
          <w:tcPr>
            <w:tcW w:w="1897" w:type="dxa"/>
          </w:tcPr>
          <w:p w14:paraId="2ED9DA68"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Стаб. уровень кальцитонина</w:t>
            </w:r>
          </w:p>
        </w:tc>
        <w:tc>
          <w:tcPr>
            <w:tcW w:w="1897" w:type="dxa"/>
          </w:tcPr>
          <w:p w14:paraId="769C946E"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Рост кальцитонина с периодом удвоения более двух лет</w:t>
            </w:r>
          </w:p>
        </w:tc>
        <w:tc>
          <w:tcPr>
            <w:tcW w:w="1880" w:type="dxa"/>
          </w:tcPr>
          <w:p w14:paraId="6FF73931"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Быстрый рост кальцитонина</w:t>
            </w:r>
          </w:p>
        </w:tc>
        <w:tc>
          <w:tcPr>
            <w:tcW w:w="1233" w:type="dxa"/>
          </w:tcPr>
          <w:p w14:paraId="7A5A091B"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Смерть</w:t>
            </w:r>
          </w:p>
        </w:tc>
      </w:tr>
      <w:tr w:rsidR="00246CB4" w14:paraId="1BAACC8D" w14:textId="77777777" w:rsidTr="00447D4B">
        <w:trPr>
          <w:trHeight w:val="322"/>
        </w:trPr>
        <w:tc>
          <w:tcPr>
            <w:tcW w:w="1128" w:type="dxa"/>
          </w:tcPr>
          <w:p w14:paraId="3496DD4B" w14:textId="77777777" w:rsidR="00246CB4" w:rsidRPr="00871CC0" w:rsidRDefault="00246CB4" w:rsidP="00447D4B">
            <w:pPr>
              <w:rPr>
                <w:rFonts w:ascii="Times New Roman" w:hAnsi="Times New Roman" w:cs="Times New Roman"/>
                <w:sz w:val="28"/>
                <w:szCs w:val="28"/>
                <w:lang w:val="en-US"/>
              </w:rPr>
            </w:pPr>
            <w:r>
              <w:rPr>
                <w:rFonts w:ascii="Times New Roman" w:hAnsi="Times New Roman" w:cs="Times New Roman"/>
                <w:sz w:val="28"/>
                <w:szCs w:val="28"/>
                <w:lang w:val="en-US"/>
              </w:rPr>
              <w:t>WT</w:t>
            </w:r>
          </w:p>
        </w:tc>
        <w:tc>
          <w:tcPr>
            <w:tcW w:w="1458" w:type="dxa"/>
          </w:tcPr>
          <w:p w14:paraId="1AB443EA"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121</w:t>
            </w:r>
          </w:p>
        </w:tc>
        <w:tc>
          <w:tcPr>
            <w:tcW w:w="1897" w:type="dxa"/>
          </w:tcPr>
          <w:p w14:paraId="109E2E4B"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21</w:t>
            </w:r>
          </w:p>
        </w:tc>
        <w:tc>
          <w:tcPr>
            <w:tcW w:w="1897" w:type="dxa"/>
          </w:tcPr>
          <w:p w14:paraId="1F62B543"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12</w:t>
            </w:r>
          </w:p>
        </w:tc>
        <w:tc>
          <w:tcPr>
            <w:tcW w:w="1880" w:type="dxa"/>
          </w:tcPr>
          <w:p w14:paraId="28D07FCB"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11</w:t>
            </w:r>
          </w:p>
        </w:tc>
        <w:tc>
          <w:tcPr>
            <w:tcW w:w="1233" w:type="dxa"/>
          </w:tcPr>
          <w:p w14:paraId="61C347EA"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5</w:t>
            </w:r>
          </w:p>
        </w:tc>
      </w:tr>
      <w:tr w:rsidR="00246CB4" w14:paraId="04019C4E" w14:textId="77777777" w:rsidTr="00447D4B">
        <w:trPr>
          <w:trHeight w:val="293"/>
        </w:trPr>
        <w:tc>
          <w:tcPr>
            <w:tcW w:w="1128" w:type="dxa"/>
          </w:tcPr>
          <w:p w14:paraId="02761052" w14:textId="77777777" w:rsidR="00246CB4" w:rsidRPr="00871CC0" w:rsidRDefault="00246CB4" w:rsidP="00447D4B">
            <w:pPr>
              <w:rPr>
                <w:rFonts w:ascii="Times New Roman" w:hAnsi="Times New Roman" w:cs="Times New Roman"/>
                <w:sz w:val="28"/>
                <w:szCs w:val="28"/>
                <w:lang w:val="en-US"/>
              </w:rPr>
            </w:pPr>
            <w:r>
              <w:rPr>
                <w:rFonts w:ascii="Times New Roman" w:hAnsi="Times New Roman" w:cs="Times New Roman"/>
                <w:sz w:val="28"/>
                <w:szCs w:val="28"/>
                <w:lang w:val="en-US"/>
              </w:rPr>
              <w:t>RET</w:t>
            </w:r>
          </w:p>
        </w:tc>
        <w:tc>
          <w:tcPr>
            <w:tcW w:w="1458" w:type="dxa"/>
          </w:tcPr>
          <w:p w14:paraId="065CDE21"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29</w:t>
            </w:r>
          </w:p>
        </w:tc>
        <w:tc>
          <w:tcPr>
            <w:tcW w:w="1897" w:type="dxa"/>
          </w:tcPr>
          <w:p w14:paraId="33C23E48"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3</w:t>
            </w:r>
          </w:p>
        </w:tc>
        <w:tc>
          <w:tcPr>
            <w:tcW w:w="1897" w:type="dxa"/>
          </w:tcPr>
          <w:p w14:paraId="3DDC13A8"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6</w:t>
            </w:r>
          </w:p>
        </w:tc>
        <w:tc>
          <w:tcPr>
            <w:tcW w:w="1880" w:type="dxa"/>
          </w:tcPr>
          <w:p w14:paraId="3EEAF7E0"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3</w:t>
            </w:r>
          </w:p>
        </w:tc>
        <w:tc>
          <w:tcPr>
            <w:tcW w:w="1233" w:type="dxa"/>
          </w:tcPr>
          <w:p w14:paraId="57341474"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1</w:t>
            </w:r>
          </w:p>
        </w:tc>
      </w:tr>
      <w:tr w:rsidR="00246CB4" w14:paraId="2A3376EE" w14:textId="77777777" w:rsidTr="00447D4B">
        <w:trPr>
          <w:trHeight w:val="293"/>
        </w:trPr>
        <w:tc>
          <w:tcPr>
            <w:tcW w:w="1128" w:type="dxa"/>
          </w:tcPr>
          <w:p w14:paraId="4CD620F8" w14:textId="77777777" w:rsidR="00246CB4" w:rsidRDefault="00246CB4" w:rsidP="00447D4B">
            <w:pPr>
              <w:rPr>
                <w:rFonts w:ascii="Times New Roman" w:hAnsi="Times New Roman" w:cs="Times New Roman"/>
                <w:sz w:val="28"/>
                <w:szCs w:val="28"/>
                <w:lang w:val="en-US"/>
              </w:rPr>
            </w:pPr>
            <w:r>
              <w:rPr>
                <w:rFonts w:ascii="Times New Roman" w:hAnsi="Times New Roman" w:cs="Times New Roman"/>
                <w:sz w:val="28"/>
                <w:szCs w:val="28"/>
              </w:rPr>
              <w:t>Хи</w:t>
            </w:r>
            <w:r>
              <w:rPr>
                <w:rFonts w:ascii="Times New Roman" w:hAnsi="Times New Roman" w:cs="Times New Roman"/>
                <w:sz w:val="28"/>
                <w:szCs w:val="28"/>
                <w:vertAlign w:val="superscript"/>
              </w:rPr>
              <w:t>2</w:t>
            </w:r>
          </w:p>
        </w:tc>
        <w:tc>
          <w:tcPr>
            <w:tcW w:w="1458" w:type="dxa"/>
          </w:tcPr>
          <w:p w14:paraId="4DBBB29E"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0,07</w:t>
            </w:r>
          </w:p>
        </w:tc>
        <w:tc>
          <w:tcPr>
            <w:tcW w:w="1897" w:type="dxa"/>
          </w:tcPr>
          <w:p w14:paraId="34C04026"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0,9</w:t>
            </w:r>
          </w:p>
        </w:tc>
        <w:tc>
          <w:tcPr>
            <w:tcW w:w="1897" w:type="dxa"/>
          </w:tcPr>
          <w:p w14:paraId="4E69C918"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2,26</w:t>
            </w:r>
          </w:p>
        </w:tc>
        <w:tc>
          <w:tcPr>
            <w:tcW w:w="1880" w:type="dxa"/>
          </w:tcPr>
          <w:p w14:paraId="4B548F03"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0,25</w:t>
            </w:r>
          </w:p>
        </w:tc>
        <w:tc>
          <w:tcPr>
            <w:tcW w:w="1233" w:type="dxa"/>
          </w:tcPr>
          <w:p w14:paraId="05FF3225"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0,038</w:t>
            </w:r>
          </w:p>
        </w:tc>
      </w:tr>
      <w:tr w:rsidR="00246CB4" w14:paraId="1A7B9E4E" w14:textId="77777777" w:rsidTr="00447D4B">
        <w:trPr>
          <w:trHeight w:val="293"/>
        </w:trPr>
        <w:tc>
          <w:tcPr>
            <w:tcW w:w="1128" w:type="dxa"/>
          </w:tcPr>
          <w:p w14:paraId="136658DD"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lang w:val="en-US"/>
              </w:rPr>
              <w:t>p</w:t>
            </w:r>
          </w:p>
        </w:tc>
        <w:tc>
          <w:tcPr>
            <w:tcW w:w="1458" w:type="dxa"/>
          </w:tcPr>
          <w:p w14:paraId="586BC5F0"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0,786</w:t>
            </w:r>
          </w:p>
        </w:tc>
        <w:tc>
          <w:tcPr>
            <w:tcW w:w="1897" w:type="dxa"/>
          </w:tcPr>
          <w:p w14:paraId="3995761C"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0,34</w:t>
            </w:r>
          </w:p>
        </w:tc>
        <w:tc>
          <w:tcPr>
            <w:tcW w:w="1897" w:type="dxa"/>
          </w:tcPr>
          <w:p w14:paraId="35E0D58E"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0,1</w:t>
            </w:r>
          </w:p>
        </w:tc>
        <w:tc>
          <w:tcPr>
            <w:tcW w:w="1880" w:type="dxa"/>
          </w:tcPr>
          <w:p w14:paraId="0D6D8A12"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0,8</w:t>
            </w:r>
          </w:p>
        </w:tc>
        <w:tc>
          <w:tcPr>
            <w:tcW w:w="1233" w:type="dxa"/>
          </w:tcPr>
          <w:p w14:paraId="3E569414" w14:textId="77777777" w:rsidR="00246CB4" w:rsidRDefault="00246CB4" w:rsidP="00447D4B">
            <w:pPr>
              <w:rPr>
                <w:rFonts w:ascii="Times New Roman" w:hAnsi="Times New Roman" w:cs="Times New Roman"/>
                <w:sz w:val="28"/>
                <w:szCs w:val="28"/>
              </w:rPr>
            </w:pPr>
            <w:r>
              <w:rPr>
                <w:rFonts w:ascii="Times New Roman" w:hAnsi="Times New Roman" w:cs="Times New Roman"/>
                <w:sz w:val="28"/>
                <w:szCs w:val="28"/>
              </w:rPr>
              <w:t>0,845</w:t>
            </w:r>
          </w:p>
        </w:tc>
      </w:tr>
    </w:tbl>
    <w:p w14:paraId="122ABA3F" w14:textId="52EA6981" w:rsidR="00F57B38" w:rsidRDefault="00F57B38" w:rsidP="009139A0">
      <w:pPr>
        <w:spacing w:line="360" w:lineRule="auto"/>
        <w:jc w:val="both"/>
        <w:rPr>
          <w:noProof/>
          <w:sz w:val="28"/>
          <w:szCs w:val="28"/>
        </w:rPr>
      </w:pPr>
    </w:p>
    <w:p w14:paraId="05DE525C" w14:textId="0334B116" w:rsidR="00246CB4" w:rsidRDefault="00246CB4" w:rsidP="009139A0">
      <w:pPr>
        <w:spacing w:line="360" w:lineRule="auto"/>
        <w:jc w:val="both"/>
        <w:rPr>
          <w:noProof/>
          <w:sz w:val="28"/>
          <w:szCs w:val="28"/>
        </w:rPr>
      </w:pPr>
      <w:r>
        <w:rPr>
          <w:noProof/>
          <w:sz w:val="28"/>
          <w:szCs w:val="28"/>
        </w:rPr>
        <w:t>Процентное соотношение пациентов в разных группах исхода заболевания показанно в таблице 2.9</w:t>
      </w:r>
    </w:p>
    <w:p w14:paraId="177A4368" w14:textId="487898EB" w:rsidR="00246CB4" w:rsidRDefault="00246CB4" w:rsidP="009139A0">
      <w:pPr>
        <w:spacing w:line="360" w:lineRule="auto"/>
        <w:jc w:val="both"/>
        <w:rPr>
          <w:noProof/>
          <w:sz w:val="28"/>
          <w:szCs w:val="28"/>
        </w:rPr>
      </w:pPr>
    </w:p>
    <w:tbl>
      <w:tblPr>
        <w:tblStyle w:val="a3"/>
        <w:tblpPr w:leftFromText="180" w:rightFromText="180" w:vertAnchor="text" w:horzAnchor="margin" w:tblpY="451"/>
        <w:tblW w:w="9493" w:type="dxa"/>
        <w:tblLook w:val="04A0" w:firstRow="1" w:lastRow="0" w:firstColumn="1" w:lastColumn="0" w:noHBand="0" w:noVBand="1"/>
      </w:tblPr>
      <w:tblGrid>
        <w:gridCol w:w="1128"/>
        <w:gridCol w:w="1458"/>
        <w:gridCol w:w="1897"/>
        <w:gridCol w:w="1897"/>
        <w:gridCol w:w="1880"/>
        <w:gridCol w:w="1233"/>
      </w:tblGrid>
      <w:tr w:rsidR="00B51DD9" w14:paraId="6081B9A9" w14:textId="77777777" w:rsidTr="00B51DD9">
        <w:trPr>
          <w:trHeight w:val="1875"/>
        </w:trPr>
        <w:tc>
          <w:tcPr>
            <w:tcW w:w="1128" w:type="dxa"/>
          </w:tcPr>
          <w:p w14:paraId="22EEEF7A" w14:textId="77777777" w:rsidR="00B51DD9" w:rsidRDefault="00B51DD9" w:rsidP="00B51DD9">
            <w:pPr>
              <w:rPr>
                <w:rFonts w:ascii="Times New Roman" w:hAnsi="Times New Roman" w:cs="Times New Roman"/>
                <w:sz w:val="28"/>
                <w:szCs w:val="28"/>
              </w:rPr>
            </w:pPr>
          </w:p>
        </w:tc>
        <w:tc>
          <w:tcPr>
            <w:tcW w:w="1458" w:type="dxa"/>
          </w:tcPr>
          <w:p w14:paraId="4365EE31" w14:textId="77777777" w:rsidR="00B51DD9" w:rsidRPr="00871CC0" w:rsidRDefault="00B51DD9" w:rsidP="00B51DD9">
            <w:pPr>
              <w:rPr>
                <w:rFonts w:ascii="Times New Roman" w:hAnsi="Times New Roman" w:cs="Times New Roman"/>
                <w:sz w:val="28"/>
                <w:szCs w:val="28"/>
              </w:rPr>
            </w:pPr>
            <w:r>
              <w:rPr>
                <w:rFonts w:ascii="Times New Roman" w:hAnsi="Times New Roman" w:cs="Times New Roman"/>
                <w:sz w:val="28"/>
                <w:szCs w:val="28"/>
              </w:rPr>
              <w:t>Ремиссия</w:t>
            </w:r>
          </w:p>
        </w:tc>
        <w:tc>
          <w:tcPr>
            <w:tcW w:w="1897" w:type="dxa"/>
          </w:tcPr>
          <w:p w14:paraId="386FA398"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Стаб. уровень кальцитонина</w:t>
            </w:r>
          </w:p>
        </w:tc>
        <w:tc>
          <w:tcPr>
            <w:tcW w:w="1897" w:type="dxa"/>
          </w:tcPr>
          <w:p w14:paraId="2DE3D73C"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Рост кальцитонина с периодом удвоения более двух лет</w:t>
            </w:r>
          </w:p>
        </w:tc>
        <w:tc>
          <w:tcPr>
            <w:tcW w:w="1880" w:type="dxa"/>
          </w:tcPr>
          <w:p w14:paraId="18C4EA8C"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Быстрый рост кальцитонина</w:t>
            </w:r>
          </w:p>
        </w:tc>
        <w:tc>
          <w:tcPr>
            <w:tcW w:w="1233" w:type="dxa"/>
          </w:tcPr>
          <w:p w14:paraId="5566B6DA"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Смерть</w:t>
            </w:r>
          </w:p>
        </w:tc>
      </w:tr>
      <w:tr w:rsidR="00B51DD9" w14:paraId="4E812A4A" w14:textId="77777777" w:rsidTr="00B51DD9">
        <w:trPr>
          <w:trHeight w:val="322"/>
        </w:trPr>
        <w:tc>
          <w:tcPr>
            <w:tcW w:w="1128" w:type="dxa"/>
          </w:tcPr>
          <w:p w14:paraId="6BBC7AE2" w14:textId="77777777" w:rsidR="00B51DD9" w:rsidRPr="00871CC0" w:rsidRDefault="00B51DD9" w:rsidP="00B51DD9">
            <w:pPr>
              <w:rPr>
                <w:rFonts w:ascii="Times New Roman" w:hAnsi="Times New Roman" w:cs="Times New Roman"/>
                <w:sz w:val="28"/>
                <w:szCs w:val="28"/>
                <w:lang w:val="en-US"/>
              </w:rPr>
            </w:pPr>
            <w:r>
              <w:rPr>
                <w:rFonts w:ascii="Times New Roman" w:hAnsi="Times New Roman" w:cs="Times New Roman"/>
                <w:sz w:val="28"/>
                <w:szCs w:val="28"/>
                <w:lang w:val="en-US"/>
              </w:rPr>
              <w:t>WT</w:t>
            </w:r>
          </w:p>
        </w:tc>
        <w:tc>
          <w:tcPr>
            <w:tcW w:w="1458" w:type="dxa"/>
          </w:tcPr>
          <w:p w14:paraId="38C31EEC"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71,17%</w:t>
            </w:r>
          </w:p>
        </w:tc>
        <w:tc>
          <w:tcPr>
            <w:tcW w:w="1897" w:type="dxa"/>
          </w:tcPr>
          <w:p w14:paraId="30861016"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12,35%</w:t>
            </w:r>
          </w:p>
        </w:tc>
        <w:tc>
          <w:tcPr>
            <w:tcW w:w="1897" w:type="dxa"/>
          </w:tcPr>
          <w:p w14:paraId="2223F95B"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7%</w:t>
            </w:r>
          </w:p>
        </w:tc>
        <w:tc>
          <w:tcPr>
            <w:tcW w:w="1880" w:type="dxa"/>
          </w:tcPr>
          <w:p w14:paraId="5921D7F9"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6,4%</w:t>
            </w:r>
          </w:p>
        </w:tc>
        <w:tc>
          <w:tcPr>
            <w:tcW w:w="1233" w:type="dxa"/>
          </w:tcPr>
          <w:p w14:paraId="026742FA"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2,9%</w:t>
            </w:r>
          </w:p>
        </w:tc>
      </w:tr>
      <w:tr w:rsidR="00B51DD9" w14:paraId="3E43E1C4" w14:textId="77777777" w:rsidTr="00B51DD9">
        <w:trPr>
          <w:trHeight w:val="293"/>
        </w:trPr>
        <w:tc>
          <w:tcPr>
            <w:tcW w:w="1128" w:type="dxa"/>
          </w:tcPr>
          <w:p w14:paraId="4C403EF0" w14:textId="77777777" w:rsidR="00B51DD9" w:rsidRPr="00871CC0" w:rsidRDefault="00B51DD9" w:rsidP="00B51DD9">
            <w:pPr>
              <w:rPr>
                <w:rFonts w:ascii="Times New Roman" w:hAnsi="Times New Roman" w:cs="Times New Roman"/>
                <w:sz w:val="28"/>
                <w:szCs w:val="28"/>
                <w:lang w:val="en-US"/>
              </w:rPr>
            </w:pPr>
            <w:r>
              <w:rPr>
                <w:rFonts w:ascii="Times New Roman" w:hAnsi="Times New Roman" w:cs="Times New Roman"/>
                <w:sz w:val="28"/>
                <w:szCs w:val="28"/>
                <w:lang w:val="en-US"/>
              </w:rPr>
              <w:t>RET</w:t>
            </w:r>
          </w:p>
        </w:tc>
        <w:tc>
          <w:tcPr>
            <w:tcW w:w="1458" w:type="dxa"/>
          </w:tcPr>
          <w:p w14:paraId="57BB56CD"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69%</w:t>
            </w:r>
          </w:p>
        </w:tc>
        <w:tc>
          <w:tcPr>
            <w:tcW w:w="1897" w:type="dxa"/>
          </w:tcPr>
          <w:p w14:paraId="48FDD99A"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7,14%</w:t>
            </w:r>
          </w:p>
        </w:tc>
        <w:tc>
          <w:tcPr>
            <w:tcW w:w="1897" w:type="dxa"/>
          </w:tcPr>
          <w:p w14:paraId="4D91CEB3"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14,2%</w:t>
            </w:r>
          </w:p>
        </w:tc>
        <w:tc>
          <w:tcPr>
            <w:tcW w:w="1880" w:type="dxa"/>
          </w:tcPr>
          <w:p w14:paraId="6DB37620"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7,14%</w:t>
            </w:r>
          </w:p>
        </w:tc>
        <w:tc>
          <w:tcPr>
            <w:tcW w:w="1233" w:type="dxa"/>
          </w:tcPr>
          <w:p w14:paraId="18C7A64F" w14:textId="77777777" w:rsidR="00B51DD9" w:rsidRDefault="00B51DD9" w:rsidP="00B51DD9">
            <w:pPr>
              <w:rPr>
                <w:rFonts w:ascii="Times New Roman" w:hAnsi="Times New Roman" w:cs="Times New Roman"/>
                <w:sz w:val="28"/>
                <w:szCs w:val="28"/>
              </w:rPr>
            </w:pPr>
            <w:r>
              <w:rPr>
                <w:rFonts w:ascii="Times New Roman" w:hAnsi="Times New Roman" w:cs="Times New Roman"/>
                <w:sz w:val="28"/>
                <w:szCs w:val="28"/>
              </w:rPr>
              <w:t>2,3%</w:t>
            </w:r>
          </w:p>
        </w:tc>
      </w:tr>
    </w:tbl>
    <w:p w14:paraId="0CBF282F" w14:textId="4D38F777" w:rsidR="00246CB4" w:rsidRDefault="00B51DD9" w:rsidP="00246CB4">
      <w:pPr>
        <w:jc w:val="center"/>
        <w:rPr>
          <w:rFonts w:ascii="Times New Roman" w:hAnsi="Times New Roman" w:cs="Times New Roman"/>
          <w:sz w:val="28"/>
          <w:szCs w:val="28"/>
        </w:rPr>
      </w:pPr>
      <w:r>
        <w:rPr>
          <w:rFonts w:ascii="Times New Roman" w:hAnsi="Times New Roman" w:cs="Times New Roman"/>
          <w:sz w:val="28"/>
          <w:szCs w:val="28"/>
        </w:rPr>
        <w:t xml:space="preserve"> </w:t>
      </w:r>
      <w:r w:rsidR="00246CB4">
        <w:rPr>
          <w:rFonts w:ascii="Times New Roman" w:hAnsi="Times New Roman" w:cs="Times New Roman"/>
          <w:sz w:val="28"/>
          <w:szCs w:val="28"/>
        </w:rPr>
        <w:t>Таблица 2.9 Соотношение пациентов в группах исхода</w:t>
      </w:r>
    </w:p>
    <w:bookmarkEnd w:id="2"/>
    <w:p w14:paraId="6A3EFDF3" w14:textId="5E5A5A85" w:rsidR="00E775F5" w:rsidRDefault="00B51DD9" w:rsidP="009139A0">
      <w:pPr>
        <w:spacing w:line="360" w:lineRule="auto"/>
        <w:jc w:val="both"/>
        <w:rPr>
          <w:noProof/>
          <w:sz w:val="28"/>
          <w:szCs w:val="28"/>
        </w:rPr>
      </w:pPr>
      <w:r>
        <w:rPr>
          <w:noProof/>
          <w:sz w:val="28"/>
          <w:szCs w:val="28"/>
        </w:rPr>
        <w:t xml:space="preserve">Среди факторов, имющих прогностическое значение и влияющих на исход заболевания можно выделить такие как размер доминантного узла, базальный уровень кальцитонина, наличие метастазов в боковые лимфоузлы шеи. Зависимость исхода от </w:t>
      </w:r>
      <w:r w:rsidR="0036202E">
        <w:rPr>
          <w:noProof/>
          <w:sz w:val="28"/>
          <w:szCs w:val="28"/>
        </w:rPr>
        <w:t>размера доминантного узла показана на рисунке 2.3.</w:t>
      </w:r>
    </w:p>
    <w:p w14:paraId="0C213F50" w14:textId="29FD4CD0" w:rsidR="0036202E" w:rsidRDefault="0036202E" w:rsidP="0036202E">
      <w:pPr>
        <w:spacing w:line="360" w:lineRule="auto"/>
        <w:jc w:val="center"/>
        <w:rPr>
          <w:noProof/>
          <w:sz w:val="28"/>
          <w:szCs w:val="28"/>
        </w:rPr>
      </w:pPr>
      <w:r>
        <w:rPr>
          <w:noProof/>
          <w:sz w:val="28"/>
          <w:szCs w:val="28"/>
        </w:rPr>
        <w:t>Рисунок 2.3 зависимость исхода заболевания от размера доминантного узла</w:t>
      </w:r>
    </w:p>
    <w:p w14:paraId="5F49C146" w14:textId="2E76F2F9" w:rsidR="0036202E" w:rsidRDefault="0036202E" w:rsidP="00362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2E88FA" wp14:editId="3CA559E8">
            <wp:extent cx="5940425" cy="475615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756150"/>
                    </a:xfrm>
                    <a:prstGeom prst="rect">
                      <a:avLst/>
                    </a:prstGeom>
                    <a:noFill/>
                    <a:ln>
                      <a:noFill/>
                    </a:ln>
                  </pic:spPr>
                </pic:pic>
              </a:graphicData>
            </a:graphic>
          </wp:inline>
        </w:drawing>
      </w:r>
    </w:p>
    <w:p w14:paraId="2B888E32" w14:textId="77777777" w:rsidR="0036202E" w:rsidRDefault="0036202E" w:rsidP="0036202E">
      <w:pPr>
        <w:autoSpaceDE w:val="0"/>
        <w:autoSpaceDN w:val="0"/>
        <w:adjustRightInd w:val="0"/>
        <w:spacing w:after="0" w:line="240" w:lineRule="auto"/>
        <w:rPr>
          <w:rFonts w:ascii="Times New Roman" w:hAnsi="Times New Roman" w:cs="Times New Roman"/>
          <w:sz w:val="24"/>
          <w:szCs w:val="24"/>
        </w:rPr>
      </w:pPr>
    </w:p>
    <w:p w14:paraId="30C3DFFE" w14:textId="77777777" w:rsidR="0036202E" w:rsidRDefault="0036202E" w:rsidP="0036202E">
      <w:pPr>
        <w:autoSpaceDE w:val="0"/>
        <w:autoSpaceDN w:val="0"/>
        <w:adjustRightInd w:val="0"/>
        <w:spacing w:after="0" w:line="400" w:lineRule="atLeast"/>
        <w:rPr>
          <w:rFonts w:ascii="Times New Roman" w:hAnsi="Times New Roman" w:cs="Times New Roman"/>
          <w:sz w:val="24"/>
          <w:szCs w:val="24"/>
        </w:rPr>
      </w:pPr>
    </w:p>
    <w:p w14:paraId="7C74BC3F" w14:textId="1140E178" w:rsidR="00E775F5" w:rsidRDefault="0036202E" w:rsidP="009139A0">
      <w:pPr>
        <w:spacing w:line="360" w:lineRule="auto"/>
        <w:jc w:val="both"/>
        <w:rPr>
          <w:noProof/>
          <w:sz w:val="28"/>
          <w:szCs w:val="28"/>
        </w:rPr>
      </w:pPr>
      <w:r>
        <w:rPr>
          <w:noProof/>
          <w:sz w:val="28"/>
          <w:szCs w:val="28"/>
        </w:rPr>
        <w:t xml:space="preserve">На рисунке 2.4 отображается </w:t>
      </w:r>
      <w:r w:rsidR="0004401E">
        <w:rPr>
          <w:noProof/>
          <w:sz w:val="28"/>
          <w:szCs w:val="28"/>
        </w:rPr>
        <w:t>общее распределение пациентов в исследуемой когорте пациентов из 346 человек</w:t>
      </w:r>
      <w:r w:rsidR="005C725E">
        <w:rPr>
          <w:noProof/>
          <w:sz w:val="28"/>
          <w:szCs w:val="28"/>
        </w:rPr>
        <w:t xml:space="preserve"> по размеру доминантного узла</w:t>
      </w:r>
      <w:r w:rsidR="0004401E">
        <w:rPr>
          <w:noProof/>
          <w:sz w:val="28"/>
          <w:szCs w:val="28"/>
        </w:rPr>
        <w:t>.</w:t>
      </w:r>
    </w:p>
    <w:p w14:paraId="03A79B77" w14:textId="5851A514" w:rsidR="0004401E" w:rsidRPr="0004401E" w:rsidRDefault="0004401E" w:rsidP="0004401E">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2.4. Общее распределение пациентов по размеру доминантного узла</w:t>
      </w:r>
    </w:p>
    <w:p w14:paraId="7100D211" w14:textId="656EE47C" w:rsidR="00E775F5" w:rsidRDefault="0004401E" w:rsidP="009139A0">
      <w:pPr>
        <w:spacing w:line="360" w:lineRule="auto"/>
        <w:jc w:val="both"/>
        <w:rPr>
          <w:noProof/>
          <w:sz w:val="28"/>
          <w:szCs w:val="28"/>
        </w:rPr>
      </w:pPr>
      <w:r>
        <w:rPr>
          <w:rFonts w:ascii="Times New Roman" w:hAnsi="Times New Roman" w:cs="Times New Roman"/>
          <w:noProof/>
          <w:sz w:val="24"/>
          <w:szCs w:val="24"/>
        </w:rPr>
        <w:drawing>
          <wp:inline distT="0" distB="0" distL="0" distR="0" wp14:anchorId="6A405DDC" wp14:editId="5318580F">
            <wp:extent cx="5960253" cy="477202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906" cy="4785358"/>
                    </a:xfrm>
                    <a:prstGeom prst="rect">
                      <a:avLst/>
                    </a:prstGeom>
                    <a:noFill/>
                    <a:ln>
                      <a:noFill/>
                    </a:ln>
                  </pic:spPr>
                </pic:pic>
              </a:graphicData>
            </a:graphic>
          </wp:inline>
        </w:drawing>
      </w:r>
    </w:p>
    <w:p w14:paraId="423DAD4B" w14:textId="6E731242" w:rsidR="00E775F5" w:rsidRDefault="00E3671C" w:rsidP="009139A0">
      <w:pPr>
        <w:spacing w:line="360" w:lineRule="auto"/>
        <w:jc w:val="both"/>
        <w:rPr>
          <w:noProof/>
          <w:sz w:val="28"/>
          <w:szCs w:val="28"/>
        </w:rPr>
      </w:pPr>
      <w:r>
        <w:rPr>
          <w:noProof/>
          <w:sz w:val="28"/>
          <w:szCs w:val="28"/>
        </w:rPr>
        <w:t>Ниже, на рисунке 2.5 показана зависимость между группой исхода и базальным уровнем кальцитонина. Между данными параметрами наблюдается практически линейная зависимость. Уровень кальцитонина до операции является одним из наиболе значимых факторов определяющих прогноз пациента.</w:t>
      </w:r>
    </w:p>
    <w:p w14:paraId="4F9062CA" w14:textId="712AC01D" w:rsidR="00E3671C" w:rsidRDefault="00E3671C" w:rsidP="009139A0">
      <w:pPr>
        <w:spacing w:line="360" w:lineRule="auto"/>
        <w:jc w:val="both"/>
        <w:rPr>
          <w:noProof/>
          <w:sz w:val="28"/>
          <w:szCs w:val="28"/>
        </w:rPr>
      </w:pPr>
    </w:p>
    <w:p w14:paraId="1019057C" w14:textId="2AF41DB8" w:rsidR="00E3671C" w:rsidRDefault="00E3671C" w:rsidP="009139A0">
      <w:pPr>
        <w:spacing w:line="360" w:lineRule="auto"/>
        <w:jc w:val="both"/>
        <w:rPr>
          <w:noProof/>
          <w:sz w:val="28"/>
          <w:szCs w:val="28"/>
        </w:rPr>
      </w:pPr>
    </w:p>
    <w:p w14:paraId="7224F41B" w14:textId="0EB5AEF7" w:rsidR="00E3671C" w:rsidRDefault="00E3671C" w:rsidP="009139A0">
      <w:pPr>
        <w:spacing w:line="360" w:lineRule="auto"/>
        <w:jc w:val="both"/>
        <w:rPr>
          <w:noProof/>
          <w:sz w:val="28"/>
          <w:szCs w:val="28"/>
        </w:rPr>
      </w:pPr>
    </w:p>
    <w:p w14:paraId="6B05F6A5" w14:textId="51C6D3F1" w:rsidR="00E3671C" w:rsidRPr="00E3671C" w:rsidRDefault="00E3671C" w:rsidP="00E3671C">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Рисунок 2.5 </w:t>
      </w:r>
      <w:r w:rsidR="00B05515">
        <w:rPr>
          <w:rFonts w:ascii="Times New Roman" w:hAnsi="Times New Roman" w:cs="Times New Roman"/>
          <w:noProof/>
          <w:sz w:val="28"/>
          <w:szCs w:val="28"/>
        </w:rPr>
        <w:t>В</w:t>
      </w:r>
      <w:r w:rsidR="005C725E">
        <w:rPr>
          <w:rFonts w:ascii="Times New Roman" w:hAnsi="Times New Roman" w:cs="Times New Roman"/>
          <w:noProof/>
          <w:sz w:val="28"/>
          <w:szCs w:val="28"/>
        </w:rPr>
        <w:t>лияние базального кальцитонина на исход</w:t>
      </w:r>
    </w:p>
    <w:p w14:paraId="73E9CE28" w14:textId="3923D288" w:rsidR="005C725E" w:rsidRDefault="005C725E" w:rsidP="005C7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5A7FE8" wp14:editId="7647D084">
            <wp:extent cx="4724400" cy="3782549"/>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0690" cy="3795592"/>
                    </a:xfrm>
                    <a:prstGeom prst="rect">
                      <a:avLst/>
                    </a:prstGeom>
                    <a:noFill/>
                    <a:ln>
                      <a:noFill/>
                    </a:ln>
                  </pic:spPr>
                </pic:pic>
              </a:graphicData>
            </a:graphic>
          </wp:inline>
        </w:drawing>
      </w:r>
    </w:p>
    <w:p w14:paraId="6B96BD6E" w14:textId="77777777" w:rsidR="005C725E" w:rsidRDefault="005C725E" w:rsidP="005C725E">
      <w:pPr>
        <w:autoSpaceDE w:val="0"/>
        <w:autoSpaceDN w:val="0"/>
        <w:adjustRightInd w:val="0"/>
        <w:spacing w:after="0" w:line="240" w:lineRule="auto"/>
        <w:rPr>
          <w:rFonts w:ascii="Times New Roman" w:hAnsi="Times New Roman" w:cs="Times New Roman"/>
          <w:sz w:val="24"/>
          <w:szCs w:val="24"/>
        </w:rPr>
      </w:pPr>
    </w:p>
    <w:p w14:paraId="10EE0A31" w14:textId="2ABC0431" w:rsidR="005C725E" w:rsidRDefault="00B05515" w:rsidP="005C725E">
      <w:pPr>
        <w:autoSpaceDE w:val="0"/>
        <w:autoSpaceDN w:val="0"/>
        <w:adjustRightInd w:val="0"/>
        <w:spacing w:after="0" w:line="400" w:lineRule="atLeast"/>
        <w:rPr>
          <w:rFonts w:ascii="Times New Roman" w:hAnsi="Times New Roman" w:cs="Times New Roman"/>
          <w:sz w:val="28"/>
          <w:szCs w:val="28"/>
        </w:rPr>
      </w:pPr>
      <w:r w:rsidRPr="00B05515">
        <w:rPr>
          <w:rFonts w:ascii="Times New Roman" w:hAnsi="Times New Roman" w:cs="Times New Roman"/>
          <w:sz w:val="28"/>
          <w:szCs w:val="28"/>
        </w:rPr>
        <w:t>Н</w:t>
      </w:r>
      <w:r>
        <w:rPr>
          <w:rFonts w:ascii="Times New Roman" w:hAnsi="Times New Roman" w:cs="Times New Roman"/>
          <w:sz w:val="28"/>
          <w:szCs w:val="28"/>
        </w:rPr>
        <w:t>а рисунке 2.6 отображено общее распределение пациентов по уровню кальцитонина до операции в общей группе пациентов из 346 человек.</w:t>
      </w:r>
    </w:p>
    <w:p w14:paraId="09F99190" w14:textId="77777777" w:rsidR="00B05515" w:rsidRDefault="00B05515" w:rsidP="005C725E">
      <w:pPr>
        <w:autoSpaceDE w:val="0"/>
        <w:autoSpaceDN w:val="0"/>
        <w:adjustRightInd w:val="0"/>
        <w:spacing w:after="0" w:line="400" w:lineRule="atLeast"/>
        <w:rPr>
          <w:rFonts w:ascii="Times New Roman" w:hAnsi="Times New Roman" w:cs="Times New Roman"/>
          <w:sz w:val="28"/>
          <w:szCs w:val="28"/>
        </w:rPr>
      </w:pPr>
    </w:p>
    <w:p w14:paraId="2CE80EB3" w14:textId="2734C307" w:rsidR="00B05515" w:rsidRPr="00E3671C" w:rsidRDefault="00B05515" w:rsidP="00B05515">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2.6 Общее распределение по базальному уровню кальцитонина</w:t>
      </w:r>
    </w:p>
    <w:p w14:paraId="2B270CDE" w14:textId="0F92AB09" w:rsidR="00B05515" w:rsidRPr="00B05515" w:rsidRDefault="00B05515" w:rsidP="00B05515">
      <w:pPr>
        <w:autoSpaceDE w:val="0"/>
        <w:autoSpaceDN w:val="0"/>
        <w:adjustRightInd w:val="0"/>
        <w:spacing w:after="0" w:line="400" w:lineRule="atLeast"/>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14:anchorId="08B82036" wp14:editId="3F1EB3A2">
            <wp:extent cx="4334168" cy="36290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9160" cy="3691816"/>
                    </a:xfrm>
                    <a:prstGeom prst="rect">
                      <a:avLst/>
                    </a:prstGeom>
                    <a:noFill/>
                    <a:ln>
                      <a:noFill/>
                    </a:ln>
                  </pic:spPr>
                </pic:pic>
              </a:graphicData>
            </a:graphic>
          </wp:inline>
        </w:drawing>
      </w:r>
    </w:p>
    <w:p w14:paraId="0685773D" w14:textId="4117B3D5" w:rsidR="000F047B" w:rsidRDefault="000F047B" w:rsidP="000F047B">
      <w:pPr>
        <w:spacing w:line="360" w:lineRule="auto"/>
        <w:rPr>
          <w:rFonts w:ascii="Times New Roman" w:hAnsi="Times New Roman" w:cs="Times New Roman"/>
          <w:noProof/>
          <w:sz w:val="28"/>
          <w:szCs w:val="28"/>
        </w:rPr>
      </w:pPr>
      <w:r>
        <w:rPr>
          <w:rFonts w:ascii="Times New Roman" w:hAnsi="Times New Roman" w:cs="Times New Roman"/>
          <w:noProof/>
          <w:sz w:val="28"/>
          <w:szCs w:val="28"/>
        </w:rPr>
        <w:lastRenderedPageBreak/>
        <w:t>При исследовании  вличния послеоперационного уровня кальцитонина на исход заболевания линейной зависимости не наблюдается.</w:t>
      </w:r>
    </w:p>
    <w:p w14:paraId="5A1E97DE" w14:textId="352278EA" w:rsidR="000F047B" w:rsidRPr="00E3671C" w:rsidRDefault="000F047B" w:rsidP="000F047B">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2.7 Влияние послеоперационного кальцитонина на исход</w:t>
      </w:r>
    </w:p>
    <w:p w14:paraId="62E0177A" w14:textId="65662FF9" w:rsidR="000F047B" w:rsidRDefault="000F047B" w:rsidP="000F04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DF3AD0" wp14:editId="2F0EEE33">
            <wp:extent cx="5721985" cy="5038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557" cy="5048035"/>
                    </a:xfrm>
                    <a:prstGeom prst="rect">
                      <a:avLst/>
                    </a:prstGeom>
                    <a:noFill/>
                    <a:ln>
                      <a:noFill/>
                    </a:ln>
                  </pic:spPr>
                </pic:pic>
              </a:graphicData>
            </a:graphic>
          </wp:inline>
        </w:drawing>
      </w:r>
    </w:p>
    <w:p w14:paraId="49F17BF6" w14:textId="77777777" w:rsidR="000F047B" w:rsidRDefault="000F047B" w:rsidP="000F047B">
      <w:pPr>
        <w:autoSpaceDE w:val="0"/>
        <w:autoSpaceDN w:val="0"/>
        <w:adjustRightInd w:val="0"/>
        <w:spacing w:after="0" w:line="240" w:lineRule="auto"/>
        <w:rPr>
          <w:rFonts w:ascii="Times New Roman" w:hAnsi="Times New Roman" w:cs="Times New Roman"/>
          <w:sz w:val="24"/>
          <w:szCs w:val="24"/>
        </w:rPr>
      </w:pPr>
    </w:p>
    <w:p w14:paraId="502D61A3" w14:textId="77777777" w:rsidR="000F047B" w:rsidRDefault="000F047B" w:rsidP="000F047B">
      <w:pPr>
        <w:autoSpaceDE w:val="0"/>
        <w:autoSpaceDN w:val="0"/>
        <w:adjustRightInd w:val="0"/>
        <w:spacing w:after="0" w:line="400" w:lineRule="atLeast"/>
        <w:rPr>
          <w:rFonts w:ascii="Times New Roman" w:hAnsi="Times New Roman" w:cs="Times New Roman"/>
          <w:sz w:val="24"/>
          <w:szCs w:val="24"/>
        </w:rPr>
      </w:pPr>
    </w:p>
    <w:p w14:paraId="21F089BB" w14:textId="6AD4F8B6" w:rsidR="00E775F5" w:rsidRDefault="004A37A0" w:rsidP="009139A0">
      <w:pPr>
        <w:spacing w:line="360" w:lineRule="auto"/>
        <w:jc w:val="both"/>
        <w:rPr>
          <w:noProof/>
          <w:sz w:val="28"/>
          <w:szCs w:val="28"/>
        </w:rPr>
      </w:pPr>
      <w:r>
        <w:rPr>
          <w:noProof/>
          <w:sz w:val="28"/>
          <w:szCs w:val="28"/>
        </w:rPr>
        <w:t>В проводимом исследовании практически не наблюдалось взаимосвязи между возрастом пациента и исходом заболевания. На рисунке 2.8 отображен возрастной состав пациентов по группам исхода. Средний возраст умерших пациентов был несколько выше.</w:t>
      </w:r>
    </w:p>
    <w:p w14:paraId="07564453" w14:textId="1387CE57" w:rsidR="00CB3720" w:rsidRDefault="00CB3720" w:rsidP="009139A0">
      <w:pPr>
        <w:spacing w:line="360" w:lineRule="auto"/>
        <w:jc w:val="both"/>
        <w:rPr>
          <w:noProof/>
          <w:sz w:val="28"/>
          <w:szCs w:val="28"/>
        </w:rPr>
      </w:pPr>
    </w:p>
    <w:p w14:paraId="5C039D32" w14:textId="11B26CD8" w:rsidR="00CB3720" w:rsidRDefault="00CB3720" w:rsidP="009139A0">
      <w:pPr>
        <w:spacing w:line="360" w:lineRule="auto"/>
        <w:jc w:val="both"/>
        <w:rPr>
          <w:noProof/>
          <w:sz w:val="28"/>
          <w:szCs w:val="28"/>
        </w:rPr>
      </w:pPr>
    </w:p>
    <w:p w14:paraId="0506609B" w14:textId="60B4CE62" w:rsidR="00CB3720" w:rsidRDefault="00CB3720" w:rsidP="009139A0">
      <w:pPr>
        <w:spacing w:line="360" w:lineRule="auto"/>
        <w:jc w:val="both"/>
        <w:rPr>
          <w:noProof/>
          <w:sz w:val="28"/>
          <w:szCs w:val="28"/>
        </w:rPr>
      </w:pPr>
    </w:p>
    <w:p w14:paraId="135E68A9" w14:textId="6067D181" w:rsidR="00CB3720" w:rsidRPr="00911E04" w:rsidRDefault="00CB3720" w:rsidP="00CB3720">
      <w:pPr>
        <w:spacing w:line="360" w:lineRule="auto"/>
        <w:jc w:val="center"/>
        <w:rPr>
          <w:rFonts w:ascii="Times New Roman" w:hAnsi="Times New Roman" w:cs="Times New Roman"/>
          <w:noProof/>
          <w:sz w:val="28"/>
          <w:szCs w:val="28"/>
        </w:rPr>
      </w:pPr>
      <w:r w:rsidRPr="00911E04">
        <w:rPr>
          <w:rFonts w:ascii="Times New Roman" w:hAnsi="Times New Roman" w:cs="Times New Roman"/>
          <w:noProof/>
          <w:sz w:val="28"/>
          <w:szCs w:val="28"/>
        </w:rPr>
        <w:lastRenderedPageBreak/>
        <w:t>Рисунок 2.8 Распределние пациентов по возрастным группам</w:t>
      </w:r>
    </w:p>
    <w:p w14:paraId="3ED37003" w14:textId="2AB8C5F5" w:rsidR="00CB3720" w:rsidRDefault="00CB3720" w:rsidP="00CB37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361BC0" wp14:editId="3E890CB1">
            <wp:extent cx="5940425" cy="4756150"/>
            <wp:effectExtent l="0" t="0" r="317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756150"/>
                    </a:xfrm>
                    <a:prstGeom prst="rect">
                      <a:avLst/>
                    </a:prstGeom>
                    <a:noFill/>
                    <a:ln>
                      <a:noFill/>
                    </a:ln>
                  </pic:spPr>
                </pic:pic>
              </a:graphicData>
            </a:graphic>
          </wp:inline>
        </w:drawing>
      </w:r>
    </w:p>
    <w:p w14:paraId="507D0612" w14:textId="77777777" w:rsidR="00CB3720" w:rsidRDefault="00CB3720" w:rsidP="00CB3720">
      <w:pPr>
        <w:autoSpaceDE w:val="0"/>
        <w:autoSpaceDN w:val="0"/>
        <w:adjustRightInd w:val="0"/>
        <w:spacing w:after="0" w:line="240" w:lineRule="auto"/>
        <w:rPr>
          <w:rFonts w:ascii="Times New Roman" w:hAnsi="Times New Roman" w:cs="Times New Roman"/>
          <w:sz w:val="24"/>
          <w:szCs w:val="24"/>
        </w:rPr>
      </w:pPr>
    </w:p>
    <w:p w14:paraId="675EB85A" w14:textId="77777777" w:rsidR="00CB3720" w:rsidRDefault="00CB3720" w:rsidP="00CB3720">
      <w:pPr>
        <w:autoSpaceDE w:val="0"/>
        <w:autoSpaceDN w:val="0"/>
        <w:adjustRightInd w:val="0"/>
        <w:spacing w:after="0" w:line="400" w:lineRule="atLeast"/>
        <w:rPr>
          <w:rFonts w:ascii="Times New Roman" w:hAnsi="Times New Roman" w:cs="Times New Roman"/>
          <w:sz w:val="24"/>
          <w:szCs w:val="24"/>
        </w:rPr>
      </w:pPr>
    </w:p>
    <w:p w14:paraId="78162007" w14:textId="0D8F11D0" w:rsidR="00E775F5" w:rsidRDefault="00E775F5" w:rsidP="009139A0">
      <w:pPr>
        <w:spacing w:line="360" w:lineRule="auto"/>
        <w:jc w:val="both"/>
        <w:rPr>
          <w:noProof/>
          <w:sz w:val="28"/>
          <w:szCs w:val="28"/>
        </w:rPr>
      </w:pPr>
    </w:p>
    <w:p w14:paraId="44AB08D1" w14:textId="707E12DD" w:rsidR="00CB3720" w:rsidRDefault="00CB3720" w:rsidP="009139A0">
      <w:pPr>
        <w:spacing w:line="360" w:lineRule="auto"/>
        <w:jc w:val="both"/>
        <w:rPr>
          <w:noProof/>
          <w:sz w:val="28"/>
          <w:szCs w:val="28"/>
        </w:rPr>
      </w:pPr>
    </w:p>
    <w:p w14:paraId="2FA6996E" w14:textId="77777777" w:rsidR="00CB3720" w:rsidRDefault="00CB3720" w:rsidP="009139A0">
      <w:pPr>
        <w:spacing w:line="360" w:lineRule="auto"/>
        <w:jc w:val="both"/>
        <w:rPr>
          <w:noProof/>
          <w:sz w:val="28"/>
          <w:szCs w:val="28"/>
        </w:rPr>
      </w:pPr>
    </w:p>
    <w:p w14:paraId="0178AAD4" w14:textId="0D3E389F" w:rsidR="00E775F5" w:rsidRDefault="00E775F5" w:rsidP="009139A0">
      <w:pPr>
        <w:spacing w:line="360" w:lineRule="auto"/>
        <w:jc w:val="both"/>
        <w:rPr>
          <w:noProof/>
          <w:sz w:val="28"/>
          <w:szCs w:val="28"/>
        </w:rPr>
      </w:pPr>
    </w:p>
    <w:p w14:paraId="270EE8AE" w14:textId="0201340B" w:rsidR="00E775F5" w:rsidRDefault="00E775F5" w:rsidP="009139A0">
      <w:pPr>
        <w:spacing w:line="360" w:lineRule="auto"/>
        <w:jc w:val="both"/>
        <w:rPr>
          <w:noProof/>
          <w:sz w:val="28"/>
          <w:szCs w:val="28"/>
        </w:rPr>
      </w:pPr>
    </w:p>
    <w:p w14:paraId="03363725" w14:textId="51EE378F" w:rsidR="00E775F5" w:rsidRDefault="00E775F5" w:rsidP="009139A0">
      <w:pPr>
        <w:spacing w:line="360" w:lineRule="auto"/>
        <w:jc w:val="both"/>
        <w:rPr>
          <w:noProof/>
          <w:sz w:val="28"/>
          <w:szCs w:val="28"/>
        </w:rPr>
      </w:pPr>
    </w:p>
    <w:p w14:paraId="3AD6491E" w14:textId="49BFC828" w:rsidR="00E775F5" w:rsidRDefault="00E775F5" w:rsidP="009139A0">
      <w:pPr>
        <w:spacing w:line="360" w:lineRule="auto"/>
        <w:jc w:val="both"/>
        <w:rPr>
          <w:noProof/>
          <w:sz w:val="28"/>
          <w:szCs w:val="28"/>
        </w:rPr>
      </w:pPr>
    </w:p>
    <w:p w14:paraId="2F0EC90B" w14:textId="65438296" w:rsidR="00E775F5" w:rsidRDefault="00E775F5" w:rsidP="009139A0">
      <w:pPr>
        <w:spacing w:line="360" w:lineRule="auto"/>
        <w:jc w:val="both"/>
        <w:rPr>
          <w:noProof/>
          <w:sz w:val="28"/>
          <w:szCs w:val="28"/>
        </w:rPr>
      </w:pPr>
    </w:p>
    <w:p w14:paraId="31B69DB3" w14:textId="3A4CC23B" w:rsidR="00E775F5" w:rsidRDefault="00E775F5" w:rsidP="009139A0">
      <w:pPr>
        <w:spacing w:line="360" w:lineRule="auto"/>
        <w:jc w:val="both"/>
        <w:rPr>
          <w:b/>
          <w:bCs/>
          <w:noProof/>
          <w:sz w:val="28"/>
          <w:szCs w:val="28"/>
        </w:rPr>
      </w:pPr>
      <w:r w:rsidRPr="004E2BCB">
        <w:rPr>
          <w:b/>
          <w:bCs/>
          <w:noProof/>
          <w:sz w:val="28"/>
          <w:szCs w:val="28"/>
        </w:rPr>
        <w:lastRenderedPageBreak/>
        <w:t>Результаты и их обсуждение</w:t>
      </w:r>
    </w:p>
    <w:p w14:paraId="2DC42AE6" w14:textId="35FFA923" w:rsidR="004E2BCB" w:rsidRDefault="00FE2B7A"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Для оценки </w:t>
      </w:r>
      <w:r w:rsidR="0021412F">
        <w:rPr>
          <w:rFonts w:ascii="Times New Roman" w:hAnsi="Times New Roman" w:cs="Times New Roman"/>
          <w:noProof/>
          <w:sz w:val="28"/>
          <w:szCs w:val="28"/>
        </w:rPr>
        <w:t xml:space="preserve">возможности предсказать </w:t>
      </w:r>
      <w:r w:rsidR="0008576B">
        <w:rPr>
          <w:rFonts w:ascii="Times New Roman" w:hAnsi="Times New Roman" w:cs="Times New Roman"/>
          <w:noProof/>
          <w:sz w:val="28"/>
          <w:szCs w:val="28"/>
        </w:rPr>
        <w:t xml:space="preserve">наследственную форму МРЩЖ </w:t>
      </w:r>
      <w:r w:rsidR="001E0011">
        <w:rPr>
          <w:rFonts w:ascii="Times New Roman" w:hAnsi="Times New Roman" w:cs="Times New Roman"/>
          <w:noProof/>
          <w:sz w:val="28"/>
          <w:szCs w:val="28"/>
        </w:rPr>
        <w:t xml:space="preserve">по УЗИ производилось сравнение частоты билатерального поражения среди пациентов с подтверждённой семейной формой и остальной когортой пациентов, куда входили пациенты с подтверждённой спорадической формой и пациенты, которым не проводилось генетическое исследования. Сравнение данных </w:t>
      </w:r>
      <w:r w:rsidR="00C56F53">
        <w:rPr>
          <w:rFonts w:ascii="Times New Roman" w:hAnsi="Times New Roman" w:cs="Times New Roman"/>
          <w:noProof/>
          <w:sz w:val="28"/>
          <w:szCs w:val="28"/>
        </w:rPr>
        <w:t>переменных</w:t>
      </w:r>
      <w:r w:rsidR="001E0011">
        <w:rPr>
          <w:rFonts w:ascii="Times New Roman" w:hAnsi="Times New Roman" w:cs="Times New Roman"/>
          <w:noProof/>
          <w:sz w:val="28"/>
          <w:szCs w:val="28"/>
        </w:rPr>
        <w:t xml:space="preserve"> представленно в таблице 3.1</w:t>
      </w:r>
      <w:r w:rsidR="00C56F53">
        <w:rPr>
          <w:rFonts w:ascii="Times New Roman" w:hAnsi="Times New Roman" w:cs="Times New Roman"/>
          <w:noProof/>
          <w:sz w:val="28"/>
          <w:szCs w:val="28"/>
        </w:rPr>
        <w:t xml:space="preserve"> и рисунке 3.1</w:t>
      </w:r>
    </w:p>
    <w:p w14:paraId="207F5A00" w14:textId="1FF5520F" w:rsidR="00DE1D1C" w:rsidRDefault="00DE1D1C" w:rsidP="00DE1D1C">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Таблица </w:t>
      </w:r>
      <w:r w:rsidR="002F3811">
        <w:rPr>
          <w:rFonts w:ascii="Times New Roman" w:hAnsi="Times New Roman" w:cs="Times New Roman"/>
          <w:noProof/>
          <w:sz w:val="28"/>
          <w:szCs w:val="28"/>
        </w:rPr>
        <w:t>3.1 Чувтсвительность УЗИ в предсказании семейной формы</w:t>
      </w:r>
    </w:p>
    <w:tbl>
      <w:tblPr>
        <w:tblStyle w:val="a3"/>
        <w:tblW w:w="0" w:type="auto"/>
        <w:tblLook w:val="04A0" w:firstRow="1" w:lastRow="0" w:firstColumn="1" w:lastColumn="0" w:noHBand="0" w:noVBand="1"/>
      </w:tblPr>
      <w:tblGrid>
        <w:gridCol w:w="2033"/>
        <w:gridCol w:w="1287"/>
        <w:gridCol w:w="1541"/>
        <w:gridCol w:w="1384"/>
        <w:gridCol w:w="1061"/>
        <w:gridCol w:w="2039"/>
      </w:tblGrid>
      <w:tr w:rsidR="001E0011" w14:paraId="0E53A360" w14:textId="77777777" w:rsidTr="000C27F6">
        <w:tc>
          <w:tcPr>
            <w:tcW w:w="2033" w:type="dxa"/>
          </w:tcPr>
          <w:p w14:paraId="20FA1F36" w14:textId="77777777" w:rsidR="001E0011" w:rsidRDefault="001E0011" w:rsidP="009139A0">
            <w:pPr>
              <w:spacing w:line="360" w:lineRule="auto"/>
              <w:jc w:val="both"/>
              <w:rPr>
                <w:rFonts w:ascii="Times New Roman" w:hAnsi="Times New Roman" w:cs="Times New Roman"/>
                <w:noProof/>
                <w:sz w:val="28"/>
                <w:szCs w:val="28"/>
              </w:rPr>
            </w:pPr>
          </w:p>
        </w:tc>
        <w:tc>
          <w:tcPr>
            <w:tcW w:w="1287" w:type="dxa"/>
          </w:tcPr>
          <w:p w14:paraId="368C2399" w14:textId="652092D6" w:rsidR="001E0011" w:rsidRPr="000C27F6" w:rsidRDefault="000C27F6" w:rsidP="009139A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RET+</w:t>
            </w:r>
          </w:p>
        </w:tc>
        <w:tc>
          <w:tcPr>
            <w:tcW w:w="1541" w:type="dxa"/>
          </w:tcPr>
          <w:p w14:paraId="393E7B46" w14:textId="19D47AE7" w:rsidR="001E0011" w:rsidRDefault="000C27F6"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Остальные пациенты</w:t>
            </w:r>
          </w:p>
        </w:tc>
        <w:tc>
          <w:tcPr>
            <w:tcW w:w="1384" w:type="dxa"/>
          </w:tcPr>
          <w:p w14:paraId="2D0C0C57" w14:textId="3C6A3A7B" w:rsidR="001E0011" w:rsidRDefault="000C27F6" w:rsidP="009139A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Хи-квадрат</w:t>
            </w:r>
          </w:p>
        </w:tc>
        <w:tc>
          <w:tcPr>
            <w:tcW w:w="1061" w:type="dxa"/>
          </w:tcPr>
          <w:p w14:paraId="42422C43" w14:textId="52525C8B" w:rsidR="001E0011" w:rsidRPr="000C27F6" w:rsidRDefault="000C27F6" w:rsidP="009139A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p</w:t>
            </w:r>
          </w:p>
        </w:tc>
        <w:tc>
          <w:tcPr>
            <w:tcW w:w="2039" w:type="dxa"/>
          </w:tcPr>
          <w:p w14:paraId="7FA8EB31" w14:textId="3FF53BA1" w:rsidR="001E0011" w:rsidRDefault="000C27F6" w:rsidP="009139A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0C27F6" w14:paraId="0B5E1993" w14:textId="77777777" w:rsidTr="000C27F6">
        <w:tc>
          <w:tcPr>
            <w:tcW w:w="2033" w:type="dxa"/>
          </w:tcPr>
          <w:p w14:paraId="39AF54FE" w14:textId="3DE5047C" w:rsidR="000C27F6" w:rsidRPr="000C27F6" w:rsidRDefault="000C27F6"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Билатеральные очаги</w:t>
            </w:r>
          </w:p>
        </w:tc>
        <w:tc>
          <w:tcPr>
            <w:tcW w:w="1287" w:type="dxa"/>
          </w:tcPr>
          <w:p w14:paraId="535BBB72" w14:textId="77777777"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29</w:t>
            </w:r>
          </w:p>
          <w:p w14:paraId="165C7A2E" w14:textId="77777777" w:rsidR="000C27F6" w:rsidRDefault="000C27F6" w:rsidP="009139A0">
            <w:pPr>
              <w:spacing w:line="360" w:lineRule="auto"/>
              <w:jc w:val="both"/>
              <w:rPr>
                <w:rFonts w:ascii="Times New Roman" w:hAnsi="Times New Roman" w:cs="Times New Roman"/>
                <w:noProof/>
                <w:sz w:val="28"/>
                <w:szCs w:val="28"/>
              </w:rPr>
            </w:pPr>
          </w:p>
        </w:tc>
        <w:tc>
          <w:tcPr>
            <w:tcW w:w="1541" w:type="dxa"/>
          </w:tcPr>
          <w:p w14:paraId="02C71064" w14:textId="77777777"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20</w:t>
            </w:r>
          </w:p>
          <w:p w14:paraId="74C7EB62" w14:textId="77777777" w:rsidR="000C27F6" w:rsidRDefault="000C27F6" w:rsidP="009139A0">
            <w:pPr>
              <w:spacing w:line="360" w:lineRule="auto"/>
              <w:jc w:val="both"/>
              <w:rPr>
                <w:rFonts w:ascii="Times New Roman" w:hAnsi="Times New Roman" w:cs="Times New Roman"/>
                <w:noProof/>
                <w:sz w:val="28"/>
                <w:szCs w:val="28"/>
              </w:rPr>
            </w:pPr>
          </w:p>
        </w:tc>
        <w:tc>
          <w:tcPr>
            <w:tcW w:w="1384" w:type="dxa"/>
            <w:vMerge w:val="restart"/>
          </w:tcPr>
          <w:p w14:paraId="3D067FA4" w14:textId="77777777" w:rsidR="000C27F6" w:rsidRDefault="000C27F6" w:rsidP="000C27F6">
            <w:pPr>
              <w:spacing w:line="360" w:lineRule="auto"/>
              <w:jc w:val="both"/>
              <w:rPr>
                <w:rFonts w:ascii="Times New Roman" w:hAnsi="Times New Roman" w:cs="Times New Roman"/>
                <w:noProof/>
                <w:sz w:val="28"/>
                <w:szCs w:val="28"/>
              </w:rPr>
            </w:pPr>
          </w:p>
          <w:p w14:paraId="0D4C76FF" w14:textId="3D5B9AC2"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184,4  </w:t>
            </w:r>
          </w:p>
          <w:p w14:paraId="349E030B" w14:textId="77777777" w:rsidR="000C27F6" w:rsidRDefault="000C27F6" w:rsidP="009139A0">
            <w:pPr>
              <w:spacing w:line="360" w:lineRule="auto"/>
              <w:jc w:val="both"/>
              <w:rPr>
                <w:rFonts w:ascii="Times New Roman" w:hAnsi="Times New Roman" w:cs="Times New Roman"/>
                <w:noProof/>
                <w:sz w:val="28"/>
                <w:szCs w:val="28"/>
              </w:rPr>
            </w:pPr>
          </w:p>
        </w:tc>
        <w:tc>
          <w:tcPr>
            <w:tcW w:w="1061" w:type="dxa"/>
            <w:vMerge w:val="restart"/>
          </w:tcPr>
          <w:p w14:paraId="651EE1BF" w14:textId="77777777" w:rsidR="000C27F6" w:rsidRDefault="000C27F6" w:rsidP="000C27F6">
            <w:pPr>
              <w:spacing w:line="360" w:lineRule="auto"/>
              <w:jc w:val="both"/>
              <w:rPr>
                <w:rFonts w:ascii="Times New Roman" w:hAnsi="Times New Roman" w:cs="Times New Roman"/>
                <w:noProof/>
                <w:sz w:val="28"/>
                <w:szCs w:val="28"/>
                <w:lang w:val="en-US"/>
              </w:rPr>
            </w:pPr>
          </w:p>
          <w:p w14:paraId="1661C627" w14:textId="6CC73BD8"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lang w:val="en-US"/>
              </w:rPr>
              <w:t>&gt;0,01</w:t>
            </w:r>
          </w:p>
          <w:p w14:paraId="2CE77AF7" w14:textId="77777777" w:rsidR="000C27F6" w:rsidRDefault="000C27F6" w:rsidP="009139A0">
            <w:pPr>
              <w:spacing w:line="360" w:lineRule="auto"/>
              <w:jc w:val="both"/>
              <w:rPr>
                <w:rFonts w:ascii="Times New Roman" w:hAnsi="Times New Roman" w:cs="Times New Roman"/>
                <w:noProof/>
                <w:sz w:val="28"/>
                <w:szCs w:val="28"/>
              </w:rPr>
            </w:pPr>
          </w:p>
        </w:tc>
        <w:tc>
          <w:tcPr>
            <w:tcW w:w="2039" w:type="dxa"/>
            <w:vMerge w:val="restart"/>
          </w:tcPr>
          <w:p w14:paraId="799AF9CF" w14:textId="77777777" w:rsidR="000C27F6" w:rsidRDefault="000C27F6" w:rsidP="000C27F6">
            <w:pPr>
              <w:spacing w:line="360" w:lineRule="auto"/>
              <w:jc w:val="both"/>
              <w:rPr>
                <w:rFonts w:ascii="Times New Roman" w:hAnsi="Times New Roman" w:cs="Times New Roman"/>
                <w:noProof/>
                <w:sz w:val="28"/>
                <w:szCs w:val="28"/>
              </w:rPr>
            </w:pPr>
          </w:p>
          <w:p w14:paraId="6A45FF49" w14:textId="372DF84A"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82,78</w:t>
            </w:r>
          </w:p>
          <w:p w14:paraId="47651186" w14:textId="77777777" w:rsidR="000C27F6" w:rsidRDefault="000C27F6" w:rsidP="009139A0">
            <w:pPr>
              <w:spacing w:line="360" w:lineRule="auto"/>
              <w:jc w:val="both"/>
              <w:rPr>
                <w:rFonts w:ascii="Times New Roman" w:hAnsi="Times New Roman" w:cs="Times New Roman"/>
                <w:noProof/>
                <w:sz w:val="28"/>
                <w:szCs w:val="28"/>
              </w:rPr>
            </w:pPr>
          </w:p>
        </w:tc>
      </w:tr>
      <w:tr w:rsidR="000C27F6" w14:paraId="430EEA51" w14:textId="77777777" w:rsidTr="000C27F6">
        <w:tc>
          <w:tcPr>
            <w:tcW w:w="2033" w:type="dxa"/>
          </w:tcPr>
          <w:p w14:paraId="3407D25A" w14:textId="38203C92" w:rsidR="000C27F6" w:rsidRDefault="000C27F6"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Унифокальная опухоль</w:t>
            </w:r>
          </w:p>
        </w:tc>
        <w:tc>
          <w:tcPr>
            <w:tcW w:w="1287" w:type="dxa"/>
          </w:tcPr>
          <w:p w14:paraId="2B8D7CEB" w14:textId="77777777"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13</w:t>
            </w:r>
          </w:p>
          <w:p w14:paraId="2B1D9825" w14:textId="77777777" w:rsidR="000C27F6" w:rsidRDefault="000C27F6" w:rsidP="009139A0">
            <w:pPr>
              <w:spacing w:line="360" w:lineRule="auto"/>
              <w:jc w:val="both"/>
              <w:rPr>
                <w:rFonts w:ascii="Times New Roman" w:hAnsi="Times New Roman" w:cs="Times New Roman"/>
                <w:noProof/>
                <w:sz w:val="28"/>
                <w:szCs w:val="28"/>
              </w:rPr>
            </w:pPr>
          </w:p>
        </w:tc>
        <w:tc>
          <w:tcPr>
            <w:tcW w:w="1541" w:type="dxa"/>
          </w:tcPr>
          <w:p w14:paraId="68517762" w14:textId="77777777" w:rsidR="000C27F6" w:rsidRPr="000C27F6" w:rsidRDefault="000C27F6" w:rsidP="000C27F6">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284</w:t>
            </w:r>
          </w:p>
          <w:p w14:paraId="296287ED" w14:textId="77777777" w:rsidR="000C27F6" w:rsidRDefault="000C27F6" w:rsidP="009139A0">
            <w:pPr>
              <w:spacing w:line="360" w:lineRule="auto"/>
              <w:jc w:val="both"/>
              <w:rPr>
                <w:rFonts w:ascii="Times New Roman" w:hAnsi="Times New Roman" w:cs="Times New Roman"/>
                <w:noProof/>
                <w:sz w:val="28"/>
                <w:szCs w:val="28"/>
              </w:rPr>
            </w:pPr>
          </w:p>
        </w:tc>
        <w:tc>
          <w:tcPr>
            <w:tcW w:w="1384" w:type="dxa"/>
            <w:vMerge/>
          </w:tcPr>
          <w:p w14:paraId="440569B0" w14:textId="77777777" w:rsidR="000C27F6" w:rsidRDefault="000C27F6" w:rsidP="009139A0">
            <w:pPr>
              <w:spacing w:line="360" w:lineRule="auto"/>
              <w:jc w:val="both"/>
              <w:rPr>
                <w:rFonts w:ascii="Times New Roman" w:hAnsi="Times New Roman" w:cs="Times New Roman"/>
                <w:noProof/>
                <w:sz w:val="28"/>
                <w:szCs w:val="28"/>
              </w:rPr>
            </w:pPr>
          </w:p>
        </w:tc>
        <w:tc>
          <w:tcPr>
            <w:tcW w:w="1061" w:type="dxa"/>
            <w:vMerge/>
          </w:tcPr>
          <w:p w14:paraId="1EB44F92" w14:textId="77777777" w:rsidR="000C27F6" w:rsidRDefault="000C27F6" w:rsidP="009139A0">
            <w:pPr>
              <w:spacing w:line="360" w:lineRule="auto"/>
              <w:jc w:val="both"/>
              <w:rPr>
                <w:rFonts w:ascii="Times New Roman" w:hAnsi="Times New Roman" w:cs="Times New Roman"/>
                <w:noProof/>
                <w:sz w:val="28"/>
                <w:szCs w:val="28"/>
              </w:rPr>
            </w:pPr>
          </w:p>
        </w:tc>
        <w:tc>
          <w:tcPr>
            <w:tcW w:w="2039" w:type="dxa"/>
            <w:vMerge/>
          </w:tcPr>
          <w:p w14:paraId="065D4439" w14:textId="77777777" w:rsidR="000C27F6" w:rsidRDefault="000C27F6" w:rsidP="009139A0">
            <w:pPr>
              <w:spacing w:line="360" w:lineRule="auto"/>
              <w:jc w:val="both"/>
              <w:rPr>
                <w:rFonts w:ascii="Times New Roman" w:hAnsi="Times New Roman" w:cs="Times New Roman"/>
                <w:noProof/>
                <w:sz w:val="28"/>
                <w:szCs w:val="28"/>
              </w:rPr>
            </w:pPr>
          </w:p>
        </w:tc>
      </w:tr>
    </w:tbl>
    <w:p w14:paraId="5DF36E30" w14:textId="16930442" w:rsidR="0021217A" w:rsidRDefault="000C27F6"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Чувствительность УЗИ в диагностики семейной формы составила</w:t>
      </w:r>
      <w:r w:rsidR="0063000D">
        <w:rPr>
          <w:rFonts w:ascii="Times New Roman" w:hAnsi="Times New Roman" w:cs="Times New Roman"/>
          <w:noProof/>
          <w:sz w:val="28"/>
          <w:szCs w:val="28"/>
        </w:rPr>
        <w:t xml:space="preserve"> 69%, спецефичность и точность метода составили 93% и 90% соответственно</w:t>
      </w:r>
      <w:r w:rsidR="00DE1D1C">
        <w:rPr>
          <w:rFonts w:ascii="Times New Roman" w:hAnsi="Times New Roman" w:cs="Times New Roman"/>
          <w:noProof/>
          <w:sz w:val="28"/>
          <w:szCs w:val="28"/>
        </w:rPr>
        <w:t>, п</w:t>
      </w:r>
      <w:r w:rsidR="00DE1D1C" w:rsidRPr="00DE1D1C">
        <w:rPr>
          <w:rFonts w:ascii="Times New Roman" w:hAnsi="Times New Roman" w:cs="Times New Roman"/>
          <w:noProof/>
          <w:sz w:val="28"/>
          <w:szCs w:val="28"/>
        </w:rPr>
        <w:t>рогностическая ценность отриц</w:t>
      </w:r>
      <w:r w:rsidR="005E6E5E">
        <w:rPr>
          <w:rFonts w:ascii="Times New Roman" w:hAnsi="Times New Roman" w:cs="Times New Roman"/>
          <w:noProof/>
          <w:sz w:val="28"/>
          <w:szCs w:val="28"/>
        </w:rPr>
        <w:t>.</w:t>
      </w:r>
      <w:r w:rsidR="00DE1D1C" w:rsidRPr="00DE1D1C">
        <w:rPr>
          <w:rFonts w:ascii="Times New Roman" w:hAnsi="Times New Roman" w:cs="Times New Roman"/>
          <w:noProof/>
          <w:sz w:val="28"/>
          <w:szCs w:val="28"/>
        </w:rPr>
        <w:t xml:space="preserve"> </w:t>
      </w:r>
      <w:r w:rsidR="005E6E5E">
        <w:rPr>
          <w:rFonts w:ascii="Times New Roman" w:hAnsi="Times New Roman" w:cs="Times New Roman"/>
          <w:noProof/>
          <w:sz w:val="28"/>
          <w:szCs w:val="28"/>
        </w:rPr>
        <w:t>р</w:t>
      </w:r>
      <w:r w:rsidR="00DE1D1C" w:rsidRPr="00DE1D1C">
        <w:rPr>
          <w:rFonts w:ascii="Times New Roman" w:hAnsi="Times New Roman" w:cs="Times New Roman"/>
          <w:noProof/>
          <w:sz w:val="28"/>
          <w:szCs w:val="28"/>
        </w:rPr>
        <w:t>езультатов</w:t>
      </w:r>
      <w:r w:rsidR="005E6E5E">
        <w:rPr>
          <w:rFonts w:ascii="Times New Roman" w:hAnsi="Times New Roman" w:cs="Times New Roman"/>
          <w:noProof/>
          <w:sz w:val="28"/>
          <w:szCs w:val="28"/>
        </w:rPr>
        <w:t xml:space="preserve"> (ПЦОР)</w:t>
      </w:r>
      <w:r w:rsidR="00DE1D1C">
        <w:rPr>
          <w:rFonts w:ascii="Times New Roman" w:hAnsi="Times New Roman" w:cs="Times New Roman"/>
          <w:noProof/>
          <w:sz w:val="28"/>
          <w:szCs w:val="28"/>
        </w:rPr>
        <w:t xml:space="preserve"> достигает 95,6%.</w:t>
      </w:r>
    </w:p>
    <w:p w14:paraId="7D6963A5" w14:textId="49CCCE0B" w:rsidR="0021217A" w:rsidRPr="002A0FA9" w:rsidRDefault="00CD7A1C" w:rsidP="00CD7A1C">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3.1 Построение </w:t>
      </w:r>
      <w:r>
        <w:rPr>
          <w:rFonts w:ascii="Times New Roman" w:hAnsi="Times New Roman" w:cs="Times New Roman"/>
          <w:noProof/>
          <w:sz w:val="28"/>
          <w:szCs w:val="28"/>
          <w:lang w:val="en-US"/>
        </w:rPr>
        <w:t>ROC</w:t>
      </w:r>
      <w:r w:rsidRPr="002A0FA9">
        <w:rPr>
          <w:rFonts w:ascii="Times New Roman" w:hAnsi="Times New Roman" w:cs="Times New Roman"/>
          <w:noProof/>
          <w:sz w:val="28"/>
          <w:szCs w:val="28"/>
        </w:rPr>
        <w:t>-</w:t>
      </w:r>
      <w:r>
        <w:rPr>
          <w:rFonts w:ascii="Times New Roman" w:hAnsi="Times New Roman" w:cs="Times New Roman"/>
          <w:noProof/>
          <w:sz w:val="28"/>
          <w:szCs w:val="28"/>
        </w:rPr>
        <w:t>кривой</w:t>
      </w:r>
      <w:r w:rsidR="002A0FA9">
        <w:rPr>
          <w:rFonts w:ascii="Times New Roman" w:hAnsi="Times New Roman" w:cs="Times New Roman"/>
          <w:noProof/>
          <w:sz w:val="28"/>
          <w:szCs w:val="28"/>
        </w:rPr>
        <w:t>; чувствительность УЗИ</w:t>
      </w:r>
    </w:p>
    <w:p w14:paraId="066F894C" w14:textId="1914F7C5" w:rsidR="00E55396" w:rsidRDefault="00E55396" w:rsidP="005E6E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A42F39" wp14:editId="63E66747">
            <wp:extent cx="2968527" cy="30099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14026" r="12784" b="7313"/>
                    <a:stretch/>
                  </pic:blipFill>
                  <pic:spPr bwMode="auto">
                    <a:xfrm>
                      <a:off x="0" y="0"/>
                      <a:ext cx="3017404" cy="3059458"/>
                    </a:xfrm>
                    <a:prstGeom prst="rect">
                      <a:avLst/>
                    </a:prstGeom>
                    <a:noFill/>
                    <a:ln>
                      <a:noFill/>
                    </a:ln>
                    <a:extLst>
                      <a:ext uri="{53640926-AAD7-44D8-BBD7-CCE9431645EC}">
                        <a14:shadowObscured xmlns:a14="http://schemas.microsoft.com/office/drawing/2010/main"/>
                      </a:ext>
                    </a:extLst>
                  </pic:spPr>
                </pic:pic>
              </a:graphicData>
            </a:graphic>
          </wp:inline>
        </w:drawing>
      </w:r>
    </w:p>
    <w:p w14:paraId="60A6AF46" w14:textId="59A0B37D" w:rsidR="0021217A" w:rsidRPr="00CD7A1C" w:rsidRDefault="0021217A" w:rsidP="00CD7A1C">
      <w:pPr>
        <w:autoSpaceDE w:val="0"/>
        <w:autoSpaceDN w:val="0"/>
        <w:adjustRightInd w:val="0"/>
        <w:spacing w:after="0" w:line="240" w:lineRule="auto"/>
        <w:rPr>
          <w:rFonts w:ascii="Times New Roman" w:hAnsi="Times New Roman" w:cs="Times New Roman"/>
          <w:sz w:val="24"/>
          <w:szCs w:val="24"/>
        </w:rPr>
      </w:pPr>
    </w:p>
    <w:p w14:paraId="41E58CC9" w14:textId="4E6A0591" w:rsidR="001D189C" w:rsidRDefault="00DE1D1C"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С целью оценить возможность предсказать билатеральное поражение щитовидной железы</w:t>
      </w:r>
      <w:r w:rsidR="002F3811">
        <w:rPr>
          <w:rFonts w:ascii="Times New Roman" w:hAnsi="Times New Roman" w:cs="Times New Roman"/>
          <w:noProof/>
          <w:sz w:val="28"/>
          <w:szCs w:val="28"/>
        </w:rPr>
        <w:t xml:space="preserve">, зная форму заболевания по результатам генетического ислледования было выполненно сравнение частоты двусторонней локализации опухоли </w:t>
      </w:r>
      <w:r w:rsidR="009C325D">
        <w:rPr>
          <w:rFonts w:ascii="Times New Roman" w:hAnsi="Times New Roman" w:cs="Times New Roman"/>
          <w:noProof/>
          <w:sz w:val="28"/>
          <w:szCs w:val="28"/>
        </w:rPr>
        <w:t>среди больных с подтверждённой семйной и спорадической формами. Сравнение данных категорий пациентов представленно в таблице 3.2.</w:t>
      </w:r>
    </w:p>
    <w:p w14:paraId="5464630B" w14:textId="745E99CC" w:rsidR="0021217A" w:rsidRPr="0021217A" w:rsidRDefault="0021217A" w:rsidP="0021217A">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Таблица 3.2 Предсказание билатералного поражения по генетическому исследованию</w:t>
      </w:r>
    </w:p>
    <w:tbl>
      <w:tblPr>
        <w:tblStyle w:val="a3"/>
        <w:tblpPr w:leftFromText="180" w:rightFromText="180" w:vertAnchor="text" w:horzAnchor="margin" w:tblpY="54"/>
        <w:tblW w:w="0" w:type="auto"/>
        <w:tblLayout w:type="fixed"/>
        <w:tblLook w:val="04A0" w:firstRow="1" w:lastRow="0" w:firstColumn="1" w:lastColumn="0" w:noHBand="0" w:noVBand="1"/>
      </w:tblPr>
      <w:tblGrid>
        <w:gridCol w:w="1882"/>
        <w:gridCol w:w="1374"/>
        <w:gridCol w:w="1984"/>
        <w:gridCol w:w="1276"/>
        <w:gridCol w:w="941"/>
        <w:gridCol w:w="1888"/>
      </w:tblGrid>
      <w:tr w:rsidR="00183730" w14:paraId="57218678" w14:textId="77777777" w:rsidTr="00183730">
        <w:tc>
          <w:tcPr>
            <w:tcW w:w="1882" w:type="dxa"/>
          </w:tcPr>
          <w:p w14:paraId="44D29AFB" w14:textId="77777777" w:rsidR="00183730" w:rsidRDefault="00183730" w:rsidP="00183730">
            <w:pPr>
              <w:spacing w:line="360" w:lineRule="auto"/>
              <w:jc w:val="both"/>
              <w:rPr>
                <w:rFonts w:ascii="Times New Roman" w:hAnsi="Times New Roman" w:cs="Times New Roman"/>
                <w:noProof/>
                <w:sz w:val="28"/>
                <w:szCs w:val="28"/>
              </w:rPr>
            </w:pPr>
          </w:p>
        </w:tc>
        <w:tc>
          <w:tcPr>
            <w:tcW w:w="1374" w:type="dxa"/>
          </w:tcPr>
          <w:p w14:paraId="5E905EAE" w14:textId="5A577365" w:rsidR="00183730" w:rsidRPr="00183730" w:rsidRDefault="00183730" w:rsidP="00183730">
            <w:pPr>
              <w:spacing w:line="360" w:lineRule="auto"/>
              <w:jc w:val="both"/>
              <w:rPr>
                <w:rFonts w:ascii="Times New Roman" w:hAnsi="Times New Roman" w:cs="Times New Roman"/>
                <w:noProof/>
                <w:sz w:val="28"/>
                <w:szCs w:val="28"/>
              </w:rPr>
            </w:pPr>
            <w:r w:rsidRPr="00183730">
              <w:rPr>
                <w:rFonts w:ascii="Times New Roman" w:hAnsi="Times New Roman" w:cs="Times New Roman"/>
                <w:noProof/>
                <w:sz w:val="28"/>
                <w:szCs w:val="28"/>
              </w:rPr>
              <w:t>Билатер</w:t>
            </w:r>
            <w:r>
              <w:rPr>
                <w:rFonts w:ascii="Times New Roman" w:hAnsi="Times New Roman" w:cs="Times New Roman"/>
                <w:noProof/>
                <w:sz w:val="28"/>
                <w:szCs w:val="28"/>
              </w:rPr>
              <w:t>.</w:t>
            </w:r>
            <w:r w:rsidRPr="00183730">
              <w:rPr>
                <w:rFonts w:ascii="Times New Roman" w:hAnsi="Times New Roman" w:cs="Times New Roman"/>
                <w:noProof/>
                <w:sz w:val="28"/>
                <w:szCs w:val="28"/>
              </w:rPr>
              <w:t xml:space="preserve"> очаги</w:t>
            </w:r>
          </w:p>
        </w:tc>
        <w:tc>
          <w:tcPr>
            <w:tcW w:w="1984" w:type="dxa"/>
          </w:tcPr>
          <w:p w14:paraId="638D2EB2" w14:textId="2096FE24" w:rsidR="00183730" w:rsidRDefault="00183730" w:rsidP="0018373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Унифокальн. опухоль</w:t>
            </w:r>
          </w:p>
        </w:tc>
        <w:tc>
          <w:tcPr>
            <w:tcW w:w="1276" w:type="dxa"/>
          </w:tcPr>
          <w:p w14:paraId="3A455BAD" w14:textId="77777777" w:rsidR="00183730" w:rsidRDefault="00183730" w:rsidP="0018373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Хи-квадрат</w:t>
            </w:r>
          </w:p>
        </w:tc>
        <w:tc>
          <w:tcPr>
            <w:tcW w:w="941" w:type="dxa"/>
          </w:tcPr>
          <w:p w14:paraId="11DABCBD" w14:textId="77777777" w:rsidR="00183730" w:rsidRPr="000C27F6" w:rsidRDefault="00183730" w:rsidP="0018373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p</w:t>
            </w:r>
          </w:p>
        </w:tc>
        <w:tc>
          <w:tcPr>
            <w:tcW w:w="1888" w:type="dxa"/>
          </w:tcPr>
          <w:p w14:paraId="0F875DAE" w14:textId="77777777" w:rsidR="00183730" w:rsidRDefault="00183730" w:rsidP="0018373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183730" w14:paraId="5C60FF16" w14:textId="77777777" w:rsidTr="00183730">
        <w:tc>
          <w:tcPr>
            <w:tcW w:w="1882" w:type="dxa"/>
          </w:tcPr>
          <w:p w14:paraId="3C309484" w14:textId="1FC649B2" w:rsidR="00183730" w:rsidRPr="000C27F6" w:rsidRDefault="00183730" w:rsidP="0018373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RET+</w:t>
            </w:r>
          </w:p>
        </w:tc>
        <w:tc>
          <w:tcPr>
            <w:tcW w:w="1374" w:type="dxa"/>
          </w:tcPr>
          <w:p w14:paraId="2EBE6D83" w14:textId="77777777" w:rsidR="00183730" w:rsidRPr="000C27F6" w:rsidRDefault="00183730" w:rsidP="0018373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29</w:t>
            </w:r>
          </w:p>
          <w:p w14:paraId="5A7C0119" w14:textId="77777777" w:rsidR="00183730" w:rsidRDefault="00183730" w:rsidP="00183730">
            <w:pPr>
              <w:spacing w:line="360" w:lineRule="auto"/>
              <w:jc w:val="both"/>
              <w:rPr>
                <w:rFonts w:ascii="Times New Roman" w:hAnsi="Times New Roman" w:cs="Times New Roman"/>
                <w:noProof/>
                <w:sz w:val="28"/>
                <w:szCs w:val="28"/>
              </w:rPr>
            </w:pPr>
          </w:p>
        </w:tc>
        <w:tc>
          <w:tcPr>
            <w:tcW w:w="1984" w:type="dxa"/>
          </w:tcPr>
          <w:p w14:paraId="6242F2FF" w14:textId="6FA5E599" w:rsidR="00183730" w:rsidRPr="000C27F6" w:rsidRDefault="00183730" w:rsidP="0018373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13</w:t>
            </w:r>
          </w:p>
          <w:p w14:paraId="3D711573" w14:textId="77777777" w:rsidR="00183730" w:rsidRDefault="00183730" w:rsidP="00183730">
            <w:pPr>
              <w:spacing w:line="360" w:lineRule="auto"/>
              <w:jc w:val="both"/>
              <w:rPr>
                <w:rFonts w:ascii="Times New Roman" w:hAnsi="Times New Roman" w:cs="Times New Roman"/>
                <w:noProof/>
                <w:sz w:val="28"/>
                <w:szCs w:val="28"/>
              </w:rPr>
            </w:pPr>
          </w:p>
        </w:tc>
        <w:tc>
          <w:tcPr>
            <w:tcW w:w="1276" w:type="dxa"/>
            <w:vMerge w:val="restart"/>
          </w:tcPr>
          <w:p w14:paraId="3650BD70" w14:textId="77777777" w:rsidR="00183730" w:rsidRDefault="00183730" w:rsidP="00183730">
            <w:pPr>
              <w:spacing w:line="360" w:lineRule="auto"/>
              <w:jc w:val="both"/>
              <w:rPr>
                <w:rFonts w:ascii="Times New Roman" w:hAnsi="Times New Roman" w:cs="Times New Roman"/>
                <w:noProof/>
                <w:sz w:val="28"/>
                <w:szCs w:val="28"/>
              </w:rPr>
            </w:pPr>
          </w:p>
          <w:p w14:paraId="07615D6A" w14:textId="77777777" w:rsidR="006A3F0B" w:rsidRPr="006A3F0B" w:rsidRDefault="006A3F0B" w:rsidP="006A3F0B">
            <w:pPr>
              <w:spacing w:line="360" w:lineRule="auto"/>
              <w:jc w:val="both"/>
              <w:rPr>
                <w:rFonts w:ascii="Times New Roman" w:hAnsi="Times New Roman" w:cs="Times New Roman"/>
                <w:noProof/>
                <w:sz w:val="28"/>
                <w:szCs w:val="28"/>
              </w:rPr>
            </w:pPr>
            <w:r w:rsidRPr="006A3F0B">
              <w:rPr>
                <w:rFonts w:ascii="Times New Roman" w:hAnsi="Times New Roman" w:cs="Times New Roman"/>
                <w:noProof/>
                <w:sz w:val="28"/>
                <w:szCs w:val="28"/>
              </w:rPr>
              <w:t>96,7</w:t>
            </w:r>
          </w:p>
          <w:p w14:paraId="5280314D" w14:textId="50EF4CC7" w:rsidR="00183730" w:rsidRPr="000C27F6" w:rsidRDefault="00183730" w:rsidP="0018373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1AF038FB" w14:textId="77777777" w:rsidR="00183730" w:rsidRDefault="00183730" w:rsidP="00183730">
            <w:pPr>
              <w:spacing w:line="360" w:lineRule="auto"/>
              <w:jc w:val="both"/>
              <w:rPr>
                <w:rFonts w:ascii="Times New Roman" w:hAnsi="Times New Roman" w:cs="Times New Roman"/>
                <w:noProof/>
                <w:sz w:val="28"/>
                <w:szCs w:val="28"/>
              </w:rPr>
            </w:pPr>
          </w:p>
        </w:tc>
        <w:tc>
          <w:tcPr>
            <w:tcW w:w="941" w:type="dxa"/>
            <w:vMerge w:val="restart"/>
          </w:tcPr>
          <w:p w14:paraId="0CC6BF24" w14:textId="77777777" w:rsidR="00183730" w:rsidRDefault="00183730" w:rsidP="00183730">
            <w:pPr>
              <w:spacing w:line="360" w:lineRule="auto"/>
              <w:jc w:val="both"/>
              <w:rPr>
                <w:rFonts w:ascii="Times New Roman" w:hAnsi="Times New Roman" w:cs="Times New Roman"/>
                <w:noProof/>
                <w:sz w:val="28"/>
                <w:szCs w:val="28"/>
                <w:lang w:val="en-US"/>
              </w:rPr>
            </w:pPr>
          </w:p>
          <w:p w14:paraId="3F9F8645" w14:textId="77777777" w:rsidR="00183730" w:rsidRPr="000C27F6" w:rsidRDefault="00183730" w:rsidP="00183730">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lang w:val="en-US"/>
              </w:rPr>
              <w:t>&gt;0,01</w:t>
            </w:r>
          </w:p>
          <w:p w14:paraId="65EED5C3" w14:textId="77777777" w:rsidR="00183730" w:rsidRDefault="00183730" w:rsidP="00183730">
            <w:pPr>
              <w:spacing w:line="360" w:lineRule="auto"/>
              <w:jc w:val="both"/>
              <w:rPr>
                <w:rFonts w:ascii="Times New Roman" w:hAnsi="Times New Roman" w:cs="Times New Roman"/>
                <w:noProof/>
                <w:sz w:val="28"/>
                <w:szCs w:val="28"/>
              </w:rPr>
            </w:pPr>
          </w:p>
        </w:tc>
        <w:tc>
          <w:tcPr>
            <w:tcW w:w="1888" w:type="dxa"/>
            <w:vMerge w:val="restart"/>
          </w:tcPr>
          <w:p w14:paraId="168B8BBC" w14:textId="77777777" w:rsidR="00183730" w:rsidRDefault="00183730" w:rsidP="00183730">
            <w:pPr>
              <w:spacing w:line="360" w:lineRule="auto"/>
              <w:jc w:val="both"/>
              <w:rPr>
                <w:rFonts w:ascii="Times New Roman" w:hAnsi="Times New Roman" w:cs="Times New Roman"/>
                <w:noProof/>
                <w:sz w:val="28"/>
                <w:szCs w:val="28"/>
              </w:rPr>
            </w:pPr>
          </w:p>
          <w:p w14:paraId="041EEB8D" w14:textId="77777777" w:rsidR="006A3F0B" w:rsidRPr="006A3F0B" w:rsidRDefault="006A3F0B" w:rsidP="006A3F0B">
            <w:pPr>
              <w:spacing w:line="360" w:lineRule="auto"/>
              <w:jc w:val="both"/>
              <w:rPr>
                <w:rFonts w:ascii="Times New Roman" w:hAnsi="Times New Roman" w:cs="Times New Roman"/>
                <w:noProof/>
                <w:sz w:val="28"/>
                <w:szCs w:val="28"/>
              </w:rPr>
            </w:pPr>
            <w:r w:rsidRPr="006A3F0B">
              <w:rPr>
                <w:rFonts w:ascii="Times New Roman" w:hAnsi="Times New Roman" w:cs="Times New Roman"/>
                <w:noProof/>
                <w:sz w:val="28"/>
                <w:szCs w:val="28"/>
              </w:rPr>
              <w:t>79,8</w:t>
            </w:r>
          </w:p>
          <w:p w14:paraId="78D69D64" w14:textId="77777777" w:rsidR="00183730" w:rsidRDefault="00183730" w:rsidP="00183730">
            <w:pPr>
              <w:spacing w:line="360" w:lineRule="auto"/>
              <w:jc w:val="both"/>
              <w:rPr>
                <w:rFonts w:ascii="Times New Roman" w:hAnsi="Times New Roman" w:cs="Times New Roman"/>
                <w:noProof/>
                <w:sz w:val="28"/>
                <w:szCs w:val="28"/>
              </w:rPr>
            </w:pPr>
          </w:p>
        </w:tc>
      </w:tr>
      <w:tr w:rsidR="00183730" w14:paraId="6D148C86" w14:textId="77777777" w:rsidTr="00183730">
        <w:tc>
          <w:tcPr>
            <w:tcW w:w="1882" w:type="dxa"/>
          </w:tcPr>
          <w:p w14:paraId="1026E635" w14:textId="3DFCC454" w:rsidR="00183730" w:rsidRPr="00183730" w:rsidRDefault="00183730" w:rsidP="0018373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WT</w:t>
            </w:r>
          </w:p>
        </w:tc>
        <w:tc>
          <w:tcPr>
            <w:tcW w:w="1374" w:type="dxa"/>
          </w:tcPr>
          <w:p w14:paraId="3F5A325B" w14:textId="47CF5830" w:rsidR="00183730" w:rsidRPr="000C27F6" w:rsidRDefault="00183730" w:rsidP="0018373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8</w:t>
            </w:r>
          </w:p>
          <w:p w14:paraId="024AA242" w14:textId="77777777" w:rsidR="00183730" w:rsidRDefault="00183730" w:rsidP="00183730">
            <w:pPr>
              <w:spacing w:line="360" w:lineRule="auto"/>
              <w:jc w:val="both"/>
              <w:rPr>
                <w:rFonts w:ascii="Times New Roman" w:hAnsi="Times New Roman" w:cs="Times New Roman"/>
                <w:noProof/>
                <w:sz w:val="28"/>
                <w:szCs w:val="28"/>
              </w:rPr>
            </w:pPr>
          </w:p>
        </w:tc>
        <w:tc>
          <w:tcPr>
            <w:tcW w:w="1984" w:type="dxa"/>
          </w:tcPr>
          <w:p w14:paraId="043F5F40" w14:textId="72AD4030" w:rsidR="00183730" w:rsidRPr="000C27F6" w:rsidRDefault="00183730" w:rsidP="00183730">
            <w:p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162</w:t>
            </w:r>
          </w:p>
          <w:p w14:paraId="0E35C03F" w14:textId="77777777" w:rsidR="00183730" w:rsidRDefault="00183730" w:rsidP="00183730">
            <w:pPr>
              <w:spacing w:line="360" w:lineRule="auto"/>
              <w:jc w:val="both"/>
              <w:rPr>
                <w:rFonts w:ascii="Times New Roman" w:hAnsi="Times New Roman" w:cs="Times New Roman"/>
                <w:noProof/>
                <w:sz w:val="28"/>
                <w:szCs w:val="28"/>
              </w:rPr>
            </w:pPr>
          </w:p>
        </w:tc>
        <w:tc>
          <w:tcPr>
            <w:tcW w:w="1276" w:type="dxa"/>
            <w:vMerge/>
          </w:tcPr>
          <w:p w14:paraId="3F1CD884" w14:textId="77777777" w:rsidR="00183730" w:rsidRDefault="00183730" w:rsidP="00183730">
            <w:pPr>
              <w:spacing w:line="360" w:lineRule="auto"/>
              <w:jc w:val="both"/>
              <w:rPr>
                <w:rFonts w:ascii="Times New Roman" w:hAnsi="Times New Roman" w:cs="Times New Roman"/>
                <w:noProof/>
                <w:sz w:val="28"/>
                <w:szCs w:val="28"/>
              </w:rPr>
            </w:pPr>
          </w:p>
        </w:tc>
        <w:tc>
          <w:tcPr>
            <w:tcW w:w="941" w:type="dxa"/>
            <w:vMerge/>
          </w:tcPr>
          <w:p w14:paraId="50AB0DEA" w14:textId="77777777" w:rsidR="00183730" w:rsidRDefault="00183730" w:rsidP="00183730">
            <w:pPr>
              <w:spacing w:line="360" w:lineRule="auto"/>
              <w:jc w:val="both"/>
              <w:rPr>
                <w:rFonts w:ascii="Times New Roman" w:hAnsi="Times New Roman" w:cs="Times New Roman"/>
                <w:noProof/>
                <w:sz w:val="28"/>
                <w:szCs w:val="28"/>
              </w:rPr>
            </w:pPr>
          </w:p>
        </w:tc>
        <w:tc>
          <w:tcPr>
            <w:tcW w:w="1888" w:type="dxa"/>
            <w:vMerge/>
          </w:tcPr>
          <w:p w14:paraId="4D41B6F4" w14:textId="77777777" w:rsidR="00183730" w:rsidRDefault="00183730" w:rsidP="00183730">
            <w:pPr>
              <w:spacing w:line="360" w:lineRule="auto"/>
              <w:jc w:val="both"/>
              <w:rPr>
                <w:rFonts w:ascii="Times New Roman" w:hAnsi="Times New Roman" w:cs="Times New Roman"/>
                <w:noProof/>
                <w:sz w:val="28"/>
                <w:szCs w:val="28"/>
              </w:rPr>
            </w:pPr>
          </w:p>
        </w:tc>
      </w:tr>
    </w:tbl>
    <w:p w14:paraId="70029484" w14:textId="104077A3" w:rsidR="009C325D" w:rsidRDefault="006A3F0B" w:rsidP="009C325D">
      <w:pPr>
        <w:spacing w:line="360" w:lineRule="auto"/>
        <w:rPr>
          <w:rFonts w:ascii="Times New Roman" w:hAnsi="Times New Roman" w:cs="Times New Roman"/>
          <w:noProof/>
          <w:sz w:val="28"/>
          <w:szCs w:val="28"/>
        </w:rPr>
      </w:pPr>
      <w:r>
        <w:rPr>
          <w:rFonts w:ascii="Times New Roman" w:hAnsi="Times New Roman" w:cs="Times New Roman"/>
          <w:noProof/>
          <w:sz w:val="28"/>
          <w:szCs w:val="28"/>
        </w:rPr>
        <w:t>Чуствительность метода составила 78%, специфичность и точность – 92% и 90% соответственно.</w:t>
      </w:r>
      <w:r w:rsidR="005E6E5E">
        <w:rPr>
          <w:rFonts w:ascii="Times New Roman" w:hAnsi="Times New Roman" w:cs="Times New Roman"/>
          <w:noProof/>
          <w:sz w:val="28"/>
          <w:szCs w:val="28"/>
        </w:rPr>
        <w:t xml:space="preserve"> ПЦОР – 95,2%</w:t>
      </w:r>
    </w:p>
    <w:p w14:paraId="4E088CBA" w14:textId="3A21EED6" w:rsidR="00C56F53" w:rsidRPr="000C27F6" w:rsidRDefault="00C56F53" w:rsidP="00C56F53">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3.2 </w:t>
      </w:r>
      <w:r w:rsidR="002A0FA9">
        <w:rPr>
          <w:rFonts w:ascii="Times New Roman" w:hAnsi="Times New Roman" w:cs="Times New Roman"/>
          <w:noProof/>
          <w:sz w:val="28"/>
          <w:szCs w:val="28"/>
        </w:rPr>
        <w:t xml:space="preserve">Построение </w:t>
      </w:r>
      <w:r w:rsidR="002A0FA9">
        <w:rPr>
          <w:rFonts w:ascii="Times New Roman" w:hAnsi="Times New Roman" w:cs="Times New Roman"/>
          <w:noProof/>
          <w:sz w:val="28"/>
          <w:szCs w:val="28"/>
          <w:lang w:val="en-US"/>
        </w:rPr>
        <w:t>ROC</w:t>
      </w:r>
      <w:r w:rsidR="002A0FA9" w:rsidRPr="002A0FA9">
        <w:rPr>
          <w:rFonts w:ascii="Times New Roman" w:hAnsi="Times New Roman" w:cs="Times New Roman"/>
          <w:noProof/>
          <w:sz w:val="28"/>
          <w:szCs w:val="28"/>
        </w:rPr>
        <w:t>-</w:t>
      </w:r>
      <w:r w:rsidR="002A0FA9">
        <w:rPr>
          <w:rFonts w:ascii="Times New Roman" w:hAnsi="Times New Roman" w:cs="Times New Roman"/>
          <w:noProof/>
          <w:sz w:val="28"/>
          <w:szCs w:val="28"/>
        </w:rPr>
        <w:t xml:space="preserve">кривой; </w:t>
      </w:r>
      <w:r w:rsidR="005E6E5E">
        <w:rPr>
          <w:rFonts w:ascii="Times New Roman" w:hAnsi="Times New Roman" w:cs="Times New Roman"/>
          <w:noProof/>
          <w:sz w:val="28"/>
          <w:szCs w:val="28"/>
        </w:rPr>
        <w:t>билатеральность и генетика</w:t>
      </w:r>
    </w:p>
    <w:p w14:paraId="04DA65F8" w14:textId="28411234" w:rsidR="001D189C" w:rsidRDefault="002A0FA9" w:rsidP="006A3F0B">
      <w:pPr>
        <w:spacing w:after="240" w:line="360" w:lineRule="auto"/>
        <w:jc w:val="both"/>
        <w:rPr>
          <w:b/>
          <w:bCs/>
          <w:noProof/>
          <w:sz w:val="28"/>
          <w:szCs w:val="28"/>
        </w:rPr>
      </w:pPr>
      <w:r>
        <w:rPr>
          <w:rFonts w:ascii="Times New Roman" w:hAnsi="Times New Roman" w:cs="Times New Roman"/>
          <w:noProof/>
          <w:sz w:val="24"/>
          <w:szCs w:val="24"/>
        </w:rPr>
        <w:drawing>
          <wp:inline distT="0" distB="0" distL="0" distR="0" wp14:anchorId="63641481" wp14:editId="06B3C2F3">
            <wp:extent cx="3181350" cy="2976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3886" t="6275" r="12531" b="7726"/>
                    <a:stretch/>
                  </pic:blipFill>
                  <pic:spPr bwMode="auto">
                    <a:xfrm>
                      <a:off x="0" y="0"/>
                      <a:ext cx="3275339" cy="3064874"/>
                    </a:xfrm>
                    <a:prstGeom prst="rect">
                      <a:avLst/>
                    </a:prstGeom>
                    <a:noFill/>
                    <a:ln>
                      <a:noFill/>
                    </a:ln>
                    <a:extLst>
                      <a:ext uri="{53640926-AAD7-44D8-BBD7-CCE9431645EC}">
                        <a14:shadowObscured xmlns:a14="http://schemas.microsoft.com/office/drawing/2010/main"/>
                      </a:ext>
                    </a:extLst>
                  </pic:spPr>
                </pic:pic>
              </a:graphicData>
            </a:graphic>
          </wp:inline>
        </w:drawing>
      </w:r>
    </w:p>
    <w:p w14:paraId="712A0027" w14:textId="07AB0783" w:rsidR="001D189C" w:rsidRDefault="00324805" w:rsidP="009139A0">
      <w:pPr>
        <w:spacing w:line="360" w:lineRule="auto"/>
        <w:jc w:val="both"/>
        <w:rPr>
          <w:b/>
          <w:bCs/>
          <w:noProof/>
          <w:sz w:val="28"/>
          <w:szCs w:val="28"/>
        </w:rPr>
      </w:pPr>
      <w:r>
        <w:rPr>
          <w:rFonts w:ascii="Times New Roman" w:hAnsi="Times New Roman" w:cs="Times New Roman"/>
          <w:noProof/>
          <w:sz w:val="28"/>
          <w:szCs w:val="28"/>
        </w:rPr>
        <w:lastRenderedPageBreak/>
        <w:t xml:space="preserve">Для того, чтобы оценить влияние </w:t>
      </w:r>
      <w:r w:rsidR="00C204A2">
        <w:rPr>
          <w:rFonts w:ascii="Times New Roman" w:hAnsi="Times New Roman" w:cs="Times New Roman"/>
          <w:noProof/>
          <w:sz w:val="28"/>
          <w:szCs w:val="28"/>
        </w:rPr>
        <w:t xml:space="preserve">выбранной операции на исход лечения, проводилось сравнение частоты наступления биохимической ремиссии </w:t>
      </w:r>
      <w:r w:rsidR="00840051">
        <w:rPr>
          <w:rFonts w:ascii="Times New Roman" w:hAnsi="Times New Roman" w:cs="Times New Roman"/>
          <w:noProof/>
          <w:sz w:val="28"/>
          <w:szCs w:val="28"/>
        </w:rPr>
        <w:t>среди пациентов после тиреоидэктомии и гемитиреоидэктомии, у которых отсутствовали отдаленные метастазы</w:t>
      </w:r>
      <w:r w:rsidR="00504B02">
        <w:rPr>
          <w:rFonts w:ascii="Times New Roman" w:hAnsi="Times New Roman" w:cs="Times New Roman"/>
          <w:noProof/>
          <w:sz w:val="28"/>
          <w:szCs w:val="28"/>
        </w:rPr>
        <w:t>, данные генетического исследования</w:t>
      </w:r>
      <w:r w:rsidR="009E007E">
        <w:rPr>
          <w:rFonts w:ascii="Times New Roman" w:hAnsi="Times New Roman" w:cs="Times New Roman"/>
          <w:noProof/>
          <w:sz w:val="28"/>
          <w:szCs w:val="28"/>
        </w:rPr>
        <w:t xml:space="preserve"> </w:t>
      </w:r>
      <w:r w:rsidR="00504B02">
        <w:rPr>
          <w:rFonts w:ascii="Times New Roman" w:hAnsi="Times New Roman" w:cs="Times New Roman"/>
          <w:noProof/>
          <w:sz w:val="28"/>
          <w:szCs w:val="28"/>
        </w:rPr>
        <w:t>при этом не учитывались</w:t>
      </w:r>
      <w:r w:rsidR="00840051">
        <w:rPr>
          <w:rFonts w:ascii="Times New Roman" w:hAnsi="Times New Roman" w:cs="Times New Roman"/>
          <w:noProof/>
          <w:sz w:val="28"/>
          <w:szCs w:val="28"/>
        </w:rPr>
        <w:t>.</w:t>
      </w:r>
      <w:r w:rsidR="00504B02">
        <w:rPr>
          <w:rFonts w:ascii="Times New Roman" w:hAnsi="Times New Roman" w:cs="Times New Roman"/>
          <w:noProof/>
          <w:sz w:val="28"/>
          <w:szCs w:val="28"/>
        </w:rPr>
        <w:t xml:space="preserve"> </w:t>
      </w:r>
      <w:r w:rsidR="00840051">
        <w:rPr>
          <w:rFonts w:ascii="Times New Roman" w:hAnsi="Times New Roman" w:cs="Times New Roman"/>
          <w:noProof/>
          <w:sz w:val="28"/>
          <w:szCs w:val="28"/>
        </w:rPr>
        <w:t xml:space="preserve"> </w:t>
      </w:r>
      <w:r w:rsidR="00504B02">
        <w:rPr>
          <w:rFonts w:ascii="Times New Roman" w:hAnsi="Times New Roman" w:cs="Times New Roman"/>
          <w:noProof/>
          <w:sz w:val="28"/>
          <w:szCs w:val="28"/>
        </w:rPr>
        <w:t>Статистически значимых различий в распределении на группы получено не было (таблица 3.3).</w:t>
      </w:r>
      <w:r w:rsidR="00AD2F34">
        <w:rPr>
          <w:rFonts w:ascii="Times New Roman" w:hAnsi="Times New Roman" w:cs="Times New Roman"/>
          <w:noProof/>
          <w:sz w:val="28"/>
          <w:szCs w:val="28"/>
        </w:rPr>
        <w:t xml:space="preserve"> Ремиссия наблюдалась в 73% случаев после тиреоидэктомии и в 72,7% случаев после выполнения органосохраняющей операции.</w:t>
      </w:r>
    </w:p>
    <w:p w14:paraId="668E936B" w14:textId="14A2772F" w:rsidR="007E5A30" w:rsidRPr="0021217A" w:rsidRDefault="00504B02" w:rsidP="007E5A30">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Таблица 3.3 </w:t>
      </w:r>
      <w:r w:rsidR="007E5A30">
        <w:rPr>
          <w:rFonts w:ascii="Times New Roman" w:hAnsi="Times New Roman" w:cs="Times New Roman"/>
          <w:noProof/>
          <w:sz w:val="28"/>
          <w:szCs w:val="28"/>
        </w:rPr>
        <w:t>Исходы заболевания после ТЭ и ГТЭ</w:t>
      </w:r>
    </w:p>
    <w:tbl>
      <w:tblPr>
        <w:tblStyle w:val="a3"/>
        <w:tblpPr w:leftFromText="180" w:rightFromText="180" w:vertAnchor="text" w:horzAnchor="margin" w:tblpY="54"/>
        <w:tblW w:w="9628" w:type="dxa"/>
        <w:tblLayout w:type="fixed"/>
        <w:tblLook w:val="04A0" w:firstRow="1" w:lastRow="0" w:firstColumn="1" w:lastColumn="0" w:noHBand="0" w:noVBand="1"/>
      </w:tblPr>
      <w:tblGrid>
        <w:gridCol w:w="845"/>
        <w:gridCol w:w="2409"/>
        <w:gridCol w:w="2125"/>
        <w:gridCol w:w="849"/>
        <w:gridCol w:w="1224"/>
        <w:gridCol w:w="2176"/>
      </w:tblGrid>
      <w:tr w:rsidR="001D0504" w14:paraId="45265902" w14:textId="77777777" w:rsidTr="009E007E">
        <w:trPr>
          <w:trHeight w:val="1600"/>
        </w:trPr>
        <w:tc>
          <w:tcPr>
            <w:tcW w:w="845" w:type="dxa"/>
          </w:tcPr>
          <w:p w14:paraId="06BA67E9" w14:textId="77777777" w:rsidR="007E5A30" w:rsidRDefault="007E5A30" w:rsidP="00447D4B">
            <w:pPr>
              <w:spacing w:line="360" w:lineRule="auto"/>
              <w:jc w:val="both"/>
              <w:rPr>
                <w:rFonts w:ascii="Times New Roman" w:hAnsi="Times New Roman" w:cs="Times New Roman"/>
                <w:noProof/>
                <w:sz w:val="28"/>
                <w:szCs w:val="28"/>
              </w:rPr>
            </w:pPr>
          </w:p>
        </w:tc>
        <w:tc>
          <w:tcPr>
            <w:tcW w:w="2409" w:type="dxa"/>
          </w:tcPr>
          <w:p w14:paraId="1258B69D" w14:textId="77777777" w:rsidR="007E5A30" w:rsidRPr="007E5A30" w:rsidRDefault="007E5A30" w:rsidP="007E5A30">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Биохимическая ремиссия</w:t>
            </w:r>
          </w:p>
          <w:p w14:paraId="383108AC" w14:textId="58ECDFF6" w:rsidR="007E5A30" w:rsidRPr="00183730" w:rsidRDefault="007E5A30" w:rsidP="00447D4B">
            <w:pPr>
              <w:spacing w:line="360" w:lineRule="auto"/>
              <w:jc w:val="both"/>
              <w:rPr>
                <w:rFonts w:ascii="Times New Roman" w:hAnsi="Times New Roman" w:cs="Times New Roman"/>
                <w:noProof/>
                <w:sz w:val="28"/>
                <w:szCs w:val="28"/>
              </w:rPr>
            </w:pPr>
          </w:p>
        </w:tc>
        <w:tc>
          <w:tcPr>
            <w:tcW w:w="2125" w:type="dxa"/>
          </w:tcPr>
          <w:p w14:paraId="79E7BB10" w14:textId="77777777" w:rsidR="007E5A30" w:rsidRPr="007E5A30" w:rsidRDefault="007E5A30" w:rsidP="007E5A30">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Отсутствие биохимическое ремиссии</w:t>
            </w:r>
          </w:p>
          <w:p w14:paraId="4C267CB6" w14:textId="00989DBB" w:rsidR="007E5A30" w:rsidRDefault="007E5A30" w:rsidP="00447D4B">
            <w:pPr>
              <w:spacing w:line="360" w:lineRule="auto"/>
              <w:jc w:val="both"/>
              <w:rPr>
                <w:rFonts w:ascii="Times New Roman" w:hAnsi="Times New Roman" w:cs="Times New Roman"/>
                <w:noProof/>
                <w:sz w:val="28"/>
                <w:szCs w:val="28"/>
              </w:rPr>
            </w:pPr>
          </w:p>
        </w:tc>
        <w:tc>
          <w:tcPr>
            <w:tcW w:w="849" w:type="dxa"/>
          </w:tcPr>
          <w:p w14:paraId="7B8B1DDE" w14:textId="62536CA5" w:rsidR="007E5A30" w:rsidRDefault="001D0504"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p</w:t>
            </w:r>
          </w:p>
        </w:tc>
        <w:tc>
          <w:tcPr>
            <w:tcW w:w="1224" w:type="dxa"/>
          </w:tcPr>
          <w:p w14:paraId="2305BFFE" w14:textId="7C055FC9" w:rsidR="007E5A30" w:rsidRPr="001D0504" w:rsidRDefault="001D0504"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Хи-квадрат</w:t>
            </w:r>
          </w:p>
        </w:tc>
        <w:tc>
          <w:tcPr>
            <w:tcW w:w="2176" w:type="dxa"/>
          </w:tcPr>
          <w:p w14:paraId="2EA32DF2" w14:textId="77777777" w:rsidR="007E5A30" w:rsidRDefault="007E5A30" w:rsidP="00447D4B">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9E007E" w14:paraId="2C3E9341" w14:textId="77777777" w:rsidTr="009E007E">
        <w:trPr>
          <w:trHeight w:val="922"/>
        </w:trPr>
        <w:tc>
          <w:tcPr>
            <w:tcW w:w="845" w:type="dxa"/>
          </w:tcPr>
          <w:p w14:paraId="6B316F20" w14:textId="1A909ED7" w:rsidR="007E5A30" w:rsidRPr="007E5A30" w:rsidRDefault="007E5A30"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ТЭ</w:t>
            </w:r>
          </w:p>
        </w:tc>
        <w:tc>
          <w:tcPr>
            <w:tcW w:w="2409" w:type="dxa"/>
          </w:tcPr>
          <w:p w14:paraId="0527E858" w14:textId="77777777" w:rsidR="001D0504" w:rsidRPr="001D0504" w:rsidRDefault="001D0504" w:rsidP="001D0504">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lang w:val="en-US"/>
              </w:rPr>
              <w:t>218</w:t>
            </w:r>
          </w:p>
          <w:p w14:paraId="0C6EF4E0" w14:textId="77777777" w:rsidR="007E5A30" w:rsidRDefault="007E5A30" w:rsidP="00447D4B">
            <w:pPr>
              <w:spacing w:line="360" w:lineRule="auto"/>
              <w:jc w:val="both"/>
              <w:rPr>
                <w:rFonts w:ascii="Times New Roman" w:hAnsi="Times New Roman" w:cs="Times New Roman"/>
                <w:noProof/>
                <w:sz w:val="28"/>
                <w:szCs w:val="28"/>
              </w:rPr>
            </w:pPr>
          </w:p>
        </w:tc>
        <w:tc>
          <w:tcPr>
            <w:tcW w:w="2125" w:type="dxa"/>
          </w:tcPr>
          <w:p w14:paraId="3C7CF879" w14:textId="77777777" w:rsidR="001D0504" w:rsidRPr="001D0504" w:rsidRDefault="001D0504" w:rsidP="001D0504">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lang w:val="en-US"/>
              </w:rPr>
              <w:t>79</w:t>
            </w:r>
          </w:p>
          <w:p w14:paraId="12C5DFD4" w14:textId="77777777" w:rsidR="007E5A30" w:rsidRDefault="007E5A30" w:rsidP="00447D4B">
            <w:pPr>
              <w:spacing w:line="360" w:lineRule="auto"/>
              <w:jc w:val="both"/>
              <w:rPr>
                <w:rFonts w:ascii="Times New Roman" w:hAnsi="Times New Roman" w:cs="Times New Roman"/>
                <w:noProof/>
                <w:sz w:val="28"/>
                <w:szCs w:val="28"/>
              </w:rPr>
            </w:pPr>
          </w:p>
        </w:tc>
        <w:tc>
          <w:tcPr>
            <w:tcW w:w="849" w:type="dxa"/>
            <w:vMerge w:val="restart"/>
          </w:tcPr>
          <w:p w14:paraId="4C2873C6" w14:textId="77777777" w:rsidR="007E5A30" w:rsidRDefault="007E5A30" w:rsidP="00447D4B">
            <w:pPr>
              <w:spacing w:line="360" w:lineRule="auto"/>
              <w:jc w:val="both"/>
              <w:rPr>
                <w:rFonts w:ascii="Times New Roman" w:hAnsi="Times New Roman" w:cs="Times New Roman"/>
                <w:noProof/>
                <w:sz w:val="28"/>
                <w:szCs w:val="28"/>
              </w:rPr>
            </w:pPr>
          </w:p>
          <w:p w14:paraId="5DCBAB09" w14:textId="77777777" w:rsidR="001D0504" w:rsidRPr="001D0504" w:rsidRDefault="001D0504" w:rsidP="001D0504">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rPr>
              <w:t>0,934</w:t>
            </w:r>
          </w:p>
          <w:p w14:paraId="3F76EE11" w14:textId="77777777" w:rsidR="007E5A30" w:rsidRPr="000C27F6" w:rsidRDefault="007E5A30" w:rsidP="00447D4B">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5097D02D" w14:textId="77777777" w:rsidR="007E5A30" w:rsidRDefault="007E5A30" w:rsidP="00447D4B">
            <w:pPr>
              <w:spacing w:line="360" w:lineRule="auto"/>
              <w:jc w:val="both"/>
              <w:rPr>
                <w:rFonts w:ascii="Times New Roman" w:hAnsi="Times New Roman" w:cs="Times New Roman"/>
                <w:noProof/>
                <w:sz w:val="28"/>
                <w:szCs w:val="28"/>
              </w:rPr>
            </w:pPr>
          </w:p>
        </w:tc>
        <w:tc>
          <w:tcPr>
            <w:tcW w:w="1224" w:type="dxa"/>
            <w:vMerge w:val="restart"/>
          </w:tcPr>
          <w:p w14:paraId="6B1A2B8E" w14:textId="77777777" w:rsidR="007E5A30" w:rsidRDefault="007E5A30" w:rsidP="00447D4B">
            <w:pPr>
              <w:spacing w:line="360" w:lineRule="auto"/>
              <w:jc w:val="both"/>
              <w:rPr>
                <w:rFonts w:ascii="Times New Roman" w:hAnsi="Times New Roman" w:cs="Times New Roman"/>
                <w:noProof/>
                <w:sz w:val="28"/>
                <w:szCs w:val="28"/>
                <w:lang w:val="en-US"/>
              </w:rPr>
            </w:pPr>
          </w:p>
          <w:p w14:paraId="6136C302" w14:textId="77777777" w:rsidR="001D0504" w:rsidRPr="001D0504" w:rsidRDefault="001D0504" w:rsidP="001D0504">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rPr>
              <w:t>0,007</w:t>
            </w:r>
          </w:p>
          <w:p w14:paraId="0B3A27B8" w14:textId="77777777" w:rsidR="007E5A30" w:rsidRDefault="007E5A30" w:rsidP="00447D4B">
            <w:pPr>
              <w:spacing w:line="360" w:lineRule="auto"/>
              <w:jc w:val="both"/>
              <w:rPr>
                <w:rFonts w:ascii="Times New Roman" w:hAnsi="Times New Roman" w:cs="Times New Roman"/>
                <w:noProof/>
                <w:sz w:val="28"/>
                <w:szCs w:val="28"/>
              </w:rPr>
            </w:pPr>
          </w:p>
        </w:tc>
        <w:tc>
          <w:tcPr>
            <w:tcW w:w="2176" w:type="dxa"/>
            <w:vMerge w:val="restart"/>
          </w:tcPr>
          <w:p w14:paraId="51127D88" w14:textId="77777777" w:rsidR="007E5A30" w:rsidRDefault="007E5A30" w:rsidP="00447D4B">
            <w:pPr>
              <w:spacing w:line="360" w:lineRule="auto"/>
              <w:jc w:val="both"/>
              <w:rPr>
                <w:rFonts w:ascii="Times New Roman" w:hAnsi="Times New Roman" w:cs="Times New Roman"/>
                <w:noProof/>
                <w:sz w:val="28"/>
                <w:szCs w:val="28"/>
              </w:rPr>
            </w:pPr>
          </w:p>
          <w:p w14:paraId="052204C5" w14:textId="77777777" w:rsidR="001D0504" w:rsidRPr="001D0504" w:rsidRDefault="001D0504" w:rsidP="001D0504">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rPr>
              <w:t>0,007</w:t>
            </w:r>
          </w:p>
          <w:p w14:paraId="77FC7C6F" w14:textId="77777777" w:rsidR="007E5A30" w:rsidRDefault="007E5A30" w:rsidP="00447D4B">
            <w:pPr>
              <w:spacing w:line="360" w:lineRule="auto"/>
              <w:jc w:val="both"/>
              <w:rPr>
                <w:rFonts w:ascii="Times New Roman" w:hAnsi="Times New Roman" w:cs="Times New Roman"/>
                <w:noProof/>
                <w:sz w:val="28"/>
                <w:szCs w:val="28"/>
              </w:rPr>
            </w:pPr>
          </w:p>
        </w:tc>
      </w:tr>
      <w:tr w:rsidR="009E007E" w14:paraId="06693D87" w14:textId="77777777" w:rsidTr="009E007E">
        <w:trPr>
          <w:trHeight w:val="608"/>
        </w:trPr>
        <w:tc>
          <w:tcPr>
            <w:tcW w:w="845" w:type="dxa"/>
          </w:tcPr>
          <w:p w14:paraId="77A3F1DC" w14:textId="0BBD1725" w:rsidR="007E5A30" w:rsidRPr="007E5A30" w:rsidRDefault="007E5A30"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ГТЭ</w:t>
            </w:r>
          </w:p>
        </w:tc>
        <w:tc>
          <w:tcPr>
            <w:tcW w:w="2409" w:type="dxa"/>
          </w:tcPr>
          <w:p w14:paraId="240E3578" w14:textId="77777777" w:rsidR="001D0504" w:rsidRPr="001D0504" w:rsidRDefault="001D0504" w:rsidP="001D0504">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lang w:val="en-US"/>
              </w:rPr>
              <w:t>24</w:t>
            </w:r>
          </w:p>
          <w:p w14:paraId="16C97C79" w14:textId="77777777" w:rsidR="007E5A30" w:rsidRDefault="007E5A30" w:rsidP="00447D4B">
            <w:pPr>
              <w:spacing w:line="360" w:lineRule="auto"/>
              <w:jc w:val="both"/>
              <w:rPr>
                <w:rFonts w:ascii="Times New Roman" w:hAnsi="Times New Roman" w:cs="Times New Roman"/>
                <w:noProof/>
                <w:sz w:val="28"/>
                <w:szCs w:val="28"/>
              </w:rPr>
            </w:pPr>
          </w:p>
        </w:tc>
        <w:tc>
          <w:tcPr>
            <w:tcW w:w="2125" w:type="dxa"/>
          </w:tcPr>
          <w:p w14:paraId="4AB8F18B" w14:textId="3126276C" w:rsidR="007E5A30" w:rsidRPr="000C27F6" w:rsidRDefault="001D0504"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9</w:t>
            </w:r>
          </w:p>
          <w:p w14:paraId="34173531" w14:textId="77777777" w:rsidR="007E5A30" w:rsidRDefault="007E5A30" w:rsidP="00447D4B">
            <w:pPr>
              <w:spacing w:line="360" w:lineRule="auto"/>
              <w:jc w:val="both"/>
              <w:rPr>
                <w:rFonts w:ascii="Times New Roman" w:hAnsi="Times New Roman" w:cs="Times New Roman"/>
                <w:noProof/>
                <w:sz w:val="28"/>
                <w:szCs w:val="28"/>
              </w:rPr>
            </w:pPr>
          </w:p>
        </w:tc>
        <w:tc>
          <w:tcPr>
            <w:tcW w:w="849" w:type="dxa"/>
            <w:vMerge/>
          </w:tcPr>
          <w:p w14:paraId="79606E84" w14:textId="77777777" w:rsidR="007E5A30" w:rsidRDefault="007E5A30" w:rsidP="00447D4B">
            <w:pPr>
              <w:spacing w:line="360" w:lineRule="auto"/>
              <w:jc w:val="both"/>
              <w:rPr>
                <w:rFonts w:ascii="Times New Roman" w:hAnsi="Times New Roman" w:cs="Times New Roman"/>
                <w:noProof/>
                <w:sz w:val="28"/>
                <w:szCs w:val="28"/>
              </w:rPr>
            </w:pPr>
          </w:p>
        </w:tc>
        <w:tc>
          <w:tcPr>
            <w:tcW w:w="1224" w:type="dxa"/>
            <w:vMerge/>
          </w:tcPr>
          <w:p w14:paraId="037CB65E" w14:textId="77777777" w:rsidR="007E5A30" w:rsidRDefault="007E5A30" w:rsidP="00447D4B">
            <w:pPr>
              <w:spacing w:line="360" w:lineRule="auto"/>
              <w:jc w:val="both"/>
              <w:rPr>
                <w:rFonts w:ascii="Times New Roman" w:hAnsi="Times New Roman" w:cs="Times New Roman"/>
                <w:noProof/>
                <w:sz w:val="28"/>
                <w:szCs w:val="28"/>
              </w:rPr>
            </w:pPr>
          </w:p>
        </w:tc>
        <w:tc>
          <w:tcPr>
            <w:tcW w:w="2176" w:type="dxa"/>
            <w:vMerge/>
          </w:tcPr>
          <w:p w14:paraId="626CE3BA" w14:textId="77777777" w:rsidR="007E5A30" w:rsidRDefault="007E5A30" w:rsidP="00447D4B">
            <w:pPr>
              <w:spacing w:line="360" w:lineRule="auto"/>
              <w:jc w:val="both"/>
              <w:rPr>
                <w:rFonts w:ascii="Times New Roman" w:hAnsi="Times New Roman" w:cs="Times New Roman"/>
                <w:noProof/>
                <w:sz w:val="28"/>
                <w:szCs w:val="28"/>
              </w:rPr>
            </w:pPr>
          </w:p>
        </w:tc>
      </w:tr>
    </w:tbl>
    <w:p w14:paraId="419B0328" w14:textId="4C1AC82E" w:rsidR="001D189C" w:rsidRDefault="001D189C" w:rsidP="009139A0">
      <w:pPr>
        <w:spacing w:line="360" w:lineRule="auto"/>
        <w:jc w:val="both"/>
        <w:rPr>
          <w:b/>
          <w:bCs/>
          <w:noProof/>
          <w:sz w:val="28"/>
          <w:szCs w:val="28"/>
        </w:rPr>
      </w:pPr>
    </w:p>
    <w:p w14:paraId="59221577" w14:textId="51ED7B64" w:rsidR="00550725" w:rsidRPr="009E007E" w:rsidRDefault="009E007E"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Далее было проведено аналогичное сравнение, но только среди пациенотв</w:t>
      </w:r>
      <w:r w:rsidR="00E31091">
        <w:rPr>
          <w:rFonts w:ascii="Times New Roman" w:hAnsi="Times New Roman" w:cs="Times New Roman"/>
          <w:noProof/>
          <w:sz w:val="28"/>
          <w:szCs w:val="28"/>
        </w:rPr>
        <w:t xml:space="preserve">, у которых отсутствовали, как отдаленные метастазы, так и метастазы в боковые шейные лимфоузлы, </w:t>
      </w:r>
      <w:r w:rsidR="00550725">
        <w:rPr>
          <w:rFonts w:ascii="Times New Roman" w:hAnsi="Times New Roman" w:cs="Times New Roman"/>
          <w:noProof/>
          <w:sz w:val="28"/>
          <w:szCs w:val="28"/>
        </w:rPr>
        <w:t>поскольку</w:t>
      </w:r>
      <w:r w:rsidR="00E31091">
        <w:rPr>
          <w:rFonts w:ascii="Times New Roman" w:hAnsi="Times New Roman" w:cs="Times New Roman"/>
          <w:noProof/>
          <w:sz w:val="28"/>
          <w:szCs w:val="28"/>
        </w:rPr>
        <w:t xml:space="preserve"> это является изолированным фактором риска. </w:t>
      </w:r>
      <w:r w:rsidR="007C64E9">
        <w:rPr>
          <w:rFonts w:ascii="Times New Roman" w:hAnsi="Times New Roman" w:cs="Times New Roman"/>
          <w:noProof/>
          <w:sz w:val="28"/>
          <w:szCs w:val="28"/>
        </w:rPr>
        <w:t>Как и в предыдущем случае, выбор способа хирургического лечения никак не влиял на вероятность наступления биохимической ремиссии.</w:t>
      </w:r>
      <w:r w:rsidR="00AD2F34">
        <w:rPr>
          <w:rFonts w:ascii="Times New Roman" w:hAnsi="Times New Roman" w:cs="Times New Roman"/>
          <w:noProof/>
          <w:sz w:val="28"/>
          <w:szCs w:val="28"/>
        </w:rPr>
        <w:t xml:space="preserve"> После тиреоидэктомии ремиссия наблюдалась в 84,21% случаев</w:t>
      </w:r>
      <w:r w:rsidR="00386B59">
        <w:rPr>
          <w:rFonts w:ascii="Times New Roman" w:hAnsi="Times New Roman" w:cs="Times New Roman"/>
          <w:noProof/>
          <w:sz w:val="28"/>
          <w:szCs w:val="28"/>
        </w:rPr>
        <w:t>, после гемитиреоидэктомии в 88,8% случаев</w:t>
      </w:r>
      <w:r w:rsidR="00AD2F34">
        <w:rPr>
          <w:rFonts w:ascii="Times New Roman" w:hAnsi="Times New Roman" w:cs="Times New Roman"/>
          <w:noProof/>
          <w:sz w:val="28"/>
          <w:szCs w:val="28"/>
        </w:rPr>
        <w:t>.</w:t>
      </w:r>
      <w:r w:rsidR="007C64E9">
        <w:rPr>
          <w:rFonts w:ascii="Times New Roman" w:hAnsi="Times New Roman" w:cs="Times New Roman"/>
          <w:noProof/>
          <w:sz w:val="28"/>
          <w:szCs w:val="28"/>
        </w:rPr>
        <w:t xml:space="preserve"> </w:t>
      </w:r>
      <w:r w:rsidR="00550725">
        <w:rPr>
          <w:rFonts w:ascii="Times New Roman" w:hAnsi="Times New Roman" w:cs="Times New Roman"/>
          <w:noProof/>
          <w:sz w:val="28"/>
          <w:szCs w:val="28"/>
        </w:rPr>
        <w:t xml:space="preserve">Их распределение показано в </w:t>
      </w:r>
      <w:r w:rsidR="007C64E9">
        <w:rPr>
          <w:rFonts w:ascii="Times New Roman" w:hAnsi="Times New Roman" w:cs="Times New Roman"/>
          <w:noProof/>
          <w:sz w:val="28"/>
          <w:szCs w:val="28"/>
        </w:rPr>
        <w:t>таблице 3.4</w:t>
      </w:r>
      <w:r w:rsidR="00386B59">
        <w:rPr>
          <w:rFonts w:ascii="Times New Roman" w:hAnsi="Times New Roman" w:cs="Times New Roman"/>
          <w:noProof/>
          <w:sz w:val="28"/>
          <w:szCs w:val="28"/>
        </w:rPr>
        <w:t>.</w:t>
      </w:r>
    </w:p>
    <w:p w14:paraId="43D7F1F4" w14:textId="2C087636" w:rsidR="0021217A" w:rsidRDefault="0021217A" w:rsidP="009139A0">
      <w:pPr>
        <w:spacing w:line="360" w:lineRule="auto"/>
        <w:jc w:val="both"/>
        <w:rPr>
          <w:rFonts w:ascii="Times New Roman" w:hAnsi="Times New Roman" w:cs="Times New Roman"/>
          <w:b/>
          <w:bCs/>
          <w:noProof/>
          <w:sz w:val="28"/>
          <w:szCs w:val="28"/>
        </w:rPr>
      </w:pPr>
    </w:p>
    <w:p w14:paraId="5BABCEEE" w14:textId="692E6E14" w:rsidR="00C56F53" w:rsidRDefault="00C56F53" w:rsidP="009139A0">
      <w:pPr>
        <w:spacing w:line="360" w:lineRule="auto"/>
        <w:jc w:val="both"/>
        <w:rPr>
          <w:rFonts w:ascii="Times New Roman" w:hAnsi="Times New Roman" w:cs="Times New Roman"/>
          <w:b/>
          <w:bCs/>
          <w:noProof/>
          <w:sz w:val="28"/>
          <w:szCs w:val="28"/>
        </w:rPr>
      </w:pPr>
    </w:p>
    <w:tbl>
      <w:tblPr>
        <w:tblStyle w:val="a3"/>
        <w:tblpPr w:leftFromText="180" w:rightFromText="180" w:vertAnchor="text" w:horzAnchor="margin" w:tblpY="564"/>
        <w:tblW w:w="9460" w:type="dxa"/>
        <w:tblLayout w:type="fixed"/>
        <w:tblLook w:val="04A0" w:firstRow="1" w:lastRow="0" w:firstColumn="1" w:lastColumn="0" w:noHBand="0" w:noVBand="1"/>
      </w:tblPr>
      <w:tblGrid>
        <w:gridCol w:w="830"/>
        <w:gridCol w:w="2367"/>
        <w:gridCol w:w="2088"/>
        <w:gridCol w:w="834"/>
        <w:gridCol w:w="1203"/>
        <w:gridCol w:w="2138"/>
      </w:tblGrid>
      <w:tr w:rsidR="000E378B" w14:paraId="1B06E015" w14:textId="77777777" w:rsidTr="000E378B">
        <w:trPr>
          <w:trHeight w:val="1600"/>
        </w:trPr>
        <w:tc>
          <w:tcPr>
            <w:tcW w:w="830" w:type="dxa"/>
          </w:tcPr>
          <w:p w14:paraId="52BE77E5" w14:textId="77777777" w:rsidR="00386B59" w:rsidRDefault="00386B59" w:rsidP="00386B59">
            <w:pPr>
              <w:spacing w:line="360" w:lineRule="auto"/>
              <w:jc w:val="both"/>
              <w:rPr>
                <w:rFonts w:ascii="Times New Roman" w:hAnsi="Times New Roman" w:cs="Times New Roman"/>
                <w:noProof/>
                <w:sz w:val="28"/>
                <w:szCs w:val="28"/>
              </w:rPr>
            </w:pPr>
          </w:p>
        </w:tc>
        <w:tc>
          <w:tcPr>
            <w:tcW w:w="2367" w:type="dxa"/>
          </w:tcPr>
          <w:p w14:paraId="700A7936" w14:textId="77777777" w:rsidR="00386B59" w:rsidRPr="007E5A30" w:rsidRDefault="00386B59" w:rsidP="00386B59">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Биохимическая ремиссия</w:t>
            </w:r>
          </w:p>
          <w:p w14:paraId="5CD8F178" w14:textId="77777777" w:rsidR="00386B59" w:rsidRPr="00183730" w:rsidRDefault="00386B59" w:rsidP="00386B59">
            <w:pPr>
              <w:spacing w:line="360" w:lineRule="auto"/>
              <w:jc w:val="both"/>
              <w:rPr>
                <w:rFonts w:ascii="Times New Roman" w:hAnsi="Times New Roman" w:cs="Times New Roman"/>
                <w:noProof/>
                <w:sz w:val="28"/>
                <w:szCs w:val="28"/>
              </w:rPr>
            </w:pPr>
          </w:p>
        </w:tc>
        <w:tc>
          <w:tcPr>
            <w:tcW w:w="2088" w:type="dxa"/>
          </w:tcPr>
          <w:p w14:paraId="09B47551" w14:textId="77777777" w:rsidR="00386B59" w:rsidRPr="007E5A30" w:rsidRDefault="00386B59" w:rsidP="00386B59">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Отсутствие биохимическое ремиссии</w:t>
            </w:r>
          </w:p>
          <w:p w14:paraId="6B056D67" w14:textId="77777777" w:rsidR="00386B59" w:rsidRDefault="00386B59" w:rsidP="00386B59">
            <w:pPr>
              <w:spacing w:line="360" w:lineRule="auto"/>
              <w:jc w:val="both"/>
              <w:rPr>
                <w:rFonts w:ascii="Times New Roman" w:hAnsi="Times New Roman" w:cs="Times New Roman"/>
                <w:noProof/>
                <w:sz w:val="28"/>
                <w:szCs w:val="28"/>
              </w:rPr>
            </w:pPr>
          </w:p>
        </w:tc>
        <w:tc>
          <w:tcPr>
            <w:tcW w:w="834" w:type="dxa"/>
          </w:tcPr>
          <w:p w14:paraId="4A430579" w14:textId="77777777" w:rsidR="00386B59" w:rsidRDefault="00386B59" w:rsidP="00386B5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p</w:t>
            </w:r>
          </w:p>
        </w:tc>
        <w:tc>
          <w:tcPr>
            <w:tcW w:w="1203" w:type="dxa"/>
          </w:tcPr>
          <w:p w14:paraId="0835D2F2" w14:textId="77777777" w:rsidR="00386B59" w:rsidRPr="001D0504" w:rsidRDefault="00386B59" w:rsidP="00386B5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Хи-квадрат</w:t>
            </w:r>
          </w:p>
        </w:tc>
        <w:tc>
          <w:tcPr>
            <w:tcW w:w="2138" w:type="dxa"/>
          </w:tcPr>
          <w:p w14:paraId="13EA352E" w14:textId="77777777" w:rsidR="00386B59" w:rsidRDefault="00386B59" w:rsidP="00386B59">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386B59" w14:paraId="7B2D78CD" w14:textId="77777777" w:rsidTr="000E378B">
        <w:trPr>
          <w:trHeight w:val="922"/>
        </w:trPr>
        <w:tc>
          <w:tcPr>
            <w:tcW w:w="830" w:type="dxa"/>
          </w:tcPr>
          <w:p w14:paraId="71CF4C35" w14:textId="77777777" w:rsidR="00386B59" w:rsidRPr="007E5A30" w:rsidRDefault="00386B59" w:rsidP="00386B5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ТЭ</w:t>
            </w:r>
          </w:p>
        </w:tc>
        <w:tc>
          <w:tcPr>
            <w:tcW w:w="2367" w:type="dxa"/>
          </w:tcPr>
          <w:p w14:paraId="38AB9181" w14:textId="3EF6F3D4" w:rsidR="00386B59" w:rsidRPr="001D0504" w:rsidRDefault="00386B59" w:rsidP="00386B59">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lang w:val="en-US"/>
              </w:rPr>
              <w:t>2</w:t>
            </w:r>
            <w:r w:rsidR="004F1F00">
              <w:rPr>
                <w:rFonts w:ascii="Times New Roman" w:hAnsi="Times New Roman" w:cs="Times New Roman"/>
                <w:noProof/>
                <w:sz w:val="28"/>
                <w:szCs w:val="28"/>
              </w:rPr>
              <w:t>0</w:t>
            </w:r>
            <w:r w:rsidRPr="001D0504">
              <w:rPr>
                <w:rFonts w:ascii="Times New Roman" w:hAnsi="Times New Roman" w:cs="Times New Roman"/>
                <w:noProof/>
                <w:sz w:val="28"/>
                <w:szCs w:val="28"/>
                <w:lang w:val="en-US"/>
              </w:rPr>
              <w:t>8</w:t>
            </w:r>
          </w:p>
          <w:p w14:paraId="28F9CC45" w14:textId="77777777" w:rsidR="00386B59" w:rsidRDefault="00386B59" w:rsidP="00386B59">
            <w:pPr>
              <w:spacing w:line="360" w:lineRule="auto"/>
              <w:jc w:val="both"/>
              <w:rPr>
                <w:rFonts w:ascii="Times New Roman" w:hAnsi="Times New Roman" w:cs="Times New Roman"/>
                <w:noProof/>
                <w:sz w:val="28"/>
                <w:szCs w:val="28"/>
              </w:rPr>
            </w:pPr>
          </w:p>
        </w:tc>
        <w:tc>
          <w:tcPr>
            <w:tcW w:w="2088" w:type="dxa"/>
          </w:tcPr>
          <w:p w14:paraId="121E34B5" w14:textId="3E30E370" w:rsidR="00386B59" w:rsidRPr="001D0504" w:rsidRDefault="004F1F00" w:rsidP="00386B5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39</w:t>
            </w:r>
          </w:p>
          <w:p w14:paraId="2BD8BBBA" w14:textId="77777777" w:rsidR="00386B59" w:rsidRDefault="00386B59" w:rsidP="00386B59">
            <w:pPr>
              <w:spacing w:line="360" w:lineRule="auto"/>
              <w:jc w:val="both"/>
              <w:rPr>
                <w:rFonts w:ascii="Times New Roman" w:hAnsi="Times New Roman" w:cs="Times New Roman"/>
                <w:noProof/>
                <w:sz w:val="28"/>
                <w:szCs w:val="28"/>
              </w:rPr>
            </w:pPr>
          </w:p>
        </w:tc>
        <w:tc>
          <w:tcPr>
            <w:tcW w:w="834" w:type="dxa"/>
            <w:vMerge w:val="restart"/>
          </w:tcPr>
          <w:p w14:paraId="34A69C59" w14:textId="77777777" w:rsidR="00386B59" w:rsidRDefault="00386B59" w:rsidP="00386B59">
            <w:pPr>
              <w:spacing w:line="360" w:lineRule="auto"/>
              <w:jc w:val="both"/>
              <w:rPr>
                <w:rFonts w:ascii="Times New Roman" w:hAnsi="Times New Roman" w:cs="Times New Roman"/>
                <w:noProof/>
                <w:sz w:val="28"/>
                <w:szCs w:val="28"/>
              </w:rPr>
            </w:pPr>
          </w:p>
          <w:p w14:paraId="76C8CAA3" w14:textId="2096E4CB" w:rsidR="00386B59" w:rsidRPr="001D0504" w:rsidRDefault="00386B59" w:rsidP="00386B59">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rPr>
              <w:t>0,</w:t>
            </w:r>
            <w:r w:rsidR="004F1F00">
              <w:rPr>
                <w:rFonts w:ascii="Times New Roman" w:hAnsi="Times New Roman" w:cs="Times New Roman"/>
                <w:noProof/>
                <w:sz w:val="28"/>
                <w:szCs w:val="28"/>
              </w:rPr>
              <w:t>52</w:t>
            </w:r>
          </w:p>
          <w:p w14:paraId="1012B3EC" w14:textId="77777777" w:rsidR="00386B59" w:rsidRPr="000C27F6" w:rsidRDefault="00386B59" w:rsidP="00386B59">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388D1D02" w14:textId="77777777" w:rsidR="00386B59" w:rsidRDefault="00386B59" w:rsidP="00386B59">
            <w:pPr>
              <w:spacing w:line="360" w:lineRule="auto"/>
              <w:jc w:val="both"/>
              <w:rPr>
                <w:rFonts w:ascii="Times New Roman" w:hAnsi="Times New Roman" w:cs="Times New Roman"/>
                <w:noProof/>
                <w:sz w:val="28"/>
                <w:szCs w:val="28"/>
              </w:rPr>
            </w:pPr>
          </w:p>
        </w:tc>
        <w:tc>
          <w:tcPr>
            <w:tcW w:w="1203" w:type="dxa"/>
            <w:vMerge w:val="restart"/>
          </w:tcPr>
          <w:p w14:paraId="189E9904" w14:textId="77777777" w:rsidR="00386B59" w:rsidRDefault="00386B59" w:rsidP="00386B59">
            <w:pPr>
              <w:spacing w:line="360" w:lineRule="auto"/>
              <w:jc w:val="both"/>
              <w:rPr>
                <w:rFonts w:ascii="Times New Roman" w:hAnsi="Times New Roman" w:cs="Times New Roman"/>
                <w:noProof/>
                <w:sz w:val="28"/>
                <w:szCs w:val="28"/>
                <w:lang w:val="en-US"/>
              </w:rPr>
            </w:pPr>
          </w:p>
          <w:p w14:paraId="1760E647" w14:textId="18895BDA" w:rsidR="00386B59" w:rsidRPr="001D0504" w:rsidRDefault="00386B59" w:rsidP="00386B59">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rPr>
              <w:t>0,</w:t>
            </w:r>
            <w:r w:rsidR="004F1F00">
              <w:rPr>
                <w:rFonts w:ascii="Times New Roman" w:hAnsi="Times New Roman" w:cs="Times New Roman"/>
                <w:noProof/>
                <w:sz w:val="28"/>
                <w:szCs w:val="28"/>
              </w:rPr>
              <w:t>41</w:t>
            </w:r>
          </w:p>
          <w:p w14:paraId="7B6EF1A1" w14:textId="77777777" w:rsidR="00386B59" w:rsidRDefault="00386B59" w:rsidP="00386B59">
            <w:pPr>
              <w:spacing w:line="360" w:lineRule="auto"/>
              <w:jc w:val="both"/>
              <w:rPr>
                <w:rFonts w:ascii="Times New Roman" w:hAnsi="Times New Roman" w:cs="Times New Roman"/>
                <w:noProof/>
                <w:sz w:val="28"/>
                <w:szCs w:val="28"/>
              </w:rPr>
            </w:pPr>
          </w:p>
        </w:tc>
        <w:tc>
          <w:tcPr>
            <w:tcW w:w="2138" w:type="dxa"/>
            <w:vMerge w:val="restart"/>
          </w:tcPr>
          <w:p w14:paraId="6A38A466" w14:textId="77777777" w:rsidR="00386B59" w:rsidRDefault="00386B59" w:rsidP="00386B59">
            <w:pPr>
              <w:spacing w:line="360" w:lineRule="auto"/>
              <w:jc w:val="both"/>
              <w:rPr>
                <w:rFonts w:ascii="Times New Roman" w:hAnsi="Times New Roman" w:cs="Times New Roman"/>
                <w:noProof/>
                <w:sz w:val="28"/>
                <w:szCs w:val="28"/>
              </w:rPr>
            </w:pPr>
          </w:p>
          <w:p w14:paraId="1A07C116" w14:textId="100D06AC" w:rsidR="00386B59" w:rsidRPr="001D0504" w:rsidRDefault="00386B59" w:rsidP="00386B59">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rPr>
              <w:t>0,</w:t>
            </w:r>
            <w:r w:rsidR="004F1F00">
              <w:rPr>
                <w:rFonts w:ascii="Times New Roman" w:hAnsi="Times New Roman" w:cs="Times New Roman"/>
                <w:noProof/>
                <w:sz w:val="28"/>
                <w:szCs w:val="28"/>
              </w:rPr>
              <w:t>44</w:t>
            </w:r>
          </w:p>
          <w:p w14:paraId="36872F47" w14:textId="77777777" w:rsidR="00386B59" w:rsidRDefault="00386B59" w:rsidP="00386B59">
            <w:pPr>
              <w:spacing w:line="360" w:lineRule="auto"/>
              <w:jc w:val="both"/>
              <w:rPr>
                <w:rFonts w:ascii="Times New Roman" w:hAnsi="Times New Roman" w:cs="Times New Roman"/>
                <w:noProof/>
                <w:sz w:val="28"/>
                <w:szCs w:val="28"/>
              </w:rPr>
            </w:pPr>
          </w:p>
        </w:tc>
      </w:tr>
      <w:tr w:rsidR="00386B59" w14:paraId="18AC2499" w14:textId="77777777" w:rsidTr="000E378B">
        <w:trPr>
          <w:trHeight w:val="756"/>
        </w:trPr>
        <w:tc>
          <w:tcPr>
            <w:tcW w:w="830" w:type="dxa"/>
          </w:tcPr>
          <w:p w14:paraId="1A8051A7" w14:textId="77777777" w:rsidR="00386B59" w:rsidRPr="007E5A30" w:rsidRDefault="00386B59" w:rsidP="00386B5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ГТЭ</w:t>
            </w:r>
          </w:p>
        </w:tc>
        <w:tc>
          <w:tcPr>
            <w:tcW w:w="2367" w:type="dxa"/>
          </w:tcPr>
          <w:p w14:paraId="47C92CD7" w14:textId="77777777" w:rsidR="00386B59" w:rsidRPr="001D0504" w:rsidRDefault="00386B59" w:rsidP="00386B59">
            <w:pPr>
              <w:spacing w:line="360" w:lineRule="auto"/>
              <w:jc w:val="both"/>
              <w:rPr>
                <w:rFonts w:ascii="Times New Roman" w:hAnsi="Times New Roman" w:cs="Times New Roman"/>
                <w:noProof/>
                <w:sz w:val="28"/>
                <w:szCs w:val="28"/>
              </w:rPr>
            </w:pPr>
            <w:r w:rsidRPr="001D0504">
              <w:rPr>
                <w:rFonts w:ascii="Times New Roman" w:hAnsi="Times New Roman" w:cs="Times New Roman"/>
                <w:noProof/>
                <w:sz w:val="28"/>
                <w:szCs w:val="28"/>
                <w:lang w:val="en-US"/>
              </w:rPr>
              <w:t>24</w:t>
            </w:r>
          </w:p>
          <w:p w14:paraId="0BC9FE4A" w14:textId="77777777" w:rsidR="00386B59" w:rsidRDefault="00386B59" w:rsidP="00386B59">
            <w:pPr>
              <w:spacing w:line="360" w:lineRule="auto"/>
              <w:jc w:val="both"/>
              <w:rPr>
                <w:rFonts w:ascii="Times New Roman" w:hAnsi="Times New Roman" w:cs="Times New Roman"/>
                <w:noProof/>
                <w:sz w:val="28"/>
                <w:szCs w:val="28"/>
              </w:rPr>
            </w:pPr>
          </w:p>
        </w:tc>
        <w:tc>
          <w:tcPr>
            <w:tcW w:w="2088" w:type="dxa"/>
          </w:tcPr>
          <w:p w14:paraId="5F2D099D" w14:textId="23B3842D" w:rsidR="00386B59" w:rsidRPr="000C27F6" w:rsidRDefault="004F1F00" w:rsidP="00386B5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3</w:t>
            </w:r>
          </w:p>
          <w:p w14:paraId="5DD6B6BB" w14:textId="77777777" w:rsidR="00386B59" w:rsidRDefault="00386B59" w:rsidP="00386B59">
            <w:pPr>
              <w:spacing w:line="360" w:lineRule="auto"/>
              <w:jc w:val="both"/>
              <w:rPr>
                <w:rFonts w:ascii="Times New Roman" w:hAnsi="Times New Roman" w:cs="Times New Roman"/>
                <w:noProof/>
                <w:sz w:val="28"/>
                <w:szCs w:val="28"/>
              </w:rPr>
            </w:pPr>
          </w:p>
        </w:tc>
        <w:tc>
          <w:tcPr>
            <w:tcW w:w="834" w:type="dxa"/>
            <w:vMerge/>
          </w:tcPr>
          <w:p w14:paraId="112D16F4" w14:textId="77777777" w:rsidR="00386B59" w:rsidRDefault="00386B59" w:rsidP="00386B59">
            <w:pPr>
              <w:spacing w:line="360" w:lineRule="auto"/>
              <w:jc w:val="both"/>
              <w:rPr>
                <w:rFonts w:ascii="Times New Roman" w:hAnsi="Times New Roman" w:cs="Times New Roman"/>
                <w:noProof/>
                <w:sz w:val="28"/>
                <w:szCs w:val="28"/>
              </w:rPr>
            </w:pPr>
          </w:p>
        </w:tc>
        <w:tc>
          <w:tcPr>
            <w:tcW w:w="1203" w:type="dxa"/>
            <w:vMerge/>
          </w:tcPr>
          <w:p w14:paraId="09D63B27" w14:textId="77777777" w:rsidR="00386B59" w:rsidRDefault="00386B59" w:rsidP="00386B59">
            <w:pPr>
              <w:spacing w:line="360" w:lineRule="auto"/>
              <w:jc w:val="both"/>
              <w:rPr>
                <w:rFonts w:ascii="Times New Roman" w:hAnsi="Times New Roman" w:cs="Times New Roman"/>
                <w:noProof/>
                <w:sz w:val="28"/>
                <w:szCs w:val="28"/>
              </w:rPr>
            </w:pPr>
          </w:p>
        </w:tc>
        <w:tc>
          <w:tcPr>
            <w:tcW w:w="2138" w:type="dxa"/>
            <w:vMerge/>
          </w:tcPr>
          <w:p w14:paraId="7AA7F698" w14:textId="77777777" w:rsidR="00386B59" w:rsidRDefault="00386B59" w:rsidP="00386B59">
            <w:pPr>
              <w:spacing w:line="360" w:lineRule="auto"/>
              <w:jc w:val="both"/>
              <w:rPr>
                <w:rFonts w:ascii="Times New Roman" w:hAnsi="Times New Roman" w:cs="Times New Roman"/>
                <w:noProof/>
                <w:sz w:val="28"/>
                <w:szCs w:val="28"/>
              </w:rPr>
            </w:pPr>
          </w:p>
        </w:tc>
      </w:tr>
    </w:tbl>
    <w:p w14:paraId="009B4A89" w14:textId="708FC852" w:rsidR="000E378B" w:rsidRDefault="00386B59" w:rsidP="000E378B">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Таблица 3.4 Исходы заболевания </w:t>
      </w:r>
      <w:r w:rsidR="004F1F00">
        <w:rPr>
          <w:rFonts w:ascii="Times New Roman" w:hAnsi="Times New Roman" w:cs="Times New Roman"/>
          <w:noProof/>
          <w:sz w:val="28"/>
          <w:szCs w:val="28"/>
        </w:rPr>
        <w:t>у пациентов без удаленных БЛУ</w:t>
      </w:r>
    </w:p>
    <w:p w14:paraId="1F123E51" w14:textId="2E31E05A" w:rsidR="00E84736" w:rsidRDefault="00E84736"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14:paraId="0CBC3BBD" w14:textId="3824A397" w:rsidR="00893A71" w:rsidRDefault="00E84736" w:rsidP="00893A71">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Затем</w:t>
      </w:r>
      <w:r w:rsidR="00987B74">
        <w:rPr>
          <w:rFonts w:ascii="Times New Roman" w:hAnsi="Times New Roman" w:cs="Times New Roman"/>
          <w:noProof/>
          <w:sz w:val="28"/>
          <w:szCs w:val="28"/>
        </w:rPr>
        <w:t xml:space="preserve"> была сопоставленна частота развития биохимической ремиссии после ТЭ и ГТЭ, только среди пациенотв, у которых были диагностированны метастазы в боковые лимфоузлы шеи</w:t>
      </w:r>
      <w:r w:rsidR="00207608">
        <w:rPr>
          <w:rFonts w:ascii="Times New Roman" w:hAnsi="Times New Roman" w:cs="Times New Roman"/>
          <w:noProof/>
          <w:sz w:val="28"/>
          <w:szCs w:val="28"/>
        </w:rPr>
        <w:t>. В данную группу пациенов вошли 67 человек у 11 из которых были также и отдаленные метастазы.</w:t>
      </w:r>
      <w:r w:rsidR="00987B74">
        <w:rPr>
          <w:rFonts w:ascii="Times New Roman" w:hAnsi="Times New Roman" w:cs="Times New Roman"/>
          <w:noProof/>
          <w:sz w:val="28"/>
          <w:szCs w:val="28"/>
        </w:rPr>
        <w:t xml:space="preserve"> </w:t>
      </w:r>
      <w:r w:rsidR="007441D3">
        <w:rPr>
          <w:rFonts w:ascii="Times New Roman" w:hAnsi="Times New Roman" w:cs="Times New Roman"/>
          <w:noProof/>
          <w:sz w:val="28"/>
          <w:szCs w:val="28"/>
        </w:rPr>
        <w:t>Ремиссия наблюдалась тольлко у 10 человек, каждому из которых была выполнена ТЭ (</w:t>
      </w:r>
      <w:r w:rsidR="00893A71">
        <w:rPr>
          <w:rFonts w:ascii="Times New Roman" w:hAnsi="Times New Roman" w:cs="Times New Roman"/>
          <w:noProof/>
          <w:sz w:val="28"/>
          <w:szCs w:val="28"/>
        </w:rPr>
        <w:t xml:space="preserve">таблица </w:t>
      </w:r>
      <w:r w:rsidR="007441D3">
        <w:rPr>
          <w:rFonts w:ascii="Times New Roman" w:hAnsi="Times New Roman" w:cs="Times New Roman"/>
          <w:noProof/>
          <w:sz w:val="28"/>
          <w:szCs w:val="28"/>
        </w:rPr>
        <w:t>3.5</w:t>
      </w:r>
      <w:r w:rsidR="00893A71">
        <w:rPr>
          <w:rFonts w:ascii="Times New Roman" w:hAnsi="Times New Roman" w:cs="Times New Roman"/>
          <w:noProof/>
          <w:sz w:val="28"/>
          <w:szCs w:val="28"/>
        </w:rPr>
        <w:t>)</w:t>
      </w:r>
      <w:r w:rsidR="007441D3">
        <w:rPr>
          <w:rFonts w:ascii="Times New Roman" w:hAnsi="Times New Roman" w:cs="Times New Roman"/>
          <w:noProof/>
          <w:sz w:val="28"/>
          <w:szCs w:val="28"/>
        </w:rPr>
        <w:t xml:space="preserve">. </w:t>
      </w:r>
    </w:p>
    <w:tbl>
      <w:tblPr>
        <w:tblStyle w:val="a3"/>
        <w:tblpPr w:leftFromText="180" w:rightFromText="180" w:vertAnchor="text" w:horzAnchor="margin" w:tblpY="564"/>
        <w:tblW w:w="9460" w:type="dxa"/>
        <w:tblLayout w:type="fixed"/>
        <w:tblLook w:val="04A0" w:firstRow="1" w:lastRow="0" w:firstColumn="1" w:lastColumn="0" w:noHBand="0" w:noVBand="1"/>
      </w:tblPr>
      <w:tblGrid>
        <w:gridCol w:w="830"/>
        <w:gridCol w:w="2367"/>
        <w:gridCol w:w="2088"/>
        <w:gridCol w:w="947"/>
        <w:gridCol w:w="1276"/>
        <w:gridCol w:w="1952"/>
      </w:tblGrid>
      <w:tr w:rsidR="00893A71" w14:paraId="3D40A2C3" w14:textId="77777777" w:rsidTr="008E7685">
        <w:trPr>
          <w:trHeight w:val="1600"/>
        </w:trPr>
        <w:tc>
          <w:tcPr>
            <w:tcW w:w="830" w:type="dxa"/>
          </w:tcPr>
          <w:p w14:paraId="38FB0269" w14:textId="77777777" w:rsidR="00893A71" w:rsidRDefault="00893A71" w:rsidP="00447D4B">
            <w:pPr>
              <w:spacing w:line="360" w:lineRule="auto"/>
              <w:jc w:val="both"/>
              <w:rPr>
                <w:rFonts w:ascii="Times New Roman" w:hAnsi="Times New Roman" w:cs="Times New Roman"/>
                <w:noProof/>
                <w:sz w:val="28"/>
                <w:szCs w:val="28"/>
              </w:rPr>
            </w:pPr>
          </w:p>
        </w:tc>
        <w:tc>
          <w:tcPr>
            <w:tcW w:w="2367" w:type="dxa"/>
          </w:tcPr>
          <w:p w14:paraId="1098566E" w14:textId="77777777" w:rsidR="00893A71" w:rsidRPr="007E5A30" w:rsidRDefault="00893A71" w:rsidP="00447D4B">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Биохимическая ремиссия</w:t>
            </w:r>
          </w:p>
          <w:p w14:paraId="3F387D19" w14:textId="77777777" w:rsidR="00893A71" w:rsidRPr="00183730" w:rsidRDefault="00893A71" w:rsidP="00447D4B">
            <w:pPr>
              <w:spacing w:line="360" w:lineRule="auto"/>
              <w:jc w:val="both"/>
              <w:rPr>
                <w:rFonts w:ascii="Times New Roman" w:hAnsi="Times New Roman" w:cs="Times New Roman"/>
                <w:noProof/>
                <w:sz w:val="28"/>
                <w:szCs w:val="28"/>
              </w:rPr>
            </w:pPr>
          </w:p>
        </w:tc>
        <w:tc>
          <w:tcPr>
            <w:tcW w:w="2088" w:type="dxa"/>
          </w:tcPr>
          <w:p w14:paraId="7523F854" w14:textId="77777777" w:rsidR="00893A71" w:rsidRPr="007E5A30" w:rsidRDefault="00893A71" w:rsidP="00447D4B">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Отсутствие биохимическое ремиссии</w:t>
            </w:r>
          </w:p>
          <w:p w14:paraId="7FFA9CF5" w14:textId="77777777" w:rsidR="00893A71" w:rsidRDefault="00893A71" w:rsidP="00447D4B">
            <w:pPr>
              <w:spacing w:line="360" w:lineRule="auto"/>
              <w:jc w:val="both"/>
              <w:rPr>
                <w:rFonts w:ascii="Times New Roman" w:hAnsi="Times New Roman" w:cs="Times New Roman"/>
                <w:noProof/>
                <w:sz w:val="28"/>
                <w:szCs w:val="28"/>
              </w:rPr>
            </w:pPr>
          </w:p>
        </w:tc>
        <w:tc>
          <w:tcPr>
            <w:tcW w:w="947" w:type="dxa"/>
          </w:tcPr>
          <w:p w14:paraId="4C645951" w14:textId="77777777" w:rsidR="00893A71" w:rsidRDefault="00893A71"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p</w:t>
            </w:r>
          </w:p>
        </w:tc>
        <w:tc>
          <w:tcPr>
            <w:tcW w:w="1276" w:type="dxa"/>
          </w:tcPr>
          <w:p w14:paraId="40C34B12" w14:textId="77777777" w:rsidR="00893A71" w:rsidRPr="001D0504" w:rsidRDefault="00893A71"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Хи-квадрат</w:t>
            </w:r>
          </w:p>
        </w:tc>
        <w:tc>
          <w:tcPr>
            <w:tcW w:w="1952" w:type="dxa"/>
          </w:tcPr>
          <w:p w14:paraId="1F23D8CB" w14:textId="77777777" w:rsidR="00893A71" w:rsidRDefault="00893A71" w:rsidP="00447D4B">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893A71" w14:paraId="6FE967A9" w14:textId="77777777" w:rsidTr="008E7685">
        <w:trPr>
          <w:trHeight w:val="922"/>
        </w:trPr>
        <w:tc>
          <w:tcPr>
            <w:tcW w:w="830" w:type="dxa"/>
          </w:tcPr>
          <w:p w14:paraId="73B0E376" w14:textId="77777777" w:rsidR="00893A71" w:rsidRPr="007E5A30" w:rsidRDefault="00893A71"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ТЭ</w:t>
            </w:r>
          </w:p>
        </w:tc>
        <w:tc>
          <w:tcPr>
            <w:tcW w:w="2367" w:type="dxa"/>
          </w:tcPr>
          <w:p w14:paraId="1F1134ED" w14:textId="77777777" w:rsidR="008E7685" w:rsidRPr="008E7685" w:rsidRDefault="008E7685" w:rsidP="008E7685">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10</w:t>
            </w:r>
          </w:p>
          <w:p w14:paraId="4A77F704" w14:textId="77777777" w:rsidR="00893A71" w:rsidRDefault="00893A71" w:rsidP="00447D4B">
            <w:pPr>
              <w:spacing w:line="360" w:lineRule="auto"/>
              <w:jc w:val="both"/>
              <w:rPr>
                <w:rFonts w:ascii="Times New Roman" w:hAnsi="Times New Roman" w:cs="Times New Roman"/>
                <w:noProof/>
                <w:sz w:val="28"/>
                <w:szCs w:val="28"/>
              </w:rPr>
            </w:pPr>
          </w:p>
        </w:tc>
        <w:tc>
          <w:tcPr>
            <w:tcW w:w="2088" w:type="dxa"/>
          </w:tcPr>
          <w:p w14:paraId="64ECC494" w14:textId="77777777" w:rsidR="008E7685" w:rsidRPr="008E7685" w:rsidRDefault="008E7685" w:rsidP="008E7685">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50</w:t>
            </w:r>
          </w:p>
          <w:p w14:paraId="3EBE7A42" w14:textId="77777777" w:rsidR="00893A71" w:rsidRDefault="00893A71" w:rsidP="00447D4B">
            <w:pPr>
              <w:spacing w:line="360" w:lineRule="auto"/>
              <w:jc w:val="both"/>
              <w:rPr>
                <w:rFonts w:ascii="Times New Roman" w:hAnsi="Times New Roman" w:cs="Times New Roman"/>
                <w:noProof/>
                <w:sz w:val="28"/>
                <w:szCs w:val="28"/>
              </w:rPr>
            </w:pPr>
          </w:p>
        </w:tc>
        <w:tc>
          <w:tcPr>
            <w:tcW w:w="947" w:type="dxa"/>
            <w:vMerge w:val="restart"/>
          </w:tcPr>
          <w:p w14:paraId="2C6504E1" w14:textId="77777777" w:rsidR="00893A71" w:rsidRDefault="00893A71" w:rsidP="00447D4B">
            <w:pPr>
              <w:spacing w:line="360" w:lineRule="auto"/>
              <w:jc w:val="both"/>
              <w:rPr>
                <w:rFonts w:ascii="Times New Roman" w:hAnsi="Times New Roman" w:cs="Times New Roman"/>
                <w:noProof/>
                <w:sz w:val="28"/>
                <w:szCs w:val="28"/>
              </w:rPr>
            </w:pPr>
          </w:p>
          <w:p w14:paraId="554E48CB" w14:textId="77777777" w:rsidR="008E7685" w:rsidRPr="008E7685" w:rsidRDefault="008E7685" w:rsidP="008E7685">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0,242</w:t>
            </w:r>
          </w:p>
          <w:p w14:paraId="4BA1E0EF" w14:textId="77777777" w:rsidR="00893A71" w:rsidRPr="000C27F6" w:rsidRDefault="00893A71" w:rsidP="00447D4B">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1C3F1515" w14:textId="77777777" w:rsidR="00893A71" w:rsidRDefault="00893A71" w:rsidP="00447D4B">
            <w:pPr>
              <w:spacing w:line="360" w:lineRule="auto"/>
              <w:jc w:val="both"/>
              <w:rPr>
                <w:rFonts w:ascii="Times New Roman" w:hAnsi="Times New Roman" w:cs="Times New Roman"/>
                <w:noProof/>
                <w:sz w:val="28"/>
                <w:szCs w:val="28"/>
              </w:rPr>
            </w:pPr>
          </w:p>
        </w:tc>
        <w:tc>
          <w:tcPr>
            <w:tcW w:w="1276" w:type="dxa"/>
            <w:vMerge w:val="restart"/>
          </w:tcPr>
          <w:p w14:paraId="3B187B74" w14:textId="77777777" w:rsidR="00893A71" w:rsidRDefault="00893A71" w:rsidP="00447D4B">
            <w:pPr>
              <w:spacing w:line="360" w:lineRule="auto"/>
              <w:jc w:val="both"/>
              <w:rPr>
                <w:rFonts w:ascii="Times New Roman" w:hAnsi="Times New Roman" w:cs="Times New Roman"/>
                <w:noProof/>
                <w:sz w:val="28"/>
                <w:szCs w:val="28"/>
                <w:lang w:val="en-US"/>
              </w:rPr>
            </w:pPr>
          </w:p>
          <w:p w14:paraId="0EE2384E" w14:textId="77777777" w:rsidR="008E7685" w:rsidRPr="008E7685" w:rsidRDefault="008E7685" w:rsidP="008E7685">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1,37</w:t>
            </w:r>
          </w:p>
          <w:p w14:paraId="304ACD1B" w14:textId="77777777" w:rsidR="00893A71" w:rsidRDefault="00893A71" w:rsidP="00447D4B">
            <w:pPr>
              <w:spacing w:line="360" w:lineRule="auto"/>
              <w:jc w:val="both"/>
              <w:rPr>
                <w:rFonts w:ascii="Times New Roman" w:hAnsi="Times New Roman" w:cs="Times New Roman"/>
                <w:noProof/>
                <w:sz w:val="28"/>
                <w:szCs w:val="28"/>
              </w:rPr>
            </w:pPr>
          </w:p>
        </w:tc>
        <w:tc>
          <w:tcPr>
            <w:tcW w:w="1952" w:type="dxa"/>
            <w:vMerge w:val="restart"/>
          </w:tcPr>
          <w:p w14:paraId="40AB59C7" w14:textId="77777777" w:rsidR="00893A71" w:rsidRDefault="00893A71" w:rsidP="00447D4B">
            <w:pPr>
              <w:spacing w:line="360" w:lineRule="auto"/>
              <w:jc w:val="both"/>
              <w:rPr>
                <w:rFonts w:ascii="Times New Roman" w:hAnsi="Times New Roman" w:cs="Times New Roman"/>
                <w:noProof/>
                <w:sz w:val="28"/>
                <w:szCs w:val="28"/>
              </w:rPr>
            </w:pPr>
          </w:p>
          <w:p w14:paraId="587C810B" w14:textId="77777777" w:rsidR="008E7685" w:rsidRPr="008E7685" w:rsidRDefault="008E7685" w:rsidP="008E7685">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2,4</w:t>
            </w:r>
          </w:p>
          <w:p w14:paraId="7D3B8850" w14:textId="1A989A04" w:rsidR="00893A71" w:rsidRDefault="00893A71" w:rsidP="00447D4B">
            <w:pPr>
              <w:spacing w:line="360" w:lineRule="auto"/>
              <w:jc w:val="both"/>
              <w:rPr>
                <w:rFonts w:ascii="Times New Roman" w:hAnsi="Times New Roman" w:cs="Times New Roman"/>
                <w:noProof/>
                <w:sz w:val="28"/>
                <w:szCs w:val="28"/>
              </w:rPr>
            </w:pPr>
          </w:p>
        </w:tc>
      </w:tr>
      <w:tr w:rsidR="00893A71" w14:paraId="370748D0" w14:textId="77777777" w:rsidTr="008E7685">
        <w:trPr>
          <w:trHeight w:val="756"/>
        </w:trPr>
        <w:tc>
          <w:tcPr>
            <w:tcW w:w="830" w:type="dxa"/>
          </w:tcPr>
          <w:p w14:paraId="683AAF4F" w14:textId="77777777" w:rsidR="00893A71" w:rsidRPr="007E5A30" w:rsidRDefault="00893A71"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ГТЭ</w:t>
            </w:r>
          </w:p>
        </w:tc>
        <w:tc>
          <w:tcPr>
            <w:tcW w:w="2367" w:type="dxa"/>
          </w:tcPr>
          <w:p w14:paraId="6BB3CD8C" w14:textId="77777777" w:rsidR="008E7685" w:rsidRPr="008E7685" w:rsidRDefault="008E7685" w:rsidP="008E7685">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0</w:t>
            </w:r>
          </w:p>
          <w:p w14:paraId="5BB8A62D" w14:textId="77777777" w:rsidR="00893A71" w:rsidRDefault="00893A71" w:rsidP="00447D4B">
            <w:pPr>
              <w:spacing w:line="360" w:lineRule="auto"/>
              <w:jc w:val="both"/>
              <w:rPr>
                <w:rFonts w:ascii="Times New Roman" w:hAnsi="Times New Roman" w:cs="Times New Roman"/>
                <w:noProof/>
                <w:sz w:val="28"/>
                <w:szCs w:val="28"/>
              </w:rPr>
            </w:pPr>
          </w:p>
        </w:tc>
        <w:tc>
          <w:tcPr>
            <w:tcW w:w="2088" w:type="dxa"/>
          </w:tcPr>
          <w:p w14:paraId="55CBFD1D" w14:textId="23FA6166" w:rsidR="00893A71" w:rsidRPr="000C27F6" w:rsidRDefault="008E7685"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7</w:t>
            </w:r>
          </w:p>
          <w:p w14:paraId="0DBA298A" w14:textId="77777777" w:rsidR="00893A71" w:rsidRDefault="00893A71" w:rsidP="00447D4B">
            <w:pPr>
              <w:spacing w:line="360" w:lineRule="auto"/>
              <w:jc w:val="both"/>
              <w:rPr>
                <w:rFonts w:ascii="Times New Roman" w:hAnsi="Times New Roman" w:cs="Times New Roman"/>
                <w:noProof/>
                <w:sz w:val="28"/>
                <w:szCs w:val="28"/>
              </w:rPr>
            </w:pPr>
          </w:p>
        </w:tc>
        <w:tc>
          <w:tcPr>
            <w:tcW w:w="947" w:type="dxa"/>
            <w:vMerge/>
          </w:tcPr>
          <w:p w14:paraId="39D84B1B" w14:textId="77777777" w:rsidR="00893A71" w:rsidRDefault="00893A71" w:rsidP="00447D4B">
            <w:pPr>
              <w:spacing w:line="360" w:lineRule="auto"/>
              <w:jc w:val="both"/>
              <w:rPr>
                <w:rFonts w:ascii="Times New Roman" w:hAnsi="Times New Roman" w:cs="Times New Roman"/>
                <w:noProof/>
                <w:sz w:val="28"/>
                <w:szCs w:val="28"/>
              </w:rPr>
            </w:pPr>
          </w:p>
        </w:tc>
        <w:tc>
          <w:tcPr>
            <w:tcW w:w="1276" w:type="dxa"/>
            <w:vMerge/>
          </w:tcPr>
          <w:p w14:paraId="39C61896" w14:textId="77777777" w:rsidR="00893A71" w:rsidRDefault="00893A71" w:rsidP="00447D4B">
            <w:pPr>
              <w:spacing w:line="360" w:lineRule="auto"/>
              <w:jc w:val="both"/>
              <w:rPr>
                <w:rFonts w:ascii="Times New Roman" w:hAnsi="Times New Roman" w:cs="Times New Roman"/>
                <w:noProof/>
                <w:sz w:val="28"/>
                <w:szCs w:val="28"/>
              </w:rPr>
            </w:pPr>
          </w:p>
        </w:tc>
        <w:tc>
          <w:tcPr>
            <w:tcW w:w="1952" w:type="dxa"/>
            <w:vMerge/>
          </w:tcPr>
          <w:p w14:paraId="7FA9FACB" w14:textId="77777777" w:rsidR="00893A71" w:rsidRDefault="00893A71" w:rsidP="00447D4B">
            <w:pPr>
              <w:spacing w:line="360" w:lineRule="auto"/>
              <w:jc w:val="both"/>
              <w:rPr>
                <w:rFonts w:ascii="Times New Roman" w:hAnsi="Times New Roman" w:cs="Times New Roman"/>
                <w:noProof/>
                <w:sz w:val="28"/>
                <w:szCs w:val="28"/>
              </w:rPr>
            </w:pPr>
          </w:p>
        </w:tc>
      </w:tr>
    </w:tbl>
    <w:p w14:paraId="2D813233" w14:textId="7B6287A9" w:rsidR="00893A71" w:rsidRDefault="00893A71" w:rsidP="00893A71">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Таблица 3.5 </w:t>
      </w:r>
      <w:r w:rsidR="00536CC9">
        <w:rPr>
          <w:rFonts w:ascii="Times New Roman" w:hAnsi="Times New Roman" w:cs="Times New Roman"/>
          <w:noProof/>
          <w:sz w:val="28"/>
          <w:szCs w:val="28"/>
        </w:rPr>
        <w:t>Вероятность ремиссии</w:t>
      </w:r>
      <w:r>
        <w:rPr>
          <w:rFonts w:ascii="Times New Roman" w:hAnsi="Times New Roman" w:cs="Times New Roman"/>
          <w:noProof/>
          <w:sz w:val="28"/>
          <w:szCs w:val="28"/>
        </w:rPr>
        <w:t xml:space="preserve"> у пациентов </w:t>
      </w:r>
      <w:r w:rsidR="008E7685">
        <w:rPr>
          <w:rFonts w:ascii="Times New Roman" w:hAnsi="Times New Roman" w:cs="Times New Roman"/>
          <w:noProof/>
          <w:sz w:val="28"/>
          <w:szCs w:val="28"/>
        </w:rPr>
        <w:t>метастазами в БЛУ и М1</w:t>
      </w:r>
    </w:p>
    <w:p w14:paraId="506F91D0" w14:textId="77777777" w:rsidR="00893A71" w:rsidRDefault="00893A71" w:rsidP="00893A71">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14:paraId="053763C4" w14:textId="77777777" w:rsidR="00893A71" w:rsidRDefault="00893A71" w:rsidP="00893A71">
      <w:pPr>
        <w:spacing w:line="360" w:lineRule="auto"/>
        <w:jc w:val="center"/>
        <w:rPr>
          <w:rFonts w:ascii="Times New Roman" w:hAnsi="Times New Roman" w:cs="Times New Roman"/>
          <w:noProof/>
          <w:sz w:val="28"/>
          <w:szCs w:val="28"/>
        </w:rPr>
      </w:pPr>
    </w:p>
    <w:p w14:paraId="0F13CB02" w14:textId="77777777" w:rsidR="00893A71" w:rsidRDefault="00893A71" w:rsidP="009139A0">
      <w:pPr>
        <w:spacing w:line="360" w:lineRule="auto"/>
        <w:jc w:val="both"/>
        <w:rPr>
          <w:rFonts w:ascii="Times New Roman" w:hAnsi="Times New Roman" w:cs="Times New Roman"/>
          <w:noProof/>
          <w:sz w:val="28"/>
          <w:szCs w:val="28"/>
        </w:rPr>
      </w:pPr>
    </w:p>
    <w:p w14:paraId="5CF1FE0D" w14:textId="7EDC684C" w:rsidR="008E7685" w:rsidRDefault="008F5E2E"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Так как среди пациентов с распространенными формами медуллярного рака ремиссия встречается сравнительно редко, мы также сравниваем вероятность неблагоприятного исхода, в зависимости от выбранной </w:t>
      </w:r>
      <w:r w:rsidR="00711C73">
        <w:rPr>
          <w:rFonts w:ascii="Times New Roman" w:hAnsi="Times New Roman" w:cs="Times New Roman"/>
          <w:noProof/>
          <w:sz w:val="28"/>
          <w:szCs w:val="28"/>
        </w:rPr>
        <w:t>операции. К не</w:t>
      </w:r>
      <w:r w:rsidR="00586CE8">
        <w:rPr>
          <w:rFonts w:ascii="Times New Roman" w:hAnsi="Times New Roman" w:cs="Times New Roman"/>
          <w:noProof/>
          <w:sz w:val="28"/>
          <w:szCs w:val="28"/>
        </w:rPr>
        <w:t xml:space="preserve">благоприятным исходам заболевания были отнесены пациенты с быстрым ростом кальцитонина или умерший от основного заболевания. Приведённые ниже данные (таблица 3.6) </w:t>
      </w:r>
      <w:r w:rsidR="00536CC9">
        <w:rPr>
          <w:rFonts w:ascii="Times New Roman" w:hAnsi="Times New Roman" w:cs="Times New Roman"/>
          <w:noProof/>
          <w:sz w:val="28"/>
          <w:szCs w:val="28"/>
        </w:rPr>
        <w:t>свидетельствуют о том, что выбор операции не влияет на вероятность неблагоприятного исхода.</w:t>
      </w:r>
    </w:p>
    <w:p w14:paraId="4B4028A3" w14:textId="165C462A" w:rsidR="00536CC9" w:rsidRDefault="00536CC9" w:rsidP="00536CC9">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Таблица 3.6 Вероятность неблагоприятного исхода у пациентов метастазами в БЛУ и М1</w:t>
      </w:r>
    </w:p>
    <w:tbl>
      <w:tblPr>
        <w:tblStyle w:val="a3"/>
        <w:tblpPr w:leftFromText="180" w:rightFromText="180" w:vertAnchor="text" w:horzAnchor="margin" w:tblpY="120"/>
        <w:tblW w:w="9634" w:type="dxa"/>
        <w:tblLayout w:type="fixed"/>
        <w:tblLook w:val="04A0" w:firstRow="1" w:lastRow="0" w:firstColumn="1" w:lastColumn="0" w:noHBand="0" w:noVBand="1"/>
      </w:tblPr>
      <w:tblGrid>
        <w:gridCol w:w="830"/>
        <w:gridCol w:w="2367"/>
        <w:gridCol w:w="2088"/>
        <w:gridCol w:w="947"/>
        <w:gridCol w:w="1276"/>
        <w:gridCol w:w="2126"/>
      </w:tblGrid>
      <w:tr w:rsidR="00536CC9" w14:paraId="4D35D8C0" w14:textId="77777777" w:rsidTr="004F32B5">
        <w:trPr>
          <w:trHeight w:val="1600"/>
        </w:trPr>
        <w:tc>
          <w:tcPr>
            <w:tcW w:w="830" w:type="dxa"/>
          </w:tcPr>
          <w:p w14:paraId="57FE0250" w14:textId="77777777" w:rsidR="00536CC9" w:rsidRDefault="00536CC9" w:rsidP="00536CC9">
            <w:pPr>
              <w:spacing w:line="360" w:lineRule="auto"/>
              <w:jc w:val="both"/>
              <w:rPr>
                <w:rFonts w:ascii="Times New Roman" w:hAnsi="Times New Roman" w:cs="Times New Roman"/>
                <w:noProof/>
                <w:sz w:val="28"/>
                <w:szCs w:val="28"/>
              </w:rPr>
            </w:pPr>
          </w:p>
        </w:tc>
        <w:tc>
          <w:tcPr>
            <w:tcW w:w="2367" w:type="dxa"/>
          </w:tcPr>
          <w:p w14:paraId="46ABABCD" w14:textId="77777777" w:rsidR="00536CC9" w:rsidRPr="007E5A30" w:rsidRDefault="00536CC9" w:rsidP="00536CC9">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Биохимическая ремиссия</w:t>
            </w:r>
          </w:p>
          <w:p w14:paraId="42EAB129" w14:textId="77777777" w:rsidR="00536CC9" w:rsidRPr="00183730" w:rsidRDefault="00536CC9" w:rsidP="00536CC9">
            <w:pPr>
              <w:spacing w:line="360" w:lineRule="auto"/>
              <w:jc w:val="both"/>
              <w:rPr>
                <w:rFonts w:ascii="Times New Roman" w:hAnsi="Times New Roman" w:cs="Times New Roman"/>
                <w:noProof/>
                <w:sz w:val="28"/>
                <w:szCs w:val="28"/>
              </w:rPr>
            </w:pPr>
          </w:p>
        </w:tc>
        <w:tc>
          <w:tcPr>
            <w:tcW w:w="2088" w:type="dxa"/>
          </w:tcPr>
          <w:p w14:paraId="409B5BFE" w14:textId="77777777" w:rsidR="00536CC9" w:rsidRPr="007E5A30" w:rsidRDefault="00536CC9" w:rsidP="00536CC9">
            <w:pPr>
              <w:spacing w:line="360" w:lineRule="auto"/>
              <w:jc w:val="both"/>
              <w:rPr>
                <w:rFonts w:ascii="Times New Roman" w:hAnsi="Times New Roman" w:cs="Times New Roman"/>
                <w:noProof/>
                <w:sz w:val="28"/>
                <w:szCs w:val="28"/>
              </w:rPr>
            </w:pPr>
            <w:r w:rsidRPr="007E5A30">
              <w:rPr>
                <w:rFonts w:ascii="Times New Roman" w:hAnsi="Times New Roman" w:cs="Times New Roman"/>
                <w:noProof/>
                <w:sz w:val="28"/>
                <w:szCs w:val="28"/>
              </w:rPr>
              <w:t>Отсутствие биохимическое ремиссии</w:t>
            </w:r>
          </w:p>
          <w:p w14:paraId="232500E8" w14:textId="77777777" w:rsidR="00536CC9" w:rsidRDefault="00536CC9" w:rsidP="00536CC9">
            <w:pPr>
              <w:spacing w:line="360" w:lineRule="auto"/>
              <w:jc w:val="both"/>
              <w:rPr>
                <w:rFonts w:ascii="Times New Roman" w:hAnsi="Times New Roman" w:cs="Times New Roman"/>
                <w:noProof/>
                <w:sz w:val="28"/>
                <w:szCs w:val="28"/>
              </w:rPr>
            </w:pPr>
          </w:p>
        </w:tc>
        <w:tc>
          <w:tcPr>
            <w:tcW w:w="947" w:type="dxa"/>
          </w:tcPr>
          <w:p w14:paraId="5DA091C1" w14:textId="77777777" w:rsidR="00536CC9" w:rsidRDefault="00536CC9" w:rsidP="00536CC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p</w:t>
            </w:r>
          </w:p>
        </w:tc>
        <w:tc>
          <w:tcPr>
            <w:tcW w:w="1276" w:type="dxa"/>
          </w:tcPr>
          <w:p w14:paraId="74049245" w14:textId="77777777" w:rsidR="00536CC9" w:rsidRPr="001D0504" w:rsidRDefault="00536CC9" w:rsidP="00536CC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Хи-квадрат</w:t>
            </w:r>
          </w:p>
        </w:tc>
        <w:tc>
          <w:tcPr>
            <w:tcW w:w="2126" w:type="dxa"/>
          </w:tcPr>
          <w:p w14:paraId="6E6C5640" w14:textId="77777777" w:rsidR="00536CC9" w:rsidRDefault="00536CC9" w:rsidP="00536CC9">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536CC9" w14:paraId="0E077930" w14:textId="77777777" w:rsidTr="004F32B5">
        <w:trPr>
          <w:trHeight w:val="922"/>
        </w:trPr>
        <w:tc>
          <w:tcPr>
            <w:tcW w:w="830" w:type="dxa"/>
          </w:tcPr>
          <w:p w14:paraId="25C90F33" w14:textId="77777777" w:rsidR="00536CC9" w:rsidRPr="007E5A30" w:rsidRDefault="00536CC9" w:rsidP="00536CC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ТЭ</w:t>
            </w:r>
          </w:p>
        </w:tc>
        <w:tc>
          <w:tcPr>
            <w:tcW w:w="2367" w:type="dxa"/>
          </w:tcPr>
          <w:p w14:paraId="2D58DC03" w14:textId="77777777" w:rsidR="00536CC9" w:rsidRPr="008E7685" w:rsidRDefault="00536CC9" w:rsidP="00536CC9">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10</w:t>
            </w:r>
          </w:p>
          <w:p w14:paraId="44FD39AE" w14:textId="77777777" w:rsidR="00536CC9" w:rsidRDefault="00536CC9" w:rsidP="00536CC9">
            <w:pPr>
              <w:spacing w:line="360" w:lineRule="auto"/>
              <w:jc w:val="both"/>
              <w:rPr>
                <w:rFonts w:ascii="Times New Roman" w:hAnsi="Times New Roman" w:cs="Times New Roman"/>
                <w:noProof/>
                <w:sz w:val="28"/>
                <w:szCs w:val="28"/>
              </w:rPr>
            </w:pPr>
          </w:p>
        </w:tc>
        <w:tc>
          <w:tcPr>
            <w:tcW w:w="2088" w:type="dxa"/>
          </w:tcPr>
          <w:p w14:paraId="419A92D7" w14:textId="77777777" w:rsidR="00536CC9" w:rsidRPr="008E7685" w:rsidRDefault="00536CC9" w:rsidP="00536CC9">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50</w:t>
            </w:r>
          </w:p>
          <w:p w14:paraId="620018A5" w14:textId="77777777" w:rsidR="00536CC9" w:rsidRDefault="00536CC9" w:rsidP="00536CC9">
            <w:pPr>
              <w:spacing w:line="360" w:lineRule="auto"/>
              <w:jc w:val="both"/>
              <w:rPr>
                <w:rFonts w:ascii="Times New Roman" w:hAnsi="Times New Roman" w:cs="Times New Roman"/>
                <w:noProof/>
                <w:sz w:val="28"/>
                <w:szCs w:val="28"/>
              </w:rPr>
            </w:pPr>
          </w:p>
        </w:tc>
        <w:tc>
          <w:tcPr>
            <w:tcW w:w="947" w:type="dxa"/>
            <w:vMerge w:val="restart"/>
          </w:tcPr>
          <w:p w14:paraId="38BE6A47" w14:textId="77777777" w:rsidR="00536CC9" w:rsidRDefault="00536CC9" w:rsidP="00536CC9">
            <w:pPr>
              <w:spacing w:line="360" w:lineRule="auto"/>
              <w:jc w:val="both"/>
              <w:rPr>
                <w:rFonts w:ascii="Times New Roman" w:hAnsi="Times New Roman" w:cs="Times New Roman"/>
                <w:noProof/>
                <w:sz w:val="28"/>
                <w:szCs w:val="28"/>
              </w:rPr>
            </w:pPr>
          </w:p>
          <w:p w14:paraId="7BFFF4B0" w14:textId="77777777" w:rsidR="00536CC9" w:rsidRPr="008E7685" w:rsidRDefault="00536CC9" w:rsidP="00536CC9">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0,242</w:t>
            </w:r>
          </w:p>
          <w:p w14:paraId="255B0E68" w14:textId="77777777" w:rsidR="00536CC9" w:rsidRPr="000C27F6" w:rsidRDefault="00536CC9" w:rsidP="00536CC9">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31447909" w14:textId="77777777" w:rsidR="00536CC9" w:rsidRDefault="00536CC9" w:rsidP="00536CC9">
            <w:pPr>
              <w:spacing w:line="360" w:lineRule="auto"/>
              <w:jc w:val="both"/>
              <w:rPr>
                <w:rFonts w:ascii="Times New Roman" w:hAnsi="Times New Roman" w:cs="Times New Roman"/>
                <w:noProof/>
                <w:sz w:val="28"/>
                <w:szCs w:val="28"/>
              </w:rPr>
            </w:pPr>
          </w:p>
        </w:tc>
        <w:tc>
          <w:tcPr>
            <w:tcW w:w="1276" w:type="dxa"/>
            <w:vMerge w:val="restart"/>
          </w:tcPr>
          <w:p w14:paraId="2AE40C29" w14:textId="77777777" w:rsidR="00536CC9" w:rsidRDefault="00536CC9" w:rsidP="00536CC9">
            <w:pPr>
              <w:spacing w:line="360" w:lineRule="auto"/>
              <w:jc w:val="both"/>
              <w:rPr>
                <w:rFonts w:ascii="Times New Roman" w:hAnsi="Times New Roman" w:cs="Times New Roman"/>
                <w:noProof/>
                <w:sz w:val="28"/>
                <w:szCs w:val="28"/>
                <w:lang w:val="en-US"/>
              </w:rPr>
            </w:pPr>
          </w:p>
          <w:p w14:paraId="09B35C16" w14:textId="77777777" w:rsidR="00536CC9" w:rsidRPr="008E7685" w:rsidRDefault="00536CC9" w:rsidP="00536CC9">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1,37</w:t>
            </w:r>
          </w:p>
          <w:p w14:paraId="40E06DA4" w14:textId="77777777" w:rsidR="00536CC9" w:rsidRDefault="00536CC9" w:rsidP="00536CC9">
            <w:pPr>
              <w:spacing w:line="360" w:lineRule="auto"/>
              <w:jc w:val="both"/>
              <w:rPr>
                <w:rFonts w:ascii="Times New Roman" w:hAnsi="Times New Roman" w:cs="Times New Roman"/>
                <w:noProof/>
                <w:sz w:val="28"/>
                <w:szCs w:val="28"/>
              </w:rPr>
            </w:pPr>
          </w:p>
        </w:tc>
        <w:tc>
          <w:tcPr>
            <w:tcW w:w="2126" w:type="dxa"/>
            <w:vMerge w:val="restart"/>
          </w:tcPr>
          <w:p w14:paraId="7CDB0883" w14:textId="77777777" w:rsidR="00536CC9" w:rsidRDefault="00536CC9" w:rsidP="00536CC9">
            <w:pPr>
              <w:spacing w:line="360" w:lineRule="auto"/>
              <w:jc w:val="both"/>
              <w:rPr>
                <w:rFonts w:ascii="Times New Roman" w:hAnsi="Times New Roman" w:cs="Times New Roman"/>
                <w:noProof/>
                <w:sz w:val="28"/>
                <w:szCs w:val="28"/>
              </w:rPr>
            </w:pPr>
          </w:p>
          <w:p w14:paraId="79E284EB" w14:textId="77777777" w:rsidR="00536CC9" w:rsidRPr="008E7685" w:rsidRDefault="00536CC9" w:rsidP="00536CC9">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2,4</w:t>
            </w:r>
          </w:p>
          <w:p w14:paraId="02122AFA" w14:textId="77777777" w:rsidR="00536CC9" w:rsidRDefault="00536CC9" w:rsidP="00536CC9">
            <w:pPr>
              <w:spacing w:line="360" w:lineRule="auto"/>
              <w:jc w:val="both"/>
              <w:rPr>
                <w:rFonts w:ascii="Times New Roman" w:hAnsi="Times New Roman" w:cs="Times New Roman"/>
                <w:noProof/>
                <w:sz w:val="28"/>
                <w:szCs w:val="28"/>
              </w:rPr>
            </w:pPr>
          </w:p>
        </w:tc>
      </w:tr>
      <w:tr w:rsidR="00536CC9" w14:paraId="650AC5AF" w14:textId="77777777" w:rsidTr="004F32B5">
        <w:trPr>
          <w:trHeight w:val="756"/>
        </w:trPr>
        <w:tc>
          <w:tcPr>
            <w:tcW w:w="830" w:type="dxa"/>
          </w:tcPr>
          <w:p w14:paraId="4FC0DB0A" w14:textId="77777777" w:rsidR="00536CC9" w:rsidRPr="007E5A30" w:rsidRDefault="00536CC9" w:rsidP="00536CC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ГТЭ</w:t>
            </w:r>
          </w:p>
        </w:tc>
        <w:tc>
          <w:tcPr>
            <w:tcW w:w="2367" w:type="dxa"/>
          </w:tcPr>
          <w:p w14:paraId="349FECBE" w14:textId="77777777" w:rsidR="00536CC9" w:rsidRPr="008E7685" w:rsidRDefault="00536CC9" w:rsidP="00536CC9">
            <w:pPr>
              <w:spacing w:line="360" w:lineRule="auto"/>
              <w:jc w:val="both"/>
              <w:rPr>
                <w:rFonts w:ascii="Times New Roman" w:hAnsi="Times New Roman" w:cs="Times New Roman"/>
                <w:noProof/>
                <w:sz w:val="28"/>
                <w:szCs w:val="28"/>
              </w:rPr>
            </w:pPr>
            <w:r w:rsidRPr="008E7685">
              <w:rPr>
                <w:rFonts w:ascii="Times New Roman" w:hAnsi="Times New Roman" w:cs="Times New Roman"/>
                <w:noProof/>
                <w:sz w:val="28"/>
                <w:szCs w:val="28"/>
              </w:rPr>
              <w:t>0</w:t>
            </w:r>
          </w:p>
          <w:p w14:paraId="764A1441" w14:textId="77777777" w:rsidR="00536CC9" w:rsidRDefault="00536CC9" w:rsidP="00536CC9">
            <w:pPr>
              <w:spacing w:line="360" w:lineRule="auto"/>
              <w:jc w:val="both"/>
              <w:rPr>
                <w:rFonts w:ascii="Times New Roman" w:hAnsi="Times New Roman" w:cs="Times New Roman"/>
                <w:noProof/>
                <w:sz w:val="28"/>
                <w:szCs w:val="28"/>
              </w:rPr>
            </w:pPr>
          </w:p>
        </w:tc>
        <w:tc>
          <w:tcPr>
            <w:tcW w:w="2088" w:type="dxa"/>
          </w:tcPr>
          <w:p w14:paraId="12F7FCA6" w14:textId="77777777" w:rsidR="00536CC9" w:rsidRPr="000C27F6" w:rsidRDefault="00536CC9" w:rsidP="00536CC9">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7</w:t>
            </w:r>
          </w:p>
          <w:p w14:paraId="4EA429AC" w14:textId="77777777" w:rsidR="00536CC9" w:rsidRDefault="00536CC9" w:rsidP="00536CC9">
            <w:pPr>
              <w:spacing w:line="360" w:lineRule="auto"/>
              <w:jc w:val="both"/>
              <w:rPr>
                <w:rFonts w:ascii="Times New Roman" w:hAnsi="Times New Roman" w:cs="Times New Roman"/>
                <w:noProof/>
                <w:sz w:val="28"/>
                <w:szCs w:val="28"/>
              </w:rPr>
            </w:pPr>
          </w:p>
        </w:tc>
        <w:tc>
          <w:tcPr>
            <w:tcW w:w="947" w:type="dxa"/>
            <w:vMerge/>
          </w:tcPr>
          <w:p w14:paraId="0ADF7C43" w14:textId="77777777" w:rsidR="00536CC9" w:rsidRDefault="00536CC9" w:rsidP="00536CC9">
            <w:pPr>
              <w:spacing w:line="360" w:lineRule="auto"/>
              <w:jc w:val="both"/>
              <w:rPr>
                <w:rFonts w:ascii="Times New Roman" w:hAnsi="Times New Roman" w:cs="Times New Roman"/>
                <w:noProof/>
                <w:sz w:val="28"/>
                <w:szCs w:val="28"/>
              </w:rPr>
            </w:pPr>
          </w:p>
        </w:tc>
        <w:tc>
          <w:tcPr>
            <w:tcW w:w="1276" w:type="dxa"/>
            <w:vMerge/>
          </w:tcPr>
          <w:p w14:paraId="3AAEC279" w14:textId="77777777" w:rsidR="00536CC9" w:rsidRDefault="00536CC9" w:rsidP="00536CC9">
            <w:pPr>
              <w:spacing w:line="360" w:lineRule="auto"/>
              <w:jc w:val="both"/>
              <w:rPr>
                <w:rFonts w:ascii="Times New Roman" w:hAnsi="Times New Roman" w:cs="Times New Roman"/>
                <w:noProof/>
                <w:sz w:val="28"/>
                <w:szCs w:val="28"/>
              </w:rPr>
            </w:pPr>
          </w:p>
        </w:tc>
        <w:tc>
          <w:tcPr>
            <w:tcW w:w="2126" w:type="dxa"/>
            <w:vMerge/>
          </w:tcPr>
          <w:p w14:paraId="5D677545" w14:textId="77777777" w:rsidR="00536CC9" w:rsidRDefault="00536CC9" w:rsidP="00536CC9">
            <w:pPr>
              <w:spacing w:line="360" w:lineRule="auto"/>
              <w:jc w:val="both"/>
              <w:rPr>
                <w:rFonts w:ascii="Times New Roman" w:hAnsi="Times New Roman" w:cs="Times New Roman"/>
                <w:noProof/>
                <w:sz w:val="28"/>
                <w:szCs w:val="28"/>
              </w:rPr>
            </w:pPr>
          </w:p>
        </w:tc>
      </w:tr>
    </w:tbl>
    <w:p w14:paraId="689A34CD" w14:textId="7763C2C3" w:rsidR="00536CC9" w:rsidRDefault="00536CC9" w:rsidP="00536CC9">
      <w:pPr>
        <w:spacing w:line="360" w:lineRule="auto"/>
        <w:rPr>
          <w:rFonts w:ascii="Times New Roman" w:hAnsi="Times New Roman" w:cs="Times New Roman"/>
          <w:noProof/>
          <w:sz w:val="28"/>
          <w:szCs w:val="28"/>
        </w:rPr>
      </w:pPr>
    </w:p>
    <w:p w14:paraId="1344875B" w14:textId="6B5953D5" w:rsidR="000E378B" w:rsidRDefault="000E378B"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Однако важно заметить, что органосохраняющая операция связа со значительно меньшим числом послеоперационных осложнений. Так, ни у одного из пациентов после </w:t>
      </w:r>
      <w:r w:rsidR="00B51C72">
        <w:rPr>
          <w:rFonts w:ascii="Times New Roman" w:hAnsi="Times New Roman" w:cs="Times New Roman"/>
          <w:noProof/>
          <w:sz w:val="28"/>
          <w:szCs w:val="28"/>
        </w:rPr>
        <w:t>ГТЭ не наблюдалось послеоперационного гипопаратиреоза и двустороннего пареза гортани.</w:t>
      </w:r>
      <w:r w:rsidR="00275358">
        <w:rPr>
          <w:rFonts w:ascii="Times New Roman" w:hAnsi="Times New Roman" w:cs="Times New Roman"/>
          <w:noProof/>
          <w:sz w:val="28"/>
          <w:szCs w:val="28"/>
        </w:rPr>
        <w:t xml:space="preserve"> Общий процент осложнений после ГТЭ составил 29%, в то время как после ТЭ он достигал 46%. </w:t>
      </w:r>
      <w:r w:rsidR="00575834">
        <w:rPr>
          <w:rFonts w:ascii="Times New Roman" w:hAnsi="Times New Roman" w:cs="Times New Roman"/>
          <w:noProof/>
          <w:sz w:val="28"/>
          <w:szCs w:val="28"/>
        </w:rPr>
        <w:t>Наиболее частым осложнением среди всей когорты пациентов (346 человек) был гипопаратиреоз (рисунок 3.3)</w:t>
      </w:r>
    </w:p>
    <w:p w14:paraId="0D47B72B" w14:textId="77777777" w:rsidR="00536CC9" w:rsidRDefault="00536CC9" w:rsidP="00575834">
      <w:pPr>
        <w:spacing w:line="360" w:lineRule="auto"/>
        <w:jc w:val="center"/>
        <w:rPr>
          <w:rFonts w:ascii="Times New Roman" w:hAnsi="Times New Roman" w:cs="Times New Roman"/>
          <w:noProof/>
          <w:sz w:val="28"/>
          <w:szCs w:val="28"/>
        </w:rPr>
      </w:pPr>
    </w:p>
    <w:p w14:paraId="3281FE85" w14:textId="77777777" w:rsidR="00536CC9" w:rsidRDefault="00536CC9" w:rsidP="00575834">
      <w:pPr>
        <w:spacing w:line="360" w:lineRule="auto"/>
        <w:jc w:val="center"/>
        <w:rPr>
          <w:rFonts w:ascii="Times New Roman" w:hAnsi="Times New Roman" w:cs="Times New Roman"/>
          <w:noProof/>
          <w:sz w:val="28"/>
          <w:szCs w:val="28"/>
        </w:rPr>
      </w:pPr>
    </w:p>
    <w:p w14:paraId="1CE08422" w14:textId="134AAAAA" w:rsidR="00575834" w:rsidRDefault="00575834" w:rsidP="00575834">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lastRenderedPageBreak/>
        <w:t>Рисунок 3.3 Распределение осложнений среди всех исследуемых пациентов</w:t>
      </w:r>
    </w:p>
    <w:p w14:paraId="40031B17" w14:textId="78062D52" w:rsidR="00575834" w:rsidRPr="000E378B" w:rsidRDefault="00575834"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4"/>
          <w:szCs w:val="24"/>
        </w:rPr>
        <w:drawing>
          <wp:inline distT="0" distB="0" distL="0" distR="0" wp14:anchorId="200588EB" wp14:editId="3258790D">
            <wp:extent cx="4567722" cy="357187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l="4700" t="5445" r="5339" b="7043"/>
                    <a:stretch/>
                  </pic:blipFill>
                  <pic:spPr bwMode="auto">
                    <a:xfrm>
                      <a:off x="0" y="0"/>
                      <a:ext cx="4591976" cy="3590841"/>
                    </a:xfrm>
                    <a:prstGeom prst="rect">
                      <a:avLst/>
                    </a:prstGeom>
                    <a:noFill/>
                    <a:ln>
                      <a:noFill/>
                    </a:ln>
                    <a:extLst>
                      <a:ext uri="{53640926-AAD7-44D8-BBD7-CCE9431645EC}">
                        <a14:shadowObscured xmlns:a14="http://schemas.microsoft.com/office/drawing/2010/main"/>
                      </a:ext>
                    </a:extLst>
                  </pic:spPr>
                </pic:pic>
              </a:graphicData>
            </a:graphic>
          </wp:inline>
        </w:drawing>
      </w:r>
    </w:p>
    <w:p w14:paraId="2C45AC6C" w14:textId="755910AD" w:rsidR="00C56F53" w:rsidRDefault="00126408"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Среди пациентов после ТЭ нарушение подвижности голосовых связок (в отдельности или в совокупности с </w:t>
      </w:r>
      <w:r w:rsidR="007A67A1">
        <w:rPr>
          <w:rFonts w:ascii="Times New Roman" w:hAnsi="Times New Roman" w:cs="Times New Roman"/>
          <w:noProof/>
          <w:sz w:val="28"/>
          <w:szCs w:val="28"/>
        </w:rPr>
        <w:t>гипопаратиреозом</w:t>
      </w:r>
      <w:r>
        <w:rPr>
          <w:rFonts w:ascii="Times New Roman" w:hAnsi="Times New Roman" w:cs="Times New Roman"/>
          <w:noProof/>
          <w:sz w:val="28"/>
          <w:szCs w:val="28"/>
        </w:rPr>
        <w:t xml:space="preserve">) имели 46 человек. Из них парез голосовых связок </w:t>
      </w:r>
      <w:r w:rsidR="001928F3">
        <w:rPr>
          <w:rFonts w:ascii="Times New Roman" w:hAnsi="Times New Roman" w:cs="Times New Roman"/>
          <w:noProof/>
          <w:sz w:val="28"/>
          <w:szCs w:val="28"/>
        </w:rPr>
        <w:t>диагностирован</w:t>
      </w:r>
      <w:r>
        <w:rPr>
          <w:rFonts w:ascii="Times New Roman" w:hAnsi="Times New Roman" w:cs="Times New Roman"/>
          <w:noProof/>
          <w:sz w:val="28"/>
          <w:szCs w:val="28"/>
        </w:rPr>
        <w:t xml:space="preserve"> у </w:t>
      </w:r>
      <w:r w:rsidR="001928F3">
        <w:rPr>
          <w:rFonts w:ascii="Times New Roman" w:hAnsi="Times New Roman" w:cs="Times New Roman"/>
          <w:noProof/>
          <w:sz w:val="28"/>
          <w:szCs w:val="28"/>
        </w:rPr>
        <w:t>30</w:t>
      </w:r>
      <w:r>
        <w:rPr>
          <w:rFonts w:ascii="Times New Roman" w:hAnsi="Times New Roman" w:cs="Times New Roman"/>
          <w:noProof/>
          <w:sz w:val="28"/>
          <w:szCs w:val="28"/>
        </w:rPr>
        <w:t xml:space="preserve"> человек, у 5 из которых наблюдалась инвазия опухоли в возвратный нерв. В группе пациентов после </w:t>
      </w:r>
      <w:r w:rsidR="007A67A1">
        <w:rPr>
          <w:rFonts w:ascii="Times New Roman" w:hAnsi="Times New Roman" w:cs="Times New Roman"/>
          <w:noProof/>
          <w:sz w:val="28"/>
          <w:szCs w:val="28"/>
        </w:rPr>
        <w:t>ГТЭ</w:t>
      </w:r>
      <w:r>
        <w:rPr>
          <w:rFonts w:ascii="Times New Roman" w:hAnsi="Times New Roman" w:cs="Times New Roman"/>
          <w:noProof/>
          <w:sz w:val="28"/>
          <w:szCs w:val="28"/>
        </w:rPr>
        <w:t xml:space="preserve"> </w:t>
      </w:r>
      <w:r w:rsidR="007A67A1">
        <w:rPr>
          <w:rFonts w:ascii="Times New Roman" w:hAnsi="Times New Roman" w:cs="Times New Roman"/>
          <w:noProof/>
          <w:sz w:val="28"/>
          <w:szCs w:val="28"/>
        </w:rPr>
        <w:t>нарушение подвижности голосовых связок наблюдалось у 10 человек</w:t>
      </w:r>
      <w:r w:rsidR="001928F3">
        <w:rPr>
          <w:rFonts w:ascii="Times New Roman" w:hAnsi="Times New Roman" w:cs="Times New Roman"/>
          <w:noProof/>
          <w:sz w:val="28"/>
          <w:szCs w:val="28"/>
        </w:rPr>
        <w:t>, 6 из готорых имели парезодной из голосовых связок.</w:t>
      </w:r>
      <w:r w:rsidR="007A67A1">
        <w:rPr>
          <w:rFonts w:ascii="Times New Roman" w:hAnsi="Times New Roman" w:cs="Times New Roman"/>
          <w:noProof/>
          <w:sz w:val="28"/>
          <w:szCs w:val="28"/>
        </w:rPr>
        <w:t xml:space="preserve"> </w:t>
      </w:r>
      <w:r w:rsidR="00A74090">
        <w:rPr>
          <w:rFonts w:ascii="Times New Roman" w:hAnsi="Times New Roman" w:cs="Times New Roman"/>
          <w:noProof/>
          <w:sz w:val="28"/>
          <w:szCs w:val="28"/>
        </w:rPr>
        <w:t xml:space="preserve">Общее соотношение </w:t>
      </w:r>
      <w:r w:rsidR="001928F3">
        <w:rPr>
          <w:rFonts w:ascii="Times New Roman" w:hAnsi="Times New Roman" w:cs="Times New Roman"/>
          <w:noProof/>
          <w:sz w:val="28"/>
          <w:szCs w:val="28"/>
        </w:rPr>
        <w:t>нарушений голоса после</w:t>
      </w:r>
      <w:r w:rsidR="00A74090">
        <w:rPr>
          <w:rFonts w:ascii="Times New Roman" w:hAnsi="Times New Roman" w:cs="Times New Roman"/>
          <w:noProof/>
          <w:sz w:val="28"/>
          <w:szCs w:val="28"/>
        </w:rPr>
        <w:t xml:space="preserve"> ТЭ и ГТЭ </w:t>
      </w:r>
      <w:r w:rsidR="001928F3">
        <w:rPr>
          <w:rFonts w:ascii="Times New Roman" w:hAnsi="Times New Roman" w:cs="Times New Roman"/>
          <w:noProof/>
          <w:sz w:val="28"/>
          <w:szCs w:val="28"/>
        </w:rPr>
        <w:t>показано на рисунке</w:t>
      </w:r>
      <w:r w:rsidR="00793A89">
        <w:rPr>
          <w:rFonts w:ascii="Times New Roman" w:hAnsi="Times New Roman" w:cs="Times New Roman"/>
          <w:noProof/>
          <w:sz w:val="28"/>
          <w:szCs w:val="28"/>
        </w:rPr>
        <w:t xml:space="preserve"> 3.4.</w:t>
      </w:r>
      <w:r w:rsidR="00536CC9">
        <w:rPr>
          <w:rFonts w:ascii="Times New Roman" w:hAnsi="Times New Roman" w:cs="Times New Roman"/>
          <w:noProof/>
          <w:sz w:val="28"/>
          <w:szCs w:val="28"/>
        </w:rPr>
        <w:t xml:space="preserve"> </w:t>
      </w:r>
    </w:p>
    <w:p w14:paraId="139BD08B" w14:textId="29EEC11A" w:rsidR="00536CC9" w:rsidRDefault="00536CC9" w:rsidP="00536CC9">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3.4 Нарушение подвижности голосовых связок</w:t>
      </w:r>
    </w:p>
    <w:p w14:paraId="74E1B122" w14:textId="3814AF75" w:rsidR="00536CC9" w:rsidRPr="00A74090" w:rsidRDefault="004F32B5"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4"/>
          <w:szCs w:val="24"/>
        </w:rPr>
        <w:drawing>
          <wp:inline distT="0" distB="0" distL="0" distR="0" wp14:anchorId="0C9BDF64" wp14:editId="7867A2B8">
            <wp:extent cx="5629275" cy="23336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DEB3EC" w14:textId="43FF30AC" w:rsidR="00575834" w:rsidRDefault="005905E3" w:rsidP="005758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таблице </w:t>
      </w:r>
      <w:r w:rsidR="00FD13C6">
        <w:rPr>
          <w:rFonts w:ascii="Times New Roman" w:hAnsi="Times New Roman" w:cs="Times New Roman"/>
          <w:sz w:val="28"/>
          <w:szCs w:val="28"/>
        </w:rPr>
        <w:t>3.7</w:t>
      </w:r>
      <w:r>
        <w:rPr>
          <w:rFonts w:ascii="Times New Roman" w:hAnsi="Times New Roman" w:cs="Times New Roman"/>
          <w:sz w:val="28"/>
          <w:szCs w:val="28"/>
        </w:rPr>
        <w:t xml:space="preserve"> приведены </w:t>
      </w:r>
      <w:r w:rsidR="00564616">
        <w:rPr>
          <w:rFonts w:ascii="Times New Roman" w:hAnsi="Times New Roman" w:cs="Times New Roman"/>
          <w:sz w:val="28"/>
          <w:szCs w:val="28"/>
        </w:rPr>
        <w:t xml:space="preserve">общие </w:t>
      </w:r>
      <w:r>
        <w:rPr>
          <w:rFonts w:ascii="Times New Roman" w:hAnsi="Times New Roman" w:cs="Times New Roman"/>
          <w:sz w:val="28"/>
          <w:szCs w:val="28"/>
        </w:rPr>
        <w:t xml:space="preserve">данные о частоте встречаемости </w:t>
      </w:r>
      <w:r w:rsidR="00564616">
        <w:rPr>
          <w:rFonts w:ascii="Times New Roman" w:hAnsi="Times New Roman" w:cs="Times New Roman"/>
          <w:sz w:val="28"/>
          <w:szCs w:val="28"/>
        </w:rPr>
        <w:t>нарушения подвижности голосовых складок у пациентов после ТЭ и ГТЭ.</w:t>
      </w:r>
    </w:p>
    <w:p w14:paraId="79CEA891" w14:textId="77777777" w:rsidR="00FD13C6" w:rsidRPr="005905E3" w:rsidRDefault="00FD13C6" w:rsidP="00FD13C6">
      <w:pPr>
        <w:autoSpaceDE w:val="0"/>
        <w:autoSpaceDN w:val="0"/>
        <w:adjustRightInd w:val="0"/>
        <w:spacing w:after="0" w:line="240" w:lineRule="auto"/>
        <w:jc w:val="center"/>
        <w:rPr>
          <w:rFonts w:ascii="Times New Roman" w:hAnsi="Times New Roman" w:cs="Times New Roman"/>
          <w:sz w:val="28"/>
          <w:szCs w:val="28"/>
        </w:rPr>
      </w:pPr>
    </w:p>
    <w:p w14:paraId="4EA958F3" w14:textId="35C900AF" w:rsidR="00575834" w:rsidRDefault="00FD13C6" w:rsidP="00FD13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8"/>
          <w:szCs w:val="28"/>
        </w:rPr>
        <w:t>Таблица 3.7 нарушения голоса</w:t>
      </w:r>
    </w:p>
    <w:tbl>
      <w:tblPr>
        <w:tblStyle w:val="a3"/>
        <w:tblpPr w:leftFromText="180" w:rightFromText="180" w:vertAnchor="text" w:horzAnchor="margin" w:tblpY="120"/>
        <w:tblW w:w="9387" w:type="dxa"/>
        <w:tblLayout w:type="fixed"/>
        <w:tblLook w:val="04A0" w:firstRow="1" w:lastRow="0" w:firstColumn="1" w:lastColumn="0" w:noHBand="0" w:noVBand="1"/>
      </w:tblPr>
      <w:tblGrid>
        <w:gridCol w:w="809"/>
        <w:gridCol w:w="2307"/>
        <w:gridCol w:w="2034"/>
        <w:gridCol w:w="922"/>
        <w:gridCol w:w="1243"/>
        <w:gridCol w:w="2072"/>
      </w:tblGrid>
      <w:tr w:rsidR="00564616" w14:paraId="51BB7B30" w14:textId="77777777" w:rsidTr="003B1B4F">
        <w:trPr>
          <w:trHeight w:val="1480"/>
        </w:trPr>
        <w:tc>
          <w:tcPr>
            <w:tcW w:w="809" w:type="dxa"/>
          </w:tcPr>
          <w:p w14:paraId="693F3527" w14:textId="77777777" w:rsidR="00564616" w:rsidRDefault="00564616" w:rsidP="00447D4B">
            <w:pPr>
              <w:spacing w:line="360" w:lineRule="auto"/>
              <w:jc w:val="both"/>
              <w:rPr>
                <w:rFonts w:ascii="Times New Roman" w:hAnsi="Times New Roman" w:cs="Times New Roman"/>
                <w:noProof/>
                <w:sz w:val="28"/>
                <w:szCs w:val="28"/>
              </w:rPr>
            </w:pPr>
          </w:p>
        </w:tc>
        <w:tc>
          <w:tcPr>
            <w:tcW w:w="2307" w:type="dxa"/>
          </w:tcPr>
          <w:p w14:paraId="38E6FF12" w14:textId="6D2803BA" w:rsidR="00564616" w:rsidRDefault="00D66E6B"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Нет нарушений</w:t>
            </w:r>
          </w:p>
          <w:p w14:paraId="3323F0EE" w14:textId="160F2255" w:rsidR="00D66E6B" w:rsidRPr="007E5A30" w:rsidRDefault="00D66E6B"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голоса</w:t>
            </w:r>
          </w:p>
          <w:p w14:paraId="10D43095" w14:textId="77777777" w:rsidR="00564616" w:rsidRPr="00183730" w:rsidRDefault="00564616" w:rsidP="00447D4B">
            <w:pPr>
              <w:spacing w:line="360" w:lineRule="auto"/>
              <w:jc w:val="both"/>
              <w:rPr>
                <w:rFonts w:ascii="Times New Roman" w:hAnsi="Times New Roman" w:cs="Times New Roman"/>
                <w:noProof/>
                <w:sz w:val="28"/>
                <w:szCs w:val="28"/>
              </w:rPr>
            </w:pPr>
          </w:p>
        </w:tc>
        <w:tc>
          <w:tcPr>
            <w:tcW w:w="2034" w:type="dxa"/>
          </w:tcPr>
          <w:p w14:paraId="37586BD7" w14:textId="7FAFECC2" w:rsidR="00564616" w:rsidRPr="007E5A30" w:rsidRDefault="00D66E6B"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Нарушение подвижности голосовых связок</w:t>
            </w:r>
          </w:p>
          <w:p w14:paraId="562DFB49" w14:textId="77777777" w:rsidR="00564616" w:rsidRDefault="00564616" w:rsidP="00447D4B">
            <w:pPr>
              <w:spacing w:line="360" w:lineRule="auto"/>
              <w:jc w:val="both"/>
              <w:rPr>
                <w:rFonts w:ascii="Times New Roman" w:hAnsi="Times New Roman" w:cs="Times New Roman"/>
                <w:noProof/>
                <w:sz w:val="28"/>
                <w:szCs w:val="28"/>
              </w:rPr>
            </w:pPr>
          </w:p>
        </w:tc>
        <w:tc>
          <w:tcPr>
            <w:tcW w:w="922" w:type="dxa"/>
          </w:tcPr>
          <w:p w14:paraId="3D0DF3BD" w14:textId="77777777" w:rsidR="00564616" w:rsidRDefault="0056461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p</w:t>
            </w:r>
          </w:p>
        </w:tc>
        <w:tc>
          <w:tcPr>
            <w:tcW w:w="1243" w:type="dxa"/>
          </w:tcPr>
          <w:p w14:paraId="5B4C79CB" w14:textId="77777777" w:rsidR="00564616" w:rsidRPr="001D0504" w:rsidRDefault="0056461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Хи-квадрат</w:t>
            </w:r>
          </w:p>
        </w:tc>
        <w:tc>
          <w:tcPr>
            <w:tcW w:w="2072" w:type="dxa"/>
          </w:tcPr>
          <w:p w14:paraId="1FE93C50" w14:textId="77777777" w:rsidR="00564616" w:rsidRDefault="00564616" w:rsidP="00447D4B">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564616" w14:paraId="48F87C46" w14:textId="77777777" w:rsidTr="003B1B4F">
        <w:trPr>
          <w:trHeight w:val="852"/>
        </w:trPr>
        <w:tc>
          <w:tcPr>
            <w:tcW w:w="809" w:type="dxa"/>
          </w:tcPr>
          <w:p w14:paraId="2071CE23" w14:textId="77777777" w:rsidR="00564616" w:rsidRPr="007E5A30" w:rsidRDefault="0056461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ТЭ</w:t>
            </w:r>
          </w:p>
        </w:tc>
        <w:tc>
          <w:tcPr>
            <w:tcW w:w="2307" w:type="dxa"/>
          </w:tcPr>
          <w:p w14:paraId="4A82D6A5" w14:textId="483B74F2" w:rsidR="00564616" w:rsidRDefault="00FD13C6" w:rsidP="00564616">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266</w:t>
            </w:r>
          </w:p>
        </w:tc>
        <w:tc>
          <w:tcPr>
            <w:tcW w:w="2034" w:type="dxa"/>
          </w:tcPr>
          <w:p w14:paraId="4FFEE472" w14:textId="6BFACDCB" w:rsidR="00564616" w:rsidRDefault="00FD13C6" w:rsidP="00564616">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46</w:t>
            </w:r>
          </w:p>
        </w:tc>
        <w:tc>
          <w:tcPr>
            <w:tcW w:w="922" w:type="dxa"/>
            <w:vMerge w:val="restart"/>
          </w:tcPr>
          <w:p w14:paraId="0B5C59D1" w14:textId="77777777" w:rsidR="00FD13C6" w:rsidRDefault="00FD13C6" w:rsidP="00447D4B">
            <w:pPr>
              <w:spacing w:line="360" w:lineRule="auto"/>
              <w:jc w:val="both"/>
              <w:rPr>
                <w:rFonts w:ascii="Times New Roman" w:hAnsi="Times New Roman" w:cs="Times New Roman"/>
                <w:noProof/>
                <w:sz w:val="28"/>
                <w:szCs w:val="28"/>
              </w:rPr>
            </w:pPr>
          </w:p>
          <w:p w14:paraId="008ECEF2" w14:textId="2D86118F" w:rsidR="00564616" w:rsidRDefault="00FD13C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0,027</w:t>
            </w:r>
          </w:p>
          <w:p w14:paraId="517A5EDA" w14:textId="77777777" w:rsidR="00564616" w:rsidRPr="000C27F6" w:rsidRDefault="00564616" w:rsidP="00447D4B">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5E95BF00" w14:textId="77777777" w:rsidR="00564616" w:rsidRDefault="00564616" w:rsidP="00447D4B">
            <w:pPr>
              <w:spacing w:line="360" w:lineRule="auto"/>
              <w:jc w:val="both"/>
              <w:rPr>
                <w:rFonts w:ascii="Times New Roman" w:hAnsi="Times New Roman" w:cs="Times New Roman"/>
                <w:noProof/>
                <w:sz w:val="28"/>
                <w:szCs w:val="28"/>
              </w:rPr>
            </w:pPr>
          </w:p>
        </w:tc>
        <w:tc>
          <w:tcPr>
            <w:tcW w:w="1243" w:type="dxa"/>
            <w:vMerge w:val="restart"/>
          </w:tcPr>
          <w:p w14:paraId="055678D7" w14:textId="77777777" w:rsidR="00FD13C6" w:rsidRDefault="00FD13C6" w:rsidP="00447D4B">
            <w:pPr>
              <w:spacing w:line="360" w:lineRule="auto"/>
              <w:jc w:val="both"/>
              <w:rPr>
                <w:rFonts w:ascii="Times New Roman" w:hAnsi="Times New Roman" w:cs="Times New Roman"/>
                <w:noProof/>
                <w:sz w:val="28"/>
                <w:szCs w:val="28"/>
              </w:rPr>
            </w:pPr>
          </w:p>
          <w:p w14:paraId="31CD4083" w14:textId="70EE699C" w:rsidR="00564616" w:rsidRPr="00FD13C6" w:rsidRDefault="00FD13C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4,86</w:t>
            </w:r>
          </w:p>
          <w:p w14:paraId="2A30AF71" w14:textId="58368627" w:rsidR="00564616" w:rsidRPr="008E7685" w:rsidRDefault="00564616" w:rsidP="00447D4B">
            <w:pPr>
              <w:spacing w:line="360" w:lineRule="auto"/>
              <w:jc w:val="both"/>
              <w:rPr>
                <w:rFonts w:ascii="Times New Roman" w:hAnsi="Times New Roman" w:cs="Times New Roman"/>
                <w:noProof/>
                <w:sz w:val="28"/>
                <w:szCs w:val="28"/>
              </w:rPr>
            </w:pPr>
          </w:p>
          <w:p w14:paraId="28C75154" w14:textId="77777777" w:rsidR="00564616" w:rsidRDefault="00564616" w:rsidP="00447D4B">
            <w:pPr>
              <w:spacing w:line="360" w:lineRule="auto"/>
              <w:jc w:val="both"/>
              <w:rPr>
                <w:rFonts w:ascii="Times New Roman" w:hAnsi="Times New Roman" w:cs="Times New Roman"/>
                <w:noProof/>
                <w:sz w:val="28"/>
                <w:szCs w:val="28"/>
              </w:rPr>
            </w:pPr>
          </w:p>
        </w:tc>
        <w:tc>
          <w:tcPr>
            <w:tcW w:w="2072" w:type="dxa"/>
            <w:vMerge w:val="restart"/>
          </w:tcPr>
          <w:p w14:paraId="35E0F0A5" w14:textId="77777777" w:rsidR="00FD13C6" w:rsidRDefault="00FD13C6" w:rsidP="00447D4B">
            <w:pPr>
              <w:spacing w:line="360" w:lineRule="auto"/>
              <w:jc w:val="both"/>
              <w:rPr>
                <w:rFonts w:ascii="Times New Roman" w:hAnsi="Times New Roman" w:cs="Times New Roman"/>
                <w:noProof/>
                <w:sz w:val="28"/>
                <w:szCs w:val="28"/>
              </w:rPr>
            </w:pPr>
          </w:p>
          <w:p w14:paraId="0187BDBD" w14:textId="61668A9F" w:rsidR="00564616" w:rsidRDefault="00FD13C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4,19</w:t>
            </w:r>
          </w:p>
          <w:p w14:paraId="4F86B44E" w14:textId="3503E9BC" w:rsidR="00564616" w:rsidRPr="008E7685" w:rsidRDefault="00564616" w:rsidP="00447D4B">
            <w:pPr>
              <w:spacing w:line="360" w:lineRule="auto"/>
              <w:jc w:val="both"/>
              <w:rPr>
                <w:rFonts w:ascii="Times New Roman" w:hAnsi="Times New Roman" w:cs="Times New Roman"/>
                <w:noProof/>
                <w:sz w:val="28"/>
                <w:szCs w:val="28"/>
              </w:rPr>
            </w:pPr>
          </w:p>
          <w:p w14:paraId="7DBFFA76" w14:textId="77777777" w:rsidR="00564616" w:rsidRDefault="00564616" w:rsidP="00447D4B">
            <w:pPr>
              <w:spacing w:line="360" w:lineRule="auto"/>
              <w:jc w:val="both"/>
              <w:rPr>
                <w:rFonts w:ascii="Times New Roman" w:hAnsi="Times New Roman" w:cs="Times New Roman"/>
                <w:noProof/>
                <w:sz w:val="28"/>
                <w:szCs w:val="28"/>
              </w:rPr>
            </w:pPr>
          </w:p>
        </w:tc>
      </w:tr>
      <w:tr w:rsidR="00564616" w14:paraId="50FC7A9B" w14:textId="77777777" w:rsidTr="003B1B4F">
        <w:trPr>
          <w:trHeight w:val="560"/>
        </w:trPr>
        <w:tc>
          <w:tcPr>
            <w:tcW w:w="809" w:type="dxa"/>
          </w:tcPr>
          <w:p w14:paraId="7FC4698F" w14:textId="77777777" w:rsidR="00564616" w:rsidRPr="007E5A30" w:rsidRDefault="0056461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ГТЭ</w:t>
            </w:r>
          </w:p>
        </w:tc>
        <w:tc>
          <w:tcPr>
            <w:tcW w:w="2307" w:type="dxa"/>
          </w:tcPr>
          <w:p w14:paraId="2D1294E0" w14:textId="79B4F0C8" w:rsidR="00564616" w:rsidRPr="008E7685" w:rsidRDefault="00FD13C6" w:rsidP="00447D4B">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24</w:t>
            </w:r>
          </w:p>
          <w:p w14:paraId="3CE62E04" w14:textId="77777777" w:rsidR="00564616" w:rsidRDefault="00564616" w:rsidP="00447D4B">
            <w:pPr>
              <w:spacing w:line="360" w:lineRule="auto"/>
              <w:jc w:val="both"/>
              <w:rPr>
                <w:rFonts w:ascii="Times New Roman" w:hAnsi="Times New Roman" w:cs="Times New Roman"/>
                <w:noProof/>
                <w:sz w:val="28"/>
                <w:szCs w:val="28"/>
              </w:rPr>
            </w:pPr>
          </w:p>
        </w:tc>
        <w:tc>
          <w:tcPr>
            <w:tcW w:w="2034" w:type="dxa"/>
          </w:tcPr>
          <w:p w14:paraId="000D9BD0" w14:textId="3929D114" w:rsidR="00564616" w:rsidRDefault="00FD13C6" w:rsidP="00564616">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10</w:t>
            </w:r>
          </w:p>
        </w:tc>
        <w:tc>
          <w:tcPr>
            <w:tcW w:w="922" w:type="dxa"/>
            <w:vMerge/>
          </w:tcPr>
          <w:p w14:paraId="251F1C6F" w14:textId="77777777" w:rsidR="00564616" w:rsidRDefault="00564616" w:rsidP="00447D4B">
            <w:pPr>
              <w:spacing w:line="360" w:lineRule="auto"/>
              <w:jc w:val="both"/>
              <w:rPr>
                <w:rFonts w:ascii="Times New Roman" w:hAnsi="Times New Roman" w:cs="Times New Roman"/>
                <w:noProof/>
                <w:sz w:val="28"/>
                <w:szCs w:val="28"/>
              </w:rPr>
            </w:pPr>
          </w:p>
        </w:tc>
        <w:tc>
          <w:tcPr>
            <w:tcW w:w="1243" w:type="dxa"/>
            <w:vMerge/>
          </w:tcPr>
          <w:p w14:paraId="359285B3" w14:textId="77777777" w:rsidR="00564616" w:rsidRDefault="00564616" w:rsidP="00447D4B">
            <w:pPr>
              <w:spacing w:line="360" w:lineRule="auto"/>
              <w:jc w:val="both"/>
              <w:rPr>
                <w:rFonts w:ascii="Times New Roman" w:hAnsi="Times New Roman" w:cs="Times New Roman"/>
                <w:noProof/>
                <w:sz w:val="28"/>
                <w:szCs w:val="28"/>
              </w:rPr>
            </w:pPr>
          </w:p>
        </w:tc>
        <w:tc>
          <w:tcPr>
            <w:tcW w:w="2072" w:type="dxa"/>
            <w:vMerge/>
          </w:tcPr>
          <w:p w14:paraId="511FEE0E" w14:textId="77777777" w:rsidR="00564616" w:rsidRDefault="00564616" w:rsidP="00447D4B">
            <w:pPr>
              <w:spacing w:line="360" w:lineRule="auto"/>
              <w:jc w:val="both"/>
              <w:rPr>
                <w:rFonts w:ascii="Times New Roman" w:hAnsi="Times New Roman" w:cs="Times New Roman"/>
                <w:noProof/>
                <w:sz w:val="28"/>
                <w:szCs w:val="28"/>
              </w:rPr>
            </w:pPr>
          </w:p>
        </w:tc>
      </w:tr>
    </w:tbl>
    <w:p w14:paraId="4A1801C8" w14:textId="65B11313" w:rsidR="00C56F53" w:rsidRPr="00DC1E3A" w:rsidRDefault="00DC1E3A"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Полученное значения хи-квадрата при данном значении </w:t>
      </w:r>
      <w:r w:rsidRPr="00DC1E3A">
        <w:rPr>
          <w:rFonts w:ascii="Times New Roman" w:hAnsi="Times New Roman" w:cs="Times New Roman"/>
          <w:noProof/>
          <w:sz w:val="28"/>
          <w:szCs w:val="28"/>
        </w:rPr>
        <w:t>(</w:t>
      </w:r>
      <w:r>
        <w:rPr>
          <w:rFonts w:ascii="Times New Roman" w:hAnsi="Times New Roman" w:cs="Times New Roman"/>
          <w:noProof/>
          <w:sz w:val="28"/>
          <w:szCs w:val="28"/>
          <w:lang w:val="en-US"/>
        </w:rPr>
        <w:t>P</w:t>
      </w:r>
      <w:r>
        <w:rPr>
          <w:rFonts w:ascii="Times New Roman" w:hAnsi="Times New Roman" w:cs="Times New Roman"/>
          <w:noProof/>
          <w:sz w:val="28"/>
          <w:szCs w:val="28"/>
        </w:rPr>
        <w:t>) из таблицы выше говорит нам о том, что среди пациентов вошедших в наше исследование</w:t>
      </w:r>
      <w:r w:rsidR="003F6746">
        <w:rPr>
          <w:rFonts w:ascii="Times New Roman" w:hAnsi="Times New Roman" w:cs="Times New Roman"/>
          <w:noProof/>
          <w:sz w:val="28"/>
          <w:szCs w:val="28"/>
        </w:rPr>
        <w:t xml:space="preserve"> не наблюдалось достоверно более высокой частоты нарушения подвижности голосовых складок при той или инной операции. Далее мы сравним только частоту парезов голосовых складок при ТЭ и ГТЭ. Пациенты, у которых наблюдалась периневральная инвазия (5 человек после ТЭ) в данное сравнение включены не будут</w:t>
      </w:r>
      <w:r w:rsidR="003B1B4F">
        <w:rPr>
          <w:rFonts w:ascii="Times New Roman" w:hAnsi="Times New Roman" w:cs="Times New Roman"/>
          <w:noProof/>
          <w:sz w:val="28"/>
          <w:szCs w:val="28"/>
        </w:rPr>
        <w:t xml:space="preserve"> (таблица 3.8)</w:t>
      </w:r>
      <w:r w:rsidR="003F6746">
        <w:rPr>
          <w:rFonts w:ascii="Times New Roman" w:hAnsi="Times New Roman" w:cs="Times New Roman"/>
          <w:noProof/>
          <w:sz w:val="28"/>
          <w:szCs w:val="28"/>
        </w:rPr>
        <w:t>.</w:t>
      </w:r>
    </w:p>
    <w:tbl>
      <w:tblPr>
        <w:tblStyle w:val="a3"/>
        <w:tblpPr w:leftFromText="180" w:rightFromText="180" w:vertAnchor="text" w:horzAnchor="margin" w:tblpY="570"/>
        <w:tblW w:w="9406" w:type="dxa"/>
        <w:tblLayout w:type="fixed"/>
        <w:tblLook w:val="04A0" w:firstRow="1" w:lastRow="0" w:firstColumn="1" w:lastColumn="0" w:noHBand="0" w:noVBand="1"/>
      </w:tblPr>
      <w:tblGrid>
        <w:gridCol w:w="810"/>
        <w:gridCol w:w="2311"/>
        <w:gridCol w:w="2039"/>
        <w:gridCol w:w="924"/>
        <w:gridCol w:w="1246"/>
        <w:gridCol w:w="2076"/>
      </w:tblGrid>
      <w:tr w:rsidR="003B1B4F" w14:paraId="4DF6CEAB" w14:textId="77777777" w:rsidTr="003B1B4F">
        <w:trPr>
          <w:trHeight w:val="1600"/>
        </w:trPr>
        <w:tc>
          <w:tcPr>
            <w:tcW w:w="810" w:type="dxa"/>
          </w:tcPr>
          <w:p w14:paraId="31A2515F" w14:textId="77777777" w:rsidR="003B1B4F" w:rsidRDefault="003B1B4F" w:rsidP="003B1B4F">
            <w:pPr>
              <w:spacing w:line="360" w:lineRule="auto"/>
              <w:jc w:val="both"/>
              <w:rPr>
                <w:rFonts w:ascii="Times New Roman" w:hAnsi="Times New Roman" w:cs="Times New Roman"/>
                <w:noProof/>
                <w:sz w:val="28"/>
                <w:szCs w:val="28"/>
              </w:rPr>
            </w:pPr>
          </w:p>
        </w:tc>
        <w:tc>
          <w:tcPr>
            <w:tcW w:w="2311" w:type="dxa"/>
          </w:tcPr>
          <w:p w14:paraId="1400E9F3" w14:textId="2F4EEE2C" w:rsidR="003B1B4F" w:rsidRPr="00183730" w:rsidRDefault="003B1B4F" w:rsidP="002A77B7">
            <w:pPr>
              <w:spacing w:line="360" w:lineRule="auto"/>
              <w:rPr>
                <w:rFonts w:ascii="Times New Roman" w:hAnsi="Times New Roman" w:cs="Times New Roman"/>
                <w:noProof/>
                <w:sz w:val="28"/>
                <w:szCs w:val="28"/>
              </w:rPr>
            </w:pPr>
            <w:r>
              <w:rPr>
                <w:rFonts w:ascii="Times New Roman" w:hAnsi="Times New Roman" w:cs="Times New Roman"/>
                <w:noProof/>
                <w:sz w:val="28"/>
                <w:szCs w:val="28"/>
              </w:rPr>
              <w:t>Нет</w:t>
            </w:r>
            <w:r w:rsidR="002A77B7">
              <w:rPr>
                <w:rFonts w:ascii="Times New Roman" w:hAnsi="Times New Roman" w:cs="Times New Roman"/>
                <w:noProof/>
                <w:sz w:val="28"/>
                <w:szCs w:val="28"/>
              </w:rPr>
              <w:t xml:space="preserve"> </w:t>
            </w:r>
            <w:r w:rsidR="00003E04">
              <w:rPr>
                <w:rFonts w:ascii="Times New Roman" w:hAnsi="Times New Roman" w:cs="Times New Roman"/>
                <w:noProof/>
                <w:sz w:val="28"/>
                <w:szCs w:val="28"/>
              </w:rPr>
              <w:t>пареза</w:t>
            </w:r>
            <w:r w:rsidR="002A77B7">
              <w:rPr>
                <w:rFonts w:ascii="Times New Roman" w:hAnsi="Times New Roman" w:cs="Times New Roman"/>
                <w:noProof/>
                <w:sz w:val="28"/>
                <w:szCs w:val="28"/>
              </w:rPr>
              <w:t xml:space="preserve"> голосовых связок</w:t>
            </w:r>
          </w:p>
        </w:tc>
        <w:tc>
          <w:tcPr>
            <w:tcW w:w="2039" w:type="dxa"/>
          </w:tcPr>
          <w:p w14:paraId="021BBBDD" w14:textId="7B420279" w:rsidR="003B1B4F" w:rsidRPr="007E5A30" w:rsidRDefault="00003E04"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Парез голосовых связок</w:t>
            </w:r>
          </w:p>
          <w:p w14:paraId="7D02C3AE" w14:textId="77777777" w:rsidR="003B1B4F" w:rsidRDefault="003B1B4F" w:rsidP="003B1B4F">
            <w:pPr>
              <w:spacing w:line="360" w:lineRule="auto"/>
              <w:jc w:val="both"/>
              <w:rPr>
                <w:rFonts w:ascii="Times New Roman" w:hAnsi="Times New Roman" w:cs="Times New Roman"/>
                <w:noProof/>
                <w:sz w:val="28"/>
                <w:szCs w:val="28"/>
              </w:rPr>
            </w:pPr>
          </w:p>
        </w:tc>
        <w:tc>
          <w:tcPr>
            <w:tcW w:w="924" w:type="dxa"/>
          </w:tcPr>
          <w:p w14:paraId="6E19E578" w14:textId="77777777" w:rsidR="003B1B4F" w:rsidRDefault="003B1B4F"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lang w:val="en-US"/>
              </w:rPr>
              <w:t>p</w:t>
            </w:r>
          </w:p>
        </w:tc>
        <w:tc>
          <w:tcPr>
            <w:tcW w:w="1246" w:type="dxa"/>
          </w:tcPr>
          <w:p w14:paraId="728515B7" w14:textId="77777777" w:rsidR="003B1B4F" w:rsidRPr="001D0504" w:rsidRDefault="003B1B4F"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Хи-квадрат</w:t>
            </w:r>
          </w:p>
        </w:tc>
        <w:tc>
          <w:tcPr>
            <w:tcW w:w="2076" w:type="dxa"/>
          </w:tcPr>
          <w:p w14:paraId="769F07AF" w14:textId="77777777" w:rsidR="003B1B4F" w:rsidRDefault="003B1B4F" w:rsidP="003B1B4F">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Отношение правдоподобия</w:t>
            </w:r>
          </w:p>
        </w:tc>
      </w:tr>
      <w:tr w:rsidR="003B1B4F" w14:paraId="536D68C7" w14:textId="77777777" w:rsidTr="003B1B4F">
        <w:trPr>
          <w:trHeight w:val="922"/>
        </w:trPr>
        <w:tc>
          <w:tcPr>
            <w:tcW w:w="810" w:type="dxa"/>
          </w:tcPr>
          <w:p w14:paraId="106346F9" w14:textId="77777777" w:rsidR="003B1B4F" w:rsidRPr="007E5A30" w:rsidRDefault="003B1B4F"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ТЭ</w:t>
            </w:r>
          </w:p>
        </w:tc>
        <w:tc>
          <w:tcPr>
            <w:tcW w:w="2311" w:type="dxa"/>
          </w:tcPr>
          <w:p w14:paraId="4BA6718F" w14:textId="05A832E7" w:rsidR="003B1B4F" w:rsidRDefault="003B1B4F"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2</w:t>
            </w:r>
            <w:r w:rsidR="002A77B7">
              <w:rPr>
                <w:rFonts w:ascii="Times New Roman" w:hAnsi="Times New Roman" w:cs="Times New Roman"/>
                <w:noProof/>
                <w:sz w:val="28"/>
                <w:szCs w:val="28"/>
              </w:rPr>
              <w:t>87</w:t>
            </w:r>
          </w:p>
        </w:tc>
        <w:tc>
          <w:tcPr>
            <w:tcW w:w="2039" w:type="dxa"/>
          </w:tcPr>
          <w:p w14:paraId="4B5F5024" w14:textId="13738CDE" w:rsidR="003B1B4F" w:rsidRDefault="00003E04"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25</w:t>
            </w:r>
          </w:p>
        </w:tc>
        <w:tc>
          <w:tcPr>
            <w:tcW w:w="924" w:type="dxa"/>
            <w:vMerge w:val="restart"/>
          </w:tcPr>
          <w:p w14:paraId="22926313" w14:textId="77777777" w:rsidR="003B1B4F" w:rsidRDefault="003B1B4F" w:rsidP="003B1B4F">
            <w:pPr>
              <w:spacing w:line="360" w:lineRule="auto"/>
              <w:jc w:val="both"/>
              <w:rPr>
                <w:rFonts w:ascii="Times New Roman" w:hAnsi="Times New Roman" w:cs="Times New Roman"/>
                <w:noProof/>
                <w:sz w:val="28"/>
                <w:szCs w:val="28"/>
              </w:rPr>
            </w:pPr>
          </w:p>
          <w:p w14:paraId="574A46F9" w14:textId="77777777" w:rsidR="003B1B4F" w:rsidRPr="000C27F6" w:rsidRDefault="003B1B4F" w:rsidP="003B1B4F">
            <w:pPr>
              <w:spacing w:line="360" w:lineRule="auto"/>
              <w:jc w:val="both"/>
              <w:rPr>
                <w:rFonts w:ascii="Times New Roman" w:hAnsi="Times New Roman" w:cs="Times New Roman"/>
                <w:noProof/>
                <w:sz w:val="28"/>
                <w:szCs w:val="28"/>
              </w:rPr>
            </w:pPr>
            <w:r w:rsidRPr="000C27F6">
              <w:rPr>
                <w:rFonts w:ascii="Times New Roman" w:hAnsi="Times New Roman" w:cs="Times New Roman"/>
                <w:noProof/>
                <w:sz w:val="28"/>
                <w:szCs w:val="28"/>
              </w:rPr>
              <w:t xml:space="preserve">  </w:t>
            </w:r>
          </w:p>
          <w:p w14:paraId="5791A4BC" w14:textId="65C2FCA4" w:rsidR="003B1B4F" w:rsidRDefault="009F7029"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0,062</w:t>
            </w:r>
          </w:p>
        </w:tc>
        <w:tc>
          <w:tcPr>
            <w:tcW w:w="1246" w:type="dxa"/>
            <w:vMerge w:val="restart"/>
          </w:tcPr>
          <w:p w14:paraId="096997D1" w14:textId="77777777" w:rsidR="003B1B4F" w:rsidRDefault="003B1B4F" w:rsidP="003B1B4F">
            <w:pPr>
              <w:spacing w:line="360" w:lineRule="auto"/>
              <w:jc w:val="both"/>
              <w:rPr>
                <w:rFonts w:ascii="Times New Roman" w:hAnsi="Times New Roman" w:cs="Times New Roman"/>
                <w:noProof/>
                <w:sz w:val="28"/>
                <w:szCs w:val="28"/>
              </w:rPr>
            </w:pPr>
          </w:p>
          <w:p w14:paraId="32F1E666" w14:textId="34FAE277" w:rsidR="003B1B4F" w:rsidRPr="00FD13C6" w:rsidRDefault="003B1B4F" w:rsidP="003B1B4F">
            <w:pPr>
              <w:spacing w:line="360" w:lineRule="auto"/>
              <w:jc w:val="both"/>
              <w:rPr>
                <w:rFonts w:ascii="Times New Roman" w:hAnsi="Times New Roman" w:cs="Times New Roman"/>
                <w:noProof/>
                <w:sz w:val="28"/>
                <w:szCs w:val="28"/>
              </w:rPr>
            </w:pPr>
          </w:p>
          <w:p w14:paraId="052096BF" w14:textId="203D4676" w:rsidR="003B1B4F" w:rsidRPr="008E7685" w:rsidRDefault="009F7029"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3,48</w:t>
            </w:r>
          </w:p>
          <w:p w14:paraId="4E43DFFF" w14:textId="77777777" w:rsidR="003B1B4F" w:rsidRDefault="003B1B4F" w:rsidP="003B1B4F">
            <w:pPr>
              <w:spacing w:line="360" w:lineRule="auto"/>
              <w:jc w:val="both"/>
              <w:rPr>
                <w:rFonts w:ascii="Times New Roman" w:hAnsi="Times New Roman" w:cs="Times New Roman"/>
                <w:noProof/>
                <w:sz w:val="28"/>
                <w:szCs w:val="28"/>
              </w:rPr>
            </w:pPr>
          </w:p>
        </w:tc>
        <w:tc>
          <w:tcPr>
            <w:tcW w:w="2076" w:type="dxa"/>
            <w:vMerge w:val="restart"/>
          </w:tcPr>
          <w:p w14:paraId="1CF525D6" w14:textId="77777777" w:rsidR="003B1B4F" w:rsidRDefault="003B1B4F" w:rsidP="003B1B4F">
            <w:pPr>
              <w:spacing w:line="360" w:lineRule="auto"/>
              <w:jc w:val="both"/>
              <w:rPr>
                <w:rFonts w:ascii="Times New Roman" w:hAnsi="Times New Roman" w:cs="Times New Roman"/>
                <w:noProof/>
                <w:sz w:val="28"/>
                <w:szCs w:val="28"/>
              </w:rPr>
            </w:pPr>
          </w:p>
          <w:p w14:paraId="03B94150" w14:textId="6C4E71B0" w:rsidR="003B1B4F" w:rsidRDefault="003B1B4F" w:rsidP="003B1B4F">
            <w:pPr>
              <w:spacing w:line="360" w:lineRule="auto"/>
              <w:jc w:val="both"/>
              <w:rPr>
                <w:rFonts w:ascii="Times New Roman" w:hAnsi="Times New Roman" w:cs="Times New Roman"/>
                <w:noProof/>
                <w:sz w:val="28"/>
                <w:szCs w:val="28"/>
              </w:rPr>
            </w:pPr>
          </w:p>
          <w:p w14:paraId="750B40DF" w14:textId="2B1D6764" w:rsidR="003B1B4F" w:rsidRPr="008E7685" w:rsidRDefault="009F7029"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2,87</w:t>
            </w:r>
          </w:p>
          <w:p w14:paraId="4BC4AEA9" w14:textId="77777777" w:rsidR="003B1B4F" w:rsidRDefault="003B1B4F" w:rsidP="003B1B4F">
            <w:pPr>
              <w:spacing w:line="360" w:lineRule="auto"/>
              <w:jc w:val="both"/>
              <w:rPr>
                <w:rFonts w:ascii="Times New Roman" w:hAnsi="Times New Roman" w:cs="Times New Roman"/>
                <w:noProof/>
                <w:sz w:val="28"/>
                <w:szCs w:val="28"/>
              </w:rPr>
            </w:pPr>
          </w:p>
        </w:tc>
      </w:tr>
      <w:tr w:rsidR="003B1B4F" w14:paraId="03938A68" w14:textId="77777777" w:rsidTr="003B1B4F">
        <w:trPr>
          <w:trHeight w:val="756"/>
        </w:trPr>
        <w:tc>
          <w:tcPr>
            <w:tcW w:w="810" w:type="dxa"/>
          </w:tcPr>
          <w:p w14:paraId="27597CE7" w14:textId="77777777" w:rsidR="003B1B4F" w:rsidRPr="007E5A30" w:rsidRDefault="003B1B4F"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ГТЭ</w:t>
            </w:r>
          </w:p>
        </w:tc>
        <w:tc>
          <w:tcPr>
            <w:tcW w:w="2311" w:type="dxa"/>
          </w:tcPr>
          <w:p w14:paraId="2F195EE5" w14:textId="458C0298" w:rsidR="003B1B4F" w:rsidRPr="008E7685" w:rsidRDefault="003B1B4F"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2</w:t>
            </w:r>
            <w:r w:rsidR="002A77B7">
              <w:rPr>
                <w:rFonts w:ascii="Times New Roman" w:hAnsi="Times New Roman" w:cs="Times New Roman"/>
                <w:noProof/>
                <w:sz w:val="28"/>
                <w:szCs w:val="28"/>
              </w:rPr>
              <w:t>8</w:t>
            </w:r>
          </w:p>
          <w:p w14:paraId="7B5A3AC6" w14:textId="77777777" w:rsidR="003B1B4F" w:rsidRDefault="003B1B4F" w:rsidP="003B1B4F">
            <w:pPr>
              <w:spacing w:line="360" w:lineRule="auto"/>
              <w:jc w:val="both"/>
              <w:rPr>
                <w:rFonts w:ascii="Times New Roman" w:hAnsi="Times New Roman" w:cs="Times New Roman"/>
                <w:noProof/>
                <w:sz w:val="28"/>
                <w:szCs w:val="28"/>
              </w:rPr>
            </w:pPr>
          </w:p>
        </w:tc>
        <w:tc>
          <w:tcPr>
            <w:tcW w:w="2039" w:type="dxa"/>
          </w:tcPr>
          <w:p w14:paraId="4F8DB7FD" w14:textId="54988D95" w:rsidR="003B1B4F" w:rsidRDefault="00003E04" w:rsidP="003B1B4F">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6</w:t>
            </w:r>
          </w:p>
        </w:tc>
        <w:tc>
          <w:tcPr>
            <w:tcW w:w="924" w:type="dxa"/>
            <w:vMerge/>
          </w:tcPr>
          <w:p w14:paraId="0AD83AB5" w14:textId="77777777" w:rsidR="003B1B4F" w:rsidRDefault="003B1B4F" w:rsidP="003B1B4F">
            <w:pPr>
              <w:spacing w:line="360" w:lineRule="auto"/>
              <w:jc w:val="both"/>
              <w:rPr>
                <w:rFonts w:ascii="Times New Roman" w:hAnsi="Times New Roman" w:cs="Times New Roman"/>
                <w:noProof/>
                <w:sz w:val="28"/>
                <w:szCs w:val="28"/>
              </w:rPr>
            </w:pPr>
          </w:p>
        </w:tc>
        <w:tc>
          <w:tcPr>
            <w:tcW w:w="1246" w:type="dxa"/>
            <w:vMerge/>
          </w:tcPr>
          <w:p w14:paraId="2450E468" w14:textId="77777777" w:rsidR="003B1B4F" w:rsidRDefault="003B1B4F" w:rsidP="003B1B4F">
            <w:pPr>
              <w:spacing w:line="360" w:lineRule="auto"/>
              <w:jc w:val="both"/>
              <w:rPr>
                <w:rFonts w:ascii="Times New Roman" w:hAnsi="Times New Roman" w:cs="Times New Roman"/>
                <w:noProof/>
                <w:sz w:val="28"/>
                <w:szCs w:val="28"/>
              </w:rPr>
            </w:pPr>
          </w:p>
        </w:tc>
        <w:tc>
          <w:tcPr>
            <w:tcW w:w="2076" w:type="dxa"/>
            <w:vMerge/>
          </w:tcPr>
          <w:p w14:paraId="4E573B87" w14:textId="77777777" w:rsidR="003B1B4F" w:rsidRDefault="003B1B4F" w:rsidP="003B1B4F">
            <w:pPr>
              <w:spacing w:line="360" w:lineRule="auto"/>
              <w:jc w:val="both"/>
              <w:rPr>
                <w:rFonts w:ascii="Times New Roman" w:hAnsi="Times New Roman" w:cs="Times New Roman"/>
                <w:noProof/>
                <w:sz w:val="28"/>
                <w:szCs w:val="28"/>
              </w:rPr>
            </w:pPr>
          </w:p>
        </w:tc>
      </w:tr>
    </w:tbl>
    <w:p w14:paraId="04D939E1" w14:textId="78D6CBEF" w:rsidR="003B1B4F" w:rsidRDefault="003B1B4F" w:rsidP="003B1B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8"/>
          <w:szCs w:val="28"/>
        </w:rPr>
        <w:t>Таблица 3.8 парезы голосовых связок</w:t>
      </w:r>
    </w:p>
    <w:p w14:paraId="7A44A33C" w14:textId="36373680" w:rsidR="00C56F53" w:rsidRDefault="00C56F53" w:rsidP="009139A0">
      <w:pPr>
        <w:spacing w:line="360" w:lineRule="auto"/>
        <w:jc w:val="both"/>
        <w:rPr>
          <w:rFonts w:ascii="Times New Roman" w:hAnsi="Times New Roman" w:cs="Times New Roman"/>
          <w:b/>
          <w:bCs/>
          <w:noProof/>
          <w:sz w:val="28"/>
          <w:szCs w:val="28"/>
        </w:rPr>
      </w:pPr>
    </w:p>
    <w:p w14:paraId="21E33170" w14:textId="60B2AEEA" w:rsidR="00386B59" w:rsidRPr="008B0E3F" w:rsidRDefault="009F7029" w:rsidP="00CE79E3">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Из последней таблицы нам видно, что </w:t>
      </w:r>
      <w:r w:rsidR="009D7C69">
        <w:rPr>
          <w:rFonts w:ascii="Times New Roman" w:hAnsi="Times New Roman" w:cs="Times New Roman"/>
          <w:noProof/>
          <w:sz w:val="28"/>
          <w:szCs w:val="28"/>
        </w:rPr>
        <w:t xml:space="preserve">нет значимого преобладания по частоте пареза голосовых складок среди пацентов после ТЭ или ГТЭ. </w:t>
      </w:r>
      <w:r w:rsidR="00DC1543">
        <w:rPr>
          <w:rFonts w:ascii="Times New Roman" w:hAnsi="Times New Roman" w:cs="Times New Roman"/>
          <w:noProof/>
          <w:sz w:val="28"/>
          <w:szCs w:val="28"/>
        </w:rPr>
        <w:t xml:space="preserve">Последнее можно объяснить тем, что </w:t>
      </w:r>
      <w:r w:rsidR="00454795">
        <w:rPr>
          <w:rFonts w:ascii="Times New Roman" w:hAnsi="Times New Roman" w:cs="Times New Roman"/>
          <w:noProof/>
          <w:sz w:val="28"/>
          <w:szCs w:val="28"/>
        </w:rPr>
        <w:t xml:space="preserve">в ряде случаев </w:t>
      </w:r>
      <w:r w:rsidR="00DC1543">
        <w:rPr>
          <w:rFonts w:ascii="Times New Roman" w:hAnsi="Times New Roman" w:cs="Times New Roman"/>
          <w:noProof/>
          <w:sz w:val="28"/>
          <w:szCs w:val="28"/>
        </w:rPr>
        <w:t>при развитии интраоперационных осложнений</w:t>
      </w:r>
      <w:r w:rsidR="00454795">
        <w:rPr>
          <w:rFonts w:ascii="Times New Roman" w:hAnsi="Times New Roman" w:cs="Times New Roman"/>
          <w:noProof/>
          <w:sz w:val="28"/>
          <w:szCs w:val="28"/>
        </w:rPr>
        <w:t xml:space="preserve"> операция может быть </w:t>
      </w:r>
      <w:r w:rsidR="008B0E3F">
        <w:rPr>
          <w:rFonts w:ascii="Times New Roman" w:hAnsi="Times New Roman" w:cs="Times New Roman"/>
          <w:noProof/>
          <w:sz w:val="28"/>
          <w:szCs w:val="28"/>
        </w:rPr>
        <w:t xml:space="preserve">остановленна на меньшем объёме. </w:t>
      </w:r>
    </w:p>
    <w:p w14:paraId="0557B058" w14:textId="77777777" w:rsidR="00386B59" w:rsidRDefault="00386B59" w:rsidP="009139A0">
      <w:pPr>
        <w:spacing w:line="360" w:lineRule="auto"/>
        <w:jc w:val="both"/>
        <w:rPr>
          <w:rFonts w:ascii="Times New Roman" w:hAnsi="Times New Roman" w:cs="Times New Roman"/>
          <w:b/>
          <w:bCs/>
          <w:noProof/>
          <w:sz w:val="28"/>
          <w:szCs w:val="28"/>
        </w:rPr>
      </w:pPr>
    </w:p>
    <w:p w14:paraId="0AB885D0" w14:textId="77777777" w:rsidR="00386B59" w:rsidRDefault="00386B59" w:rsidP="009139A0">
      <w:pPr>
        <w:spacing w:line="360" w:lineRule="auto"/>
        <w:jc w:val="both"/>
        <w:rPr>
          <w:rFonts w:ascii="Times New Roman" w:hAnsi="Times New Roman" w:cs="Times New Roman"/>
          <w:b/>
          <w:bCs/>
          <w:noProof/>
          <w:sz w:val="28"/>
          <w:szCs w:val="28"/>
        </w:rPr>
      </w:pPr>
    </w:p>
    <w:p w14:paraId="5DD079CD" w14:textId="77777777" w:rsidR="00386B59" w:rsidRDefault="00386B59" w:rsidP="009139A0">
      <w:pPr>
        <w:spacing w:line="360" w:lineRule="auto"/>
        <w:jc w:val="both"/>
        <w:rPr>
          <w:rFonts w:ascii="Times New Roman" w:hAnsi="Times New Roman" w:cs="Times New Roman"/>
          <w:b/>
          <w:bCs/>
          <w:noProof/>
          <w:sz w:val="28"/>
          <w:szCs w:val="28"/>
        </w:rPr>
      </w:pPr>
    </w:p>
    <w:p w14:paraId="4EF8278E" w14:textId="77777777" w:rsidR="00386B59" w:rsidRDefault="00386B59" w:rsidP="009139A0">
      <w:pPr>
        <w:spacing w:line="360" w:lineRule="auto"/>
        <w:jc w:val="both"/>
        <w:rPr>
          <w:rFonts w:ascii="Times New Roman" w:hAnsi="Times New Roman" w:cs="Times New Roman"/>
          <w:b/>
          <w:bCs/>
          <w:noProof/>
          <w:sz w:val="28"/>
          <w:szCs w:val="28"/>
        </w:rPr>
      </w:pPr>
    </w:p>
    <w:p w14:paraId="57D0EED6" w14:textId="77777777" w:rsidR="00386B59" w:rsidRDefault="00386B59" w:rsidP="009139A0">
      <w:pPr>
        <w:spacing w:line="360" w:lineRule="auto"/>
        <w:jc w:val="both"/>
        <w:rPr>
          <w:rFonts w:ascii="Times New Roman" w:hAnsi="Times New Roman" w:cs="Times New Roman"/>
          <w:b/>
          <w:bCs/>
          <w:noProof/>
          <w:sz w:val="28"/>
          <w:szCs w:val="28"/>
        </w:rPr>
      </w:pPr>
    </w:p>
    <w:p w14:paraId="6A2E61C4" w14:textId="77777777" w:rsidR="00386B59" w:rsidRDefault="00386B59" w:rsidP="009139A0">
      <w:pPr>
        <w:spacing w:line="360" w:lineRule="auto"/>
        <w:jc w:val="both"/>
        <w:rPr>
          <w:rFonts w:ascii="Times New Roman" w:hAnsi="Times New Roman" w:cs="Times New Roman"/>
          <w:b/>
          <w:bCs/>
          <w:noProof/>
          <w:sz w:val="28"/>
          <w:szCs w:val="28"/>
        </w:rPr>
      </w:pPr>
    </w:p>
    <w:p w14:paraId="39A00D22" w14:textId="77777777" w:rsidR="00386B59" w:rsidRDefault="00386B59" w:rsidP="009139A0">
      <w:pPr>
        <w:spacing w:line="360" w:lineRule="auto"/>
        <w:jc w:val="both"/>
        <w:rPr>
          <w:rFonts w:ascii="Times New Roman" w:hAnsi="Times New Roman" w:cs="Times New Roman"/>
          <w:b/>
          <w:bCs/>
          <w:noProof/>
          <w:sz w:val="28"/>
          <w:szCs w:val="28"/>
        </w:rPr>
      </w:pPr>
    </w:p>
    <w:p w14:paraId="3532CF33" w14:textId="77777777" w:rsidR="00386B59" w:rsidRDefault="00386B59" w:rsidP="009139A0">
      <w:pPr>
        <w:spacing w:line="360" w:lineRule="auto"/>
        <w:jc w:val="both"/>
        <w:rPr>
          <w:rFonts w:ascii="Times New Roman" w:hAnsi="Times New Roman" w:cs="Times New Roman"/>
          <w:b/>
          <w:bCs/>
          <w:noProof/>
          <w:sz w:val="28"/>
          <w:szCs w:val="28"/>
        </w:rPr>
      </w:pPr>
    </w:p>
    <w:p w14:paraId="32859104" w14:textId="77777777" w:rsidR="00386B59" w:rsidRDefault="00386B59" w:rsidP="009139A0">
      <w:pPr>
        <w:spacing w:line="360" w:lineRule="auto"/>
        <w:jc w:val="both"/>
        <w:rPr>
          <w:rFonts w:ascii="Times New Roman" w:hAnsi="Times New Roman" w:cs="Times New Roman"/>
          <w:b/>
          <w:bCs/>
          <w:noProof/>
          <w:sz w:val="28"/>
          <w:szCs w:val="28"/>
        </w:rPr>
      </w:pPr>
    </w:p>
    <w:p w14:paraId="608ED63B" w14:textId="77777777" w:rsidR="00386B59" w:rsidRDefault="00386B59" w:rsidP="009139A0">
      <w:pPr>
        <w:spacing w:line="360" w:lineRule="auto"/>
        <w:jc w:val="both"/>
        <w:rPr>
          <w:rFonts w:ascii="Times New Roman" w:hAnsi="Times New Roman" w:cs="Times New Roman"/>
          <w:b/>
          <w:bCs/>
          <w:noProof/>
          <w:sz w:val="28"/>
          <w:szCs w:val="28"/>
        </w:rPr>
      </w:pPr>
    </w:p>
    <w:p w14:paraId="1C17376D" w14:textId="77777777" w:rsidR="00386B59" w:rsidRDefault="00386B59" w:rsidP="009139A0">
      <w:pPr>
        <w:spacing w:line="360" w:lineRule="auto"/>
        <w:jc w:val="both"/>
        <w:rPr>
          <w:rFonts w:ascii="Times New Roman" w:hAnsi="Times New Roman" w:cs="Times New Roman"/>
          <w:b/>
          <w:bCs/>
          <w:noProof/>
          <w:sz w:val="28"/>
          <w:szCs w:val="28"/>
        </w:rPr>
      </w:pPr>
    </w:p>
    <w:p w14:paraId="01E07AE2" w14:textId="77777777" w:rsidR="00386B59" w:rsidRDefault="00386B59" w:rsidP="009139A0">
      <w:pPr>
        <w:spacing w:line="360" w:lineRule="auto"/>
        <w:jc w:val="both"/>
        <w:rPr>
          <w:rFonts w:ascii="Times New Roman" w:hAnsi="Times New Roman" w:cs="Times New Roman"/>
          <w:b/>
          <w:bCs/>
          <w:noProof/>
          <w:sz w:val="28"/>
          <w:szCs w:val="28"/>
        </w:rPr>
      </w:pPr>
    </w:p>
    <w:p w14:paraId="1FD99FF0" w14:textId="77777777" w:rsidR="00386B59" w:rsidRDefault="00386B59" w:rsidP="009139A0">
      <w:pPr>
        <w:spacing w:line="360" w:lineRule="auto"/>
        <w:jc w:val="both"/>
        <w:rPr>
          <w:rFonts w:ascii="Times New Roman" w:hAnsi="Times New Roman" w:cs="Times New Roman"/>
          <w:b/>
          <w:bCs/>
          <w:noProof/>
          <w:sz w:val="28"/>
          <w:szCs w:val="28"/>
        </w:rPr>
      </w:pPr>
    </w:p>
    <w:p w14:paraId="07784913" w14:textId="0728B308" w:rsidR="00386B59" w:rsidRDefault="00386B59" w:rsidP="009139A0">
      <w:pPr>
        <w:spacing w:line="360" w:lineRule="auto"/>
        <w:jc w:val="both"/>
        <w:rPr>
          <w:rFonts w:ascii="Times New Roman" w:hAnsi="Times New Roman" w:cs="Times New Roman"/>
          <w:b/>
          <w:bCs/>
          <w:noProof/>
          <w:sz w:val="28"/>
          <w:szCs w:val="28"/>
        </w:rPr>
      </w:pPr>
    </w:p>
    <w:p w14:paraId="3F68DC13" w14:textId="77777777" w:rsidR="00575834" w:rsidRDefault="00575834" w:rsidP="009139A0">
      <w:pPr>
        <w:spacing w:line="360" w:lineRule="auto"/>
        <w:jc w:val="both"/>
        <w:rPr>
          <w:rFonts w:ascii="Times New Roman" w:hAnsi="Times New Roman" w:cs="Times New Roman"/>
          <w:b/>
          <w:bCs/>
          <w:noProof/>
          <w:sz w:val="28"/>
          <w:szCs w:val="28"/>
        </w:rPr>
      </w:pPr>
    </w:p>
    <w:p w14:paraId="0B067D1A" w14:textId="77777777" w:rsidR="00575834" w:rsidRDefault="00575834" w:rsidP="009139A0">
      <w:pPr>
        <w:spacing w:line="360" w:lineRule="auto"/>
        <w:jc w:val="both"/>
        <w:rPr>
          <w:rFonts w:ascii="Times New Roman" w:hAnsi="Times New Roman" w:cs="Times New Roman"/>
          <w:b/>
          <w:bCs/>
          <w:noProof/>
          <w:sz w:val="28"/>
          <w:szCs w:val="28"/>
        </w:rPr>
      </w:pPr>
    </w:p>
    <w:p w14:paraId="7C29D846" w14:textId="77777777" w:rsidR="004F32B5" w:rsidRDefault="004F32B5" w:rsidP="009139A0">
      <w:pPr>
        <w:spacing w:line="360" w:lineRule="auto"/>
        <w:jc w:val="both"/>
        <w:rPr>
          <w:rFonts w:ascii="Times New Roman" w:hAnsi="Times New Roman" w:cs="Times New Roman"/>
          <w:b/>
          <w:bCs/>
          <w:noProof/>
          <w:sz w:val="28"/>
          <w:szCs w:val="28"/>
        </w:rPr>
      </w:pPr>
    </w:p>
    <w:p w14:paraId="7419AF8B" w14:textId="77777777" w:rsidR="002A77B7" w:rsidRDefault="002A77B7" w:rsidP="009139A0">
      <w:pPr>
        <w:spacing w:line="360" w:lineRule="auto"/>
        <w:jc w:val="both"/>
        <w:rPr>
          <w:rFonts w:ascii="Times New Roman" w:hAnsi="Times New Roman" w:cs="Times New Roman"/>
          <w:b/>
          <w:bCs/>
          <w:noProof/>
          <w:sz w:val="28"/>
          <w:szCs w:val="28"/>
        </w:rPr>
      </w:pPr>
    </w:p>
    <w:p w14:paraId="2B978C28" w14:textId="70BA4382" w:rsidR="002A77B7" w:rsidRDefault="002A77B7" w:rsidP="009139A0">
      <w:pPr>
        <w:spacing w:line="360" w:lineRule="auto"/>
        <w:jc w:val="both"/>
        <w:rPr>
          <w:rFonts w:ascii="Times New Roman" w:hAnsi="Times New Roman" w:cs="Times New Roman"/>
          <w:b/>
          <w:bCs/>
          <w:noProof/>
          <w:sz w:val="28"/>
          <w:szCs w:val="28"/>
        </w:rPr>
      </w:pPr>
    </w:p>
    <w:p w14:paraId="34BCBDAD" w14:textId="5FBCD468" w:rsidR="00CE79E3" w:rsidRDefault="00CE79E3" w:rsidP="009139A0">
      <w:pPr>
        <w:spacing w:line="36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lastRenderedPageBreak/>
        <w:t>Заключение</w:t>
      </w:r>
    </w:p>
    <w:p w14:paraId="6A2D84ED" w14:textId="5145FC86" w:rsidR="00CE79E3" w:rsidRDefault="00CE79E3"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Была исследована группа из 346 пациентов с медуллярной карциномой, из них 212 пациентам было выполнено генетическое исследование на наличие </w:t>
      </w:r>
      <w:r>
        <w:rPr>
          <w:rFonts w:ascii="Times New Roman" w:hAnsi="Times New Roman" w:cs="Times New Roman"/>
          <w:noProof/>
          <w:sz w:val="28"/>
          <w:szCs w:val="28"/>
          <w:lang w:val="en-US"/>
        </w:rPr>
        <w:t>RET</w:t>
      </w:r>
      <w:r w:rsidRPr="00CE79E3">
        <w:rPr>
          <w:rFonts w:ascii="Times New Roman" w:hAnsi="Times New Roman" w:cs="Times New Roman"/>
          <w:noProof/>
          <w:sz w:val="28"/>
          <w:szCs w:val="28"/>
        </w:rPr>
        <w:t>-</w:t>
      </w:r>
      <w:r>
        <w:rPr>
          <w:rFonts w:ascii="Times New Roman" w:hAnsi="Times New Roman" w:cs="Times New Roman"/>
          <w:noProof/>
          <w:sz w:val="28"/>
          <w:szCs w:val="28"/>
        </w:rPr>
        <w:t xml:space="preserve">протоонкогена. Из них 170 случаев было отнесено к спорадической </w:t>
      </w:r>
      <w:r w:rsidR="00F16B8F">
        <w:rPr>
          <w:rFonts w:ascii="Times New Roman" w:hAnsi="Times New Roman" w:cs="Times New Roman"/>
          <w:noProof/>
          <w:sz w:val="28"/>
          <w:szCs w:val="28"/>
        </w:rPr>
        <w:t>МК</w:t>
      </w:r>
      <w:r>
        <w:rPr>
          <w:rFonts w:ascii="Times New Roman" w:hAnsi="Times New Roman" w:cs="Times New Roman"/>
          <w:noProof/>
          <w:sz w:val="28"/>
          <w:szCs w:val="28"/>
        </w:rPr>
        <w:t xml:space="preserve"> </w:t>
      </w:r>
      <w:r w:rsidR="00B111F6">
        <w:rPr>
          <w:rFonts w:ascii="Times New Roman" w:hAnsi="Times New Roman" w:cs="Times New Roman"/>
          <w:noProof/>
          <w:sz w:val="28"/>
          <w:szCs w:val="28"/>
        </w:rPr>
        <w:t xml:space="preserve">и 42 к семейной форме. В общей сложности в </w:t>
      </w:r>
      <w:r w:rsidR="00486FCB">
        <w:rPr>
          <w:rFonts w:ascii="Times New Roman" w:hAnsi="Times New Roman" w:cs="Times New Roman"/>
          <w:noProof/>
          <w:sz w:val="28"/>
          <w:szCs w:val="28"/>
        </w:rPr>
        <w:t>когорте</w:t>
      </w:r>
      <w:r w:rsidR="00B111F6">
        <w:rPr>
          <w:rFonts w:ascii="Times New Roman" w:hAnsi="Times New Roman" w:cs="Times New Roman"/>
          <w:noProof/>
          <w:sz w:val="28"/>
          <w:szCs w:val="28"/>
        </w:rPr>
        <w:t xml:space="preserve"> пациентов из 346 человек было выполнено 312 тиреоидэктомий и 34 гемитиреоидэктомий. </w:t>
      </w:r>
    </w:p>
    <w:p w14:paraId="7927B782" w14:textId="4ACC87C3" w:rsidR="00C0601C" w:rsidRDefault="00C0601C"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В ходе исследования было показано, что</w:t>
      </w:r>
      <w:r w:rsidR="00AC19DD">
        <w:rPr>
          <w:rFonts w:ascii="Times New Roman" w:hAnsi="Times New Roman" w:cs="Times New Roman"/>
          <w:noProof/>
          <w:sz w:val="28"/>
          <w:szCs w:val="28"/>
        </w:rPr>
        <w:t xml:space="preserve"> семейная форма</w:t>
      </w:r>
      <w:r w:rsidR="00486FCB">
        <w:rPr>
          <w:rFonts w:ascii="Times New Roman" w:hAnsi="Times New Roman" w:cs="Times New Roman"/>
          <w:noProof/>
          <w:sz w:val="28"/>
          <w:szCs w:val="28"/>
        </w:rPr>
        <w:t xml:space="preserve"> медуллярной карциномы</w:t>
      </w:r>
      <w:r w:rsidR="00AC19DD">
        <w:rPr>
          <w:rFonts w:ascii="Times New Roman" w:hAnsi="Times New Roman" w:cs="Times New Roman"/>
          <w:noProof/>
          <w:sz w:val="28"/>
          <w:szCs w:val="28"/>
        </w:rPr>
        <w:t xml:space="preserve"> очень часто ассоциирована с мультифокальным ростом и билатеральным поражением щитовиденой железы</w:t>
      </w:r>
      <w:r w:rsidR="00486FCB">
        <w:rPr>
          <w:rFonts w:ascii="Times New Roman" w:hAnsi="Times New Roman" w:cs="Times New Roman"/>
          <w:noProof/>
          <w:sz w:val="28"/>
          <w:szCs w:val="28"/>
        </w:rPr>
        <w:t>, в то время как</w:t>
      </w:r>
      <w:r>
        <w:rPr>
          <w:rFonts w:ascii="Times New Roman" w:hAnsi="Times New Roman" w:cs="Times New Roman"/>
          <w:noProof/>
          <w:sz w:val="28"/>
          <w:szCs w:val="28"/>
        </w:rPr>
        <w:t xml:space="preserve"> спорадическая форма медуллярного рака  </w:t>
      </w:r>
      <w:r w:rsidR="00AC19DD">
        <w:rPr>
          <w:rFonts w:ascii="Times New Roman" w:hAnsi="Times New Roman" w:cs="Times New Roman"/>
          <w:noProof/>
          <w:sz w:val="28"/>
          <w:szCs w:val="28"/>
        </w:rPr>
        <w:t xml:space="preserve">в подавляющем большинстве случаев характеризуется немультифокальным ростом и локализована в одной доле </w:t>
      </w:r>
      <w:r w:rsidR="00486FCB">
        <w:rPr>
          <w:rFonts w:ascii="Times New Roman" w:hAnsi="Times New Roman" w:cs="Times New Roman"/>
          <w:noProof/>
          <w:sz w:val="28"/>
          <w:szCs w:val="28"/>
        </w:rPr>
        <w:t>органа</w:t>
      </w:r>
      <w:r w:rsidR="00AC19DD">
        <w:rPr>
          <w:rFonts w:ascii="Times New Roman" w:hAnsi="Times New Roman" w:cs="Times New Roman"/>
          <w:noProof/>
          <w:sz w:val="28"/>
          <w:szCs w:val="28"/>
        </w:rPr>
        <w:t>.</w:t>
      </w:r>
      <w:r w:rsidR="00486FCB">
        <w:rPr>
          <w:rFonts w:ascii="Times New Roman" w:hAnsi="Times New Roman" w:cs="Times New Roman"/>
          <w:noProof/>
          <w:sz w:val="28"/>
          <w:szCs w:val="28"/>
        </w:rPr>
        <w:t xml:space="preserve"> </w:t>
      </w:r>
      <w:r w:rsidR="001A66E3">
        <w:rPr>
          <w:rFonts w:ascii="Times New Roman" w:hAnsi="Times New Roman" w:cs="Times New Roman"/>
          <w:noProof/>
          <w:sz w:val="28"/>
          <w:szCs w:val="28"/>
        </w:rPr>
        <w:t>При этом в отличии от данных зарубежной литературы</w:t>
      </w:r>
      <w:r w:rsidR="008917EF" w:rsidRPr="008917EF">
        <w:rPr>
          <w:rFonts w:ascii="Times New Roman" w:hAnsi="Times New Roman" w:cs="Times New Roman"/>
          <w:noProof/>
          <w:sz w:val="28"/>
          <w:szCs w:val="28"/>
        </w:rPr>
        <w:t xml:space="preserve"> [1]</w:t>
      </w:r>
      <w:r w:rsidR="001A66E3">
        <w:rPr>
          <w:rFonts w:ascii="Times New Roman" w:hAnsi="Times New Roman" w:cs="Times New Roman"/>
          <w:noProof/>
          <w:sz w:val="28"/>
          <w:szCs w:val="28"/>
        </w:rPr>
        <w:t xml:space="preserve">, спорадическая форма не связанна с более агрессивным течением, более частой инвазией в капсулу железы и сосуды. Также исход заболевания не зависел от семейной или </w:t>
      </w:r>
      <w:r w:rsidR="000B1F1B">
        <w:rPr>
          <w:rFonts w:ascii="Times New Roman" w:hAnsi="Times New Roman" w:cs="Times New Roman"/>
          <w:noProof/>
          <w:sz w:val="28"/>
          <w:szCs w:val="28"/>
        </w:rPr>
        <w:t>спорадической формой.</w:t>
      </w:r>
      <w:r w:rsidR="001A66E3">
        <w:rPr>
          <w:rFonts w:ascii="Times New Roman" w:hAnsi="Times New Roman" w:cs="Times New Roman"/>
          <w:noProof/>
          <w:sz w:val="28"/>
          <w:szCs w:val="28"/>
        </w:rPr>
        <w:t xml:space="preserve"> </w:t>
      </w:r>
      <w:r w:rsidR="00486FCB">
        <w:rPr>
          <w:rFonts w:ascii="Times New Roman" w:hAnsi="Times New Roman" w:cs="Times New Roman"/>
          <w:noProof/>
          <w:sz w:val="28"/>
          <w:szCs w:val="28"/>
        </w:rPr>
        <w:t xml:space="preserve"> </w:t>
      </w:r>
    </w:p>
    <w:p w14:paraId="3EF290AA" w14:textId="4F153E1E" w:rsidR="00C2315C" w:rsidRDefault="00C2315C"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Сопоставляя мультифокальность опухоли по данным УЗИ с результатами генетического исследования</w:t>
      </w:r>
      <w:r w:rsidR="00F16B8F">
        <w:rPr>
          <w:rFonts w:ascii="Times New Roman" w:hAnsi="Times New Roman" w:cs="Times New Roman"/>
          <w:noProof/>
          <w:sz w:val="28"/>
          <w:szCs w:val="28"/>
        </w:rPr>
        <w:t>, было показано, что в ряде случаев можно с большой долей вероятности судить о форме заболевания</w:t>
      </w:r>
      <w:r w:rsidR="00631398">
        <w:rPr>
          <w:rFonts w:ascii="Times New Roman" w:hAnsi="Times New Roman" w:cs="Times New Roman"/>
          <w:noProof/>
          <w:sz w:val="28"/>
          <w:szCs w:val="28"/>
        </w:rPr>
        <w:t>, основываясь на данных ультросонографии</w:t>
      </w:r>
      <w:r w:rsidR="00F16B8F">
        <w:rPr>
          <w:rFonts w:ascii="Times New Roman" w:hAnsi="Times New Roman" w:cs="Times New Roman"/>
          <w:noProof/>
          <w:sz w:val="28"/>
          <w:szCs w:val="28"/>
        </w:rPr>
        <w:t>, если не было выполнено генотипирование до операции.</w:t>
      </w:r>
      <w:r w:rsidR="00631398">
        <w:rPr>
          <w:rFonts w:ascii="Times New Roman" w:hAnsi="Times New Roman" w:cs="Times New Roman"/>
          <w:noProof/>
          <w:sz w:val="28"/>
          <w:szCs w:val="28"/>
        </w:rPr>
        <w:t xml:space="preserve"> </w:t>
      </w:r>
    </w:p>
    <w:p w14:paraId="208B411F" w14:textId="77777777" w:rsidR="00D81167" w:rsidRDefault="005B4288"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Сравнивая частоту двусторонней локализации опухоли при </w:t>
      </w:r>
      <w:r w:rsidR="00CC45D5">
        <w:rPr>
          <w:rFonts w:ascii="Times New Roman" w:hAnsi="Times New Roman" w:cs="Times New Roman"/>
          <w:noProof/>
          <w:sz w:val="28"/>
          <w:szCs w:val="28"/>
        </w:rPr>
        <w:t>наследственной и спорадической форм</w:t>
      </w:r>
      <w:r w:rsidR="00A0250B">
        <w:rPr>
          <w:rFonts w:ascii="Times New Roman" w:hAnsi="Times New Roman" w:cs="Times New Roman"/>
          <w:noProof/>
          <w:sz w:val="28"/>
          <w:szCs w:val="28"/>
        </w:rPr>
        <w:t>ах, подтверждённых по данным генетического исследования</w:t>
      </w:r>
      <w:r w:rsidR="00D81167">
        <w:rPr>
          <w:rFonts w:ascii="Times New Roman" w:hAnsi="Times New Roman" w:cs="Times New Roman"/>
          <w:noProof/>
          <w:sz w:val="28"/>
          <w:szCs w:val="28"/>
        </w:rPr>
        <w:t>, было показано, что можно с высокой точностью предсказать двустороннее поражение зная форму заболевания.</w:t>
      </w:r>
    </w:p>
    <w:p w14:paraId="6C9460DB" w14:textId="77777777" w:rsidR="00015C8B" w:rsidRDefault="00542579"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Оценивая вероятность </w:t>
      </w:r>
      <w:r w:rsidR="00015C8B">
        <w:rPr>
          <w:rFonts w:ascii="Times New Roman" w:hAnsi="Times New Roman" w:cs="Times New Roman"/>
          <w:noProof/>
          <w:sz w:val="28"/>
          <w:szCs w:val="28"/>
        </w:rPr>
        <w:t xml:space="preserve">биохимической </w:t>
      </w:r>
      <w:r>
        <w:rPr>
          <w:rFonts w:ascii="Times New Roman" w:hAnsi="Times New Roman" w:cs="Times New Roman"/>
          <w:noProof/>
          <w:sz w:val="28"/>
          <w:szCs w:val="28"/>
        </w:rPr>
        <w:t>ремиссии</w:t>
      </w:r>
      <w:r w:rsidR="00A72859">
        <w:rPr>
          <w:rFonts w:ascii="Times New Roman" w:hAnsi="Times New Roman" w:cs="Times New Roman"/>
          <w:noProof/>
          <w:sz w:val="28"/>
          <w:szCs w:val="28"/>
        </w:rPr>
        <w:t xml:space="preserve"> среди пациентов без отдаленных метастазов и метастазов</w:t>
      </w:r>
      <w:r w:rsidR="00015C8B">
        <w:rPr>
          <w:rFonts w:ascii="Times New Roman" w:hAnsi="Times New Roman" w:cs="Times New Roman"/>
          <w:noProof/>
          <w:sz w:val="28"/>
          <w:szCs w:val="28"/>
        </w:rPr>
        <w:t xml:space="preserve"> в</w:t>
      </w:r>
      <w:r w:rsidR="00A72859">
        <w:rPr>
          <w:rFonts w:ascii="Times New Roman" w:hAnsi="Times New Roman" w:cs="Times New Roman"/>
          <w:noProof/>
          <w:sz w:val="28"/>
          <w:szCs w:val="28"/>
        </w:rPr>
        <w:t xml:space="preserve"> БЛУ шеи было установленно, что выбор тиреоидэктомии или органосохраняющей операции не влияет</w:t>
      </w:r>
      <w:r w:rsidR="00015C8B">
        <w:rPr>
          <w:rFonts w:ascii="Times New Roman" w:hAnsi="Times New Roman" w:cs="Times New Roman"/>
          <w:noProof/>
          <w:sz w:val="28"/>
          <w:szCs w:val="28"/>
        </w:rPr>
        <w:t xml:space="preserve"> на вероятность выздоровления пациента.</w:t>
      </w:r>
    </w:p>
    <w:p w14:paraId="304EC340" w14:textId="30E135ED" w:rsidR="00EF4031" w:rsidRPr="00CE79E3" w:rsidRDefault="00015C8B" w:rsidP="009139A0">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Сопоставляя частоту неблагоприятно</w:t>
      </w:r>
      <w:r w:rsidR="0041729F">
        <w:rPr>
          <w:rFonts w:ascii="Times New Roman" w:hAnsi="Times New Roman" w:cs="Times New Roman"/>
          <w:noProof/>
          <w:sz w:val="28"/>
          <w:szCs w:val="28"/>
        </w:rPr>
        <w:t xml:space="preserve">го исхода (быстрый рост кальцитонина или смерть от основного заболевания) среди пациентов с метастазами в БЛУ шеи или отдаленными метастазами, было показано, что выбор ТЭ или ГТЭ не влияет на </w:t>
      </w:r>
      <w:r w:rsidR="001A66E3">
        <w:rPr>
          <w:rFonts w:ascii="Times New Roman" w:hAnsi="Times New Roman" w:cs="Times New Roman"/>
          <w:noProof/>
          <w:sz w:val="28"/>
          <w:szCs w:val="28"/>
        </w:rPr>
        <w:t xml:space="preserve">исход заболевания. </w:t>
      </w:r>
      <w:r>
        <w:rPr>
          <w:rFonts w:ascii="Times New Roman" w:hAnsi="Times New Roman" w:cs="Times New Roman"/>
          <w:noProof/>
          <w:sz w:val="28"/>
          <w:szCs w:val="28"/>
        </w:rPr>
        <w:t xml:space="preserve"> </w:t>
      </w:r>
      <w:r w:rsidR="00542579">
        <w:rPr>
          <w:rFonts w:ascii="Times New Roman" w:hAnsi="Times New Roman" w:cs="Times New Roman"/>
          <w:noProof/>
          <w:sz w:val="28"/>
          <w:szCs w:val="28"/>
        </w:rPr>
        <w:t xml:space="preserve"> </w:t>
      </w:r>
      <w:r w:rsidR="00D81167">
        <w:rPr>
          <w:rFonts w:ascii="Times New Roman" w:hAnsi="Times New Roman" w:cs="Times New Roman"/>
          <w:noProof/>
          <w:sz w:val="28"/>
          <w:szCs w:val="28"/>
        </w:rPr>
        <w:t xml:space="preserve"> </w:t>
      </w:r>
      <w:r w:rsidR="00CC45D5">
        <w:rPr>
          <w:rFonts w:ascii="Times New Roman" w:hAnsi="Times New Roman" w:cs="Times New Roman"/>
          <w:noProof/>
          <w:sz w:val="28"/>
          <w:szCs w:val="28"/>
        </w:rPr>
        <w:t xml:space="preserve"> </w:t>
      </w:r>
    </w:p>
    <w:p w14:paraId="010CCE23" w14:textId="77777777" w:rsidR="00CE79E3" w:rsidRPr="00CE79E3" w:rsidRDefault="00CE79E3" w:rsidP="009139A0">
      <w:pPr>
        <w:spacing w:line="360" w:lineRule="auto"/>
        <w:jc w:val="both"/>
        <w:rPr>
          <w:rFonts w:ascii="Times New Roman" w:hAnsi="Times New Roman" w:cs="Times New Roman"/>
          <w:noProof/>
          <w:sz w:val="28"/>
          <w:szCs w:val="28"/>
        </w:rPr>
      </w:pPr>
    </w:p>
    <w:p w14:paraId="79582744" w14:textId="45E7535D" w:rsidR="00CE79E3" w:rsidRDefault="00CE79E3" w:rsidP="009139A0">
      <w:pPr>
        <w:spacing w:line="360" w:lineRule="auto"/>
        <w:jc w:val="both"/>
        <w:rPr>
          <w:rFonts w:ascii="Times New Roman" w:hAnsi="Times New Roman" w:cs="Times New Roman"/>
          <w:b/>
          <w:bCs/>
          <w:noProof/>
          <w:sz w:val="28"/>
          <w:szCs w:val="28"/>
        </w:rPr>
      </w:pPr>
    </w:p>
    <w:p w14:paraId="5675F3C5" w14:textId="0615B65E" w:rsidR="00CE79E3" w:rsidRDefault="00CE79E3" w:rsidP="009139A0">
      <w:pPr>
        <w:spacing w:line="360" w:lineRule="auto"/>
        <w:jc w:val="both"/>
        <w:rPr>
          <w:rFonts w:ascii="Times New Roman" w:hAnsi="Times New Roman" w:cs="Times New Roman"/>
          <w:b/>
          <w:bCs/>
          <w:noProof/>
          <w:sz w:val="28"/>
          <w:szCs w:val="28"/>
        </w:rPr>
      </w:pPr>
    </w:p>
    <w:p w14:paraId="0A01F9E9" w14:textId="08DD173F" w:rsidR="00CE79E3" w:rsidRDefault="00CE79E3" w:rsidP="009139A0">
      <w:pPr>
        <w:spacing w:line="360" w:lineRule="auto"/>
        <w:jc w:val="both"/>
        <w:rPr>
          <w:rFonts w:ascii="Times New Roman" w:hAnsi="Times New Roman" w:cs="Times New Roman"/>
          <w:b/>
          <w:bCs/>
          <w:noProof/>
          <w:sz w:val="28"/>
          <w:szCs w:val="28"/>
        </w:rPr>
      </w:pPr>
    </w:p>
    <w:p w14:paraId="24D176D3" w14:textId="12C83334" w:rsidR="00CE79E3" w:rsidRDefault="00CE79E3" w:rsidP="009139A0">
      <w:pPr>
        <w:spacing w:line="360" w:lineRule="auto"/>
        <w:jc w:val="both"/>
        <w:rPr>
          <w:rFonts w:ascii="Times New Roman" w:hAnsi="Times New Roman" w:cs="Times New Roman"/>
          <w:b/>
          <w:bCs/>
          <w:noProof/>
          <w:sz w:val="28"/>
          <w:szCs w:val="28"/>
        </w:rPr>
      </w:pPr>
    </w:p>
    <w:p w14:paraId="25610E5C" w14:textId="1770A94E" w:rsidR="00CE79E3" w:rsidRDefault="00CE79E3" w:rsidP="009139A0">
      <w:pPr>
        <w:spacing w:line="360" w:lineRule="auto"/>
        <w:jc w:val="both"/>
        <w:rPr>
          <w:rFonts w:ascii="Times New Roman" w:hAnsi="Times New Roman" w:cs="Times New Roman"/>
          <w:b/>
          <w:bCs/>
          <w:noProof/>
          <w:sz w:val="28"/>
          <w:szCs w:val="28"/>
        </w:rPr>
      </w:pPr>
    </w:p>
    <w:p w14:paraId="581BCC8F" w14:textId="3D835EC5" w:rsidR="00CE79E3" w:rsidRDefault="00CE79E3" w:rsidP="009139A0">
      <w:pPr>
        <w:spacing w:line="360" w:lineRule="auto"/>
        <w:jc w:val="both"/>
        <w:rPr>
          <w:rFonts w:ascii="Times New Roman" w:hAnsi="Times New Roman" w:cs="Times New Roman"/>
          <w:b/>
          <w:bCs/>
          <w:noProof/>
          <w:sz w:val="28"/>
          <w:szCs w:val="28"/>
        </w:rPr>
      </w:pPr>
    </w:p>
    <w:p w14:paraId="73D776B7" w14:textId="2BF251CD" w:rsidR="00CE79E3" w:rsidRDefault="00CE79E3" w:rsidP="009139A0">
      <w:pPr>
        <w:spacing w:line="360" w:lineRule="auto"/>
        <w:jc w:val="both"/>
        <w:rPr>
          <w:rFonts w:ascii="Times New Roman" w:hAnsi="Times New Roman" w:cs="Times New Roman"/>
          <w:b/>
          <w:bCs/>
          <w:noProof/>
          <w:sz w:val="28"/>
          <w:szCs w:val="28"/>
        </w:rPr>
      </w:pPr>
    </w:p>
    <w:p w14:paraId="0A39011D" w14:textId="47EC6EA1" w:rsidR="00CE79E3" w:rsidRDefault="00CE79E3" w:rsidP="009139A0">
      <w:pPr>
        <w:spacing w:line="360" w:lineRule="auto"/>
        <w:jc w:val="both"/>
        <w:rPr>
          <w:rFonts w:ascii="Times New Roman" w:hAnsi="Times New Roman" w:cs="Times New Roman"/>
          <w:b/>
          <w:bCs/>
          <w:noProof/>
          <w:sz w:val="28"/>
          <w:szCs w:val="28"/>
        </w:rPr>
      </w:pPr>
    </w:p>
    <w:p w14:paraId="545D0010" w14:textId="0ED83D08" w:rsidR="00CE79E3" w:rsidRDefault="00CE79E3" w:rsidP="009139A0">
      <w:pPr>
        <w:spacing w:line="360" w:lineRule="auto"/>
        <w:jc w:val="both"/>
        <w:rPr>
          <w:rFonts w:ascii="Times New Roman" w:hAnsi="Times New Roman" w:cs="Times New Roman"/>
          <w:b/>
          <w:bCs/>
          <w:noProof/>
          <w:sz w:val="28"/>
          <w:szCs w:val="28"/>
        </w:rPr>
      </w:pPr>
    </w:p>
    <w:p w14:paraId="18AA1FDE" w14:textId="519557D2" w:rsidR="00CE79E3" w:rsidRDefault="00CE79E3" w:rsidP="009139A0">
      <w:pPr>
        <w:spacing w:line="360" w:lineRule="auto"/>
        <w:jc w:val="both"/>
        <w:rPr>
          <w:rFonts w:ascii="Times New Roman" w:hAnsi="Times New Roman" w:cs="Times New Roman"/>
          <w:b/>
          <w:bCs/>
          <w:noProof/>
          <w:sz w:val="28"/>
          <w:szCs w:val="28"/>
        </w:rPr>
      </w:pPr>
    </w:p>
    <w:p w14:paraId="6956FAC3" w14:textId="48DF051F" w:rsidR="00CE79E3" w:rsidRDefault="00CE79E3" w:rsidP="009139A0">
      <w:pPr>
        <w:spacing w:line="360" w:lineRule="auto"/>
        <w:jc w:val="both"/>
        <w:rPr>
          <w:rFonts w:ascii="Times New Roman" w:hAnsi="Times New Roman" w:cs="Times New Roman"/>
          <w:b/>
          <w:bCs/>
          <w:noProof/>
          <w:sz w:val="28"/>
          <w:szCs w:val="28"/>
        </w:rPr>
      </w:pPr>
    </w:p>
    <w:p w14:paraId="2ED460E3" w14:textId="2495AA26" w:rsidR="00CE79E3" w:rsidRDefault="00CE79E3" w:rsidP="009139A0">
      <w:pPr>
        <w:spacing w:line="360" w:lineRule="auto"/>
        <w:jc w:val="both"/>
        <w:rPr>
          <w:rFonts w:ascii="Times New Roman" w:hAnsi="Times New Roman" w:cs="Times New Roman"/>
          <w:b/>
          <w:bCs/>
          <w:noProof/>
          <w:sz w:val="28"/>
          <w:szCs w:val="28"/>
        </w:rPr>
      </w:pPr>
    </w:p>
    <w:p w14:paraId="1CAD4ACD" w14:textId="3F1B4987" w:rsidR="00CE79E3" w:rsidRDefault="00CE79E3" w:rsidP="009139A0">
      <w:pPr>
        <w:spacing w:line="360" w:lineRule="auto"/>
        <w:jc w:val="both"/>
        <w:rPr>
          <w:rFonts w:ascii="Times New Roman" w:hAnsi="Times New Roman" w:cs="Times New Roman"/>
          <w:b/>
          <w:bCs/>
          <w:noProof/>
          <w:sz w:val="28"/>
          <w:szCs w:val="28"/>
        </w:rPr>
      </w:pPr>
    </w:p>
    <w:p w14:paraId="14E09C95" w14:textId="07E3C01F" w:rsidR="00CE79E3" w:rsidRDefault="00CE79E3" w:rsidP="009139A0">
      <w:pPr>
        <w:spacing w:line="360" w:lineRule="auto"/>
        <w:jc w:val="both"/>
        <w:rPr>
          <w:rFonts w:ascii="Times New Roman" w:hAnsi="Times New Roman" w:cs="Times New Roman"/>
          <w:b/>
          <w:bCs/>
          <w:noProof/>
          <w:sz w:val="28"/>
          <w:szCs w:val="28"/>
        </w:rPr>
      </w:pPr>
    </w:p>
    <w:p w14:paraId="474E1D62" w14:textId="1ACA1451" w:rsidR="00CE79E3" w:rsidRDefault="00CE79E3" w:rsidP="009139A0">
      <w:pPr>
        <w:spacing w:line="360" w:lineRule="auto"/>
        <w:jc w:val="both"/>
        <w:rPr>
          <w:rFonts w:ascii="Times New Roman" w:hAnsi="Times New Roman" w:cs="Times New Roman"/>
          <w:b/>
          <w:bCs/>
          <w:noProof/>
          <w:sz w:val="28"/>
          <w:szCs w:val="28"/>
        </w:rPr>
      </w:pPr>
    </w:p>
    <w:p w14:paraId="557A277D" w14:textId="4A49CBDD" w:rsidR="00CE79E3" w:rsidRDefault="00CE79E3" w:rsidP="009139A0">
      <w:pPr>
        <w:spacing w:line="360" w:lineRule="auto"/>
        <w:jc w:val="both"/>
        <w:rPr>
          <w:rFonts w:ascii="Times New Roman" w:hAnsi="Times New Roman" w:cs="Times New Roman"/>
          <w:b/>
          <w:bCs/>
          <w:noProof/>
          <w:sz w:val="28"/>
          <w:szCs w:val="28"/>
        </w:rPr>
      </w:pPr>
    </w:p>
    <w:p w14:paraId="0C1EB4E1" w14:textId="110DDC2E" w:rsidR="00CE79E3" w:rsidRDefault="00CE79E3" w:rsidP="009139A0">
      <w:pPr>
        <w:spacing w:line="360" w:lineRule="auto"/>
        <w:jc w:val="both"/>
        <w:rPr>
          <w:rFonts w:ascii="Times New Roman" w:hAnsi="Times New Roman" w:cs="Times New Roman"/>
          <w:b/>
          <w:bCs/>
          <w:noProof/>
          <w:sz w:val="28"/>
          <w:szCs w:val="28"/>
        </w:rPr>
      </w:pPr>
    </w:p>
    <w:p w14:paraId="5BC48C47" w14:textId="23811F41" w:rsidR="00CE79E3" w:rsidRDefault="00CE79E3" w:rsidP="009139A0">
      <w:pPr>
        <w:spacing w:line="360" w:lineRule="auto"/>
        <w:jc w:val="both"/>
        <w:rPr>
          <w:rFonts w:ascii="Times New Roman" w:hAnsi="Times New Roman" w:cs="Times New Roman"/>
          <w:b/>
          <w:bCs/>
          <w:noProof/>
          <w:sz w:val="28"/>
          <w:szCs w:val="28"/>
        </w:rPr>
      </w:pPr>
    </w:p>
    <w:p w14:paraId="2B98CB2B" w14:textId="486F1514" w:rsidR="008917EF" w:rsidRDefault="008917EF" w:rsidP="009139A0">
      <w:pPr>
        <w:spacing w:line="36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lastRenderedPageBreak/>
        <w:t>Выводы</w:t>
      </w:r>
    </w:p>
    <w:p w14:paraId="7B78BBF0" w14:textId="14194E9F" w:rsidR="004B6636" w:rsidRDefault="008917EF" w:rsidP="004B6636">
      <w:pPr>
        <w:pStyle w:val="a9"/>
        <w:numPr>
          <w:ilvl w:val="0"/>
          <w:numId w:val="4"/>
        </w:numPr>
        <w:rPr>
          <w:rFonts w:cs="Times New Roman"/>
          <w:noProof/>
          <w:sz w:val="28"/>
          <w:szCs w:val="28"/>
        </w:rPr>
      </w:pPr>
      <w:r>
        <w:rPr>
          <w:rFonts w:cs="Times New Roman"/>
          <w:noProof/>
          <w:sz w:val="28"/>
          <w:szCs w:val="28"/>
        </w:rPr>
        <w:t>Семейная форма медуллярной карциномы как правило характеризуется мультифокальным ростом</w:t>
      </w:r>
      <w:r w:rsidR="004B6636">
        <w:rPr>
          <w:rFonts w:cs="Times New Roman"/>
          <w:noProof/>
          <w:sz w:val="28"/>
          <w:szCs w:val="28"/>
        </w:rPr>
        <w:t xml:space="preserve"> (</w:t>
      </w:r>
      <w:r w:rsidR="007D3FC6">
        <w:rPr>
          <w:rFonts w:cs="Times New Roman"/>
          <w:noProof/>
          <w:sz w:val="28"/>
          <w:szCs w:val="28"/>
        </w:rPr>
        <w:t>83,3</w:t>
      </w:r>
      <w:r w:rsidR="004B6636">
        <w:rPr>
          <w:rFonts w:cs="Times New Roman"/>
          <w:noProof/>
          <w:sz w:val="28"/>
          <w:szCs w:val="28"/>
        </w:rPr>
        <w:t>%</w:t>
      </w:r>
      <w:r w:rsidR="007D3FC6">
        <w:rPr>
          <w:rFonts w:cs="Times New Roman"/>
          <w:noProof/>
          <w:sz w:val="28"/>
          <w:szCs w:val="28"/>
        </w:rPr>
        <w:t xml:space="preserve"> </w:t>
      </w:r>
      <w:r w:rsidR="004B6636">
        <w:rPr>
          <w:rFonts w:cs="Times New Roman"/>
          <w:noProof/>
          <w:sz w:val="28"/>
          <w:szCs w:val="28"/>
        </w:rPr>
        <w:t>случаев)</w:t>
      </w:r>
      <w:r>
        <w:rPr>
          <w:rFonts w:cs="Times New Roman"/>
          <w:noProof/>
          <w:sz w:val="28"/>
          <w:szCs w:val="28"/>
        </w:rPr>
        <w:t xml:space="preserve"> и билатеральным</w:t>
      </w:r>
      <w:r w:rsidR="00F43144">
        <w:rPr>
          <w:rFonts w:cs="Times New Roman"/>
          <w:noProof/>
          <w:sz w:val="28"/>
          <w:szCs w:val="28"/>
        </w:rPr>
        <w:t xml:space="preserve"> поражением щитовидной железы</w:t>
      </w:r>
      <w:r w:rsidR="007D3FC6">
        <w:rPr>
          <w:rFonts w:cs="Times New Roman"/>
          <w:noProof/>
          <w:sz w:val="28"/>
          <w:szCs w:val="28"/>
        </w:rPr>
        <w:t xml:space="preserve"> (69% случаев)</w:t>
      </w:r>
      <w:r w:rsidR="00F43144">
        <w:rPr>
          <w:rFonts w:cs="Times New Roman"/>
          <w:noProof/>
          <w:sz w:val="28"/>
          <w:szCs w:val="28"/>
        </w:rPr>
        <w:t>, в то время как для спорадической формы характерна односторонняя локализация патологического процесса</w:t>
      </w:r>
      <w:r w:rsidR="007D3FC6">
        <w:rPr>
          <w:rFonts w:cs="Times New Roman"/>
          <w:noProof/>
          <w:sz w:val="28"/>
          <w:szCs w:val="28"/>
        </w:rPr>
        <w:t>, и только в 4,7% случаев отмечалась двусторонняя локализация опухоли</w:t>
      </w:r>
      <w:r w:rsidR="00F43144">
        <w:rPr>
          <w:rFonts w:cs="Times New Roman"/>
          <w:noProof/>
          <w:sz w:val="28"/>
          <w:szCs w:val="28"/>
        </w:rPr>
        <w:t>. УЗИ диагностика позволяет предсказать семейную форму заболевания с точностью до 90%</w:t>
      </w:r>
      <w:r w:rsidR="004B6636">
        <w:rPr>
          <w:rFonts w:cs="Times New Roman"/>
          <w:noProof/>
          <w:sz w:val="28"/>
          <w:szCs w:val="28"/>
        </w:rPr>
        <w:t xml:space="preserve"> и специфичностью 93%, чувствительность метода составлет 69%</w:t>
      </w:r>
    </w:p>
    <w:p w14:paraId="306093EF" w14:textId="2A480161" w:rsidR="004B6636" w:rsidRDefault="007D3FC6" w:rsidP="004B6636">
      <w:pPr>
        <w:pStyle w:val="a9"/>
        <w:numPr>
          <w:ilvl w:val="0"/>
          <w:numId w:val="4"/>
        </w:numPr>
        <w:rPr>
          <w:rFonts w:cs="Times New Roman"/>
          <w:noProof/>
          <w:sz w:val="28"/>
          <w:szCs w:val="28"/>
        </w:rPr>
      </w:pPr>
      <w:r>
        <w:rPr>
          <w:rFonts w:cs="Times New Roman"/>
          <w:noProof/>
          <w:sz w:val="28"/>
          <w:szCs w:val="28"/>
        </w:rPr>
        <w:t xml:space="preserve">Выполнение гемитиреоидэктомии не снижало шансы пациента на выздоровление (биохимическую ремиссию), однако в отличии от тиреоидэктомии не </w:t>
      </w:r>
      <w:r w:rsidR="00F75F84">
        <w:rPr>
          <w:rFonts w:cs="Times New Roman"/>
          <w:noProof/>
          <w:sz w:val="28"/>
          <w:szCs w:val="28"/>
        </w:rPr>
        <w:t>ни в одном из случаев не наблюдался гипопаратиреоз и двусторонний парез гортани.</w:t>
      </w:r>
    </w:p>
    <w:p w14:paraId="2769A7A7" w14:textId="5AA52552" w:rsidR="00F75F84" w:rsidRPr="004B6636" w:rsidRDefault="00F75F84" w:rsidP="004B6636">
      <w:pPr>
        <w:pStyle w:val="a9"/>
        <w:numPr>
          <w:ilvl w:val="0"/>
          <w:numId w:val="4"/>
        </w:numPr>
        <w:rPr>
          <w:rFonts w:cs="Times New Roman"/>
          <w:noProof/>
          <w:sz w:val="28"/>
          <w:szCs w:val="28"/>
        </w:rPr>
      </w:pPr>
      <w:r>
        <w:rPr>
          <w:rFonts w:cs="Times New Roman"/>
          <w:noProof/>
          <w:sz w:val="28"/>
          <w:szCs w:val="28"/>
        </w:rPr>
        <w:t>Выполнение гемитиреоидэктомии пациентам высокого уровня риска (наличие отдалённых метастазов и\или метастазов в БЛУ шеи) не влияло на вероятность наступления неблагоприятного исхода болезни (быстрый рост кальцитонина или смерть от основного заболевания</w:t>
      </w:r>
      <w:r w:rsidR="00B008A9">
        <w:rPr>
          <w:rFonts w:cs="Times New Roman"/>
          <w:noProof/>
          <w:sz w:val="28"/>
          <w:szCs w:val="28"/>
        </w:rPr>
        <w:t>)</w:t>
      </w:r>
      <w:r>
        <w:rPr>
          <w:rFonts w:cs="Times New Roman"/>
          <w:noProof/>
          <w:sz w:val="28"/>
          <w:szCs w:val="28"/>
        </w:rPr>
        <w:t>.</w:t>
      </w:r>
    </w:p>
    <w:p w14:paraId="0E3C72C2" w14:textId="400B2670" w:rsidR="00CE79E3" w:rsidRDefault="00CE79E3" w:rsidP="009139A0">
      <w:pPr>
        <w:spacing w:line="360" w:lineRule="auto"/>
        <w:jc w:val="both"/>
        <w:rPr>
          <w:rFonts w:ascii="Times New Roman" w:hAnsi="Times New Roman" w:cs="Times New Roman"/>
          <w:b/>
          <w:bCs/>
          <w:noProof/>
          <w:sz w:val="28"/>
          <w:szCs w:val="28"/>
        </w:rPr>
      </w:pPr>
    </w:p>
    <w:p w14:paraId="06CE65BE" w14:textId="586BDBC1" w:rsidR="00CE79E3" w:rsidRDefault="00CE79E3" w:rsidP="009139A0">
      <w:pPr>
        <w:spacing w:line="360" w:lineRule="auto"/>
        <w:jc w:val="both"/>
        <w:rPr>
          <w:rFonts w:ascii="Times New Roman" w:hAnsi="Times New Roman" w:cs="Times New Roman"/>
          <w:b/>
          <w:bCs/>
          <w:noProof/>
          <w:sz w:val="28"/>
          <w:szCs w:val="28"/>
        </w:rPr>
      </w:pPr>
    </w:p>
    <w:p w14:paraId="3CDA6031" w14:textId="20A912EA" w:rsidR="00F75F84" w:rsidRDefault="00F75F84" w:rsidP="009139A0">
      <w:pPr>
        <w:spacing w:line="360" w:lineRule="auto"/>
        <w:jc w:val="both"/>
        <w:rPr>
          <w:rFonts w:ascii="Times New Roman" w:hAnsi="Times New Roman" w:cs="Times New Roman"/>
          <w:b/>
          <w:bCs/>
          <w:noProof/>
          <w:sz w:val="28"/>
          <w:szCs w:val="28"/>
        </w:rPr>
      </w:pPr>
    </w:p>
    <w:p w14:paraId="1147700E" w14:textId="7CA282C7" w:rsidR="00F75F84" w:rsidRDefault="00F75F84" w:rsidP="009139A0">
      <w:pPr>
        <w:spacing w:line="360" w:lineRule="auto"/>
        <w:jc w:val="both"/>
        <w:rPr>
          <w:rFonts w:ascii="Times New Roman" w:hAnsi="Times New Roman" w:cs="Times New Roman"/>
          <w:b/>
          <w:bCs/>
          <w:noProof/>
          <w:sz w:val="28"/>
          <w:szCs w:val="28"/>
        </w:rPr>
      </w:pPr>
    </w:p>
    <w:p w14:paraId="01800741" w14:textId="27A2FEF0" w:rsidR="00F75F84" w:rsidRDefault="00F75F84" w:rsidP="009139A0">
      <w:pPr>
        <w:spacing w:line="360" w:lineRule="auto"/>
        <w:jc w:val="both"/>
        <w:rPr>
          <w:rFonts w:ascii="Times New Roman" w:hAnsi="Times New Roman" w:cs="Times New Roman"/>
          <w:b/>
          <w:bCs/>
          <w:noProof/>
          <w:sz w:val="28"/>
          <w:szCs w:val="28"/>
        </w:rPr>
      </w:pPr>
    </w:p>
    <w:p w14:paraId="331B0B1D" w14:textId="2F863948" w:rsidR="00F75F84" w:rsidRDefault="00F75F84" w:rsidP="009139A0">
      <w:pPr>
        <w:spacing w:line="360" w:lineRule="auto"/>
        <w:jc w:val="both"/>
        <w:rPr>
          <w:rFonts w:ascii="Times New Roman" w:hAnsi="Times New Roman" w:cs="Times New Roman"/>
          <w:b/>
          <w:bCs/>
          <w:noProof/>
          <w:sz w:val="28"/>
          <w:szCs w:val="28"/>
        </w:rPr>
      </w:pPr>
    </w:p>
    <w:p w14:paraId="4B5043E7" w14:textId="6149D4B6" w:rsidR="00F75F84" w:rsidRDefault="00F75F84" w:rsidP="009139A0">
      <w:pPr>
        <w:spacing w:line="360" w:lineRule="auto"/>
        <w:jc w:val="both"/>
        <w:rPr>
          <w:rFonts w:ascii="Times New Roman" w:hAnsi="Times New Roman" w:cs="Times New Roman"/>
          <w:b/>
          <w:bCs/>
          <w:noProof/>
          <w:sz w:val="28"/>
          <w:szCs w:val="28"/>
        </w:rPr>
      </w:pPr>
    </w:p>
    <w:p w14:paraId="68723FE7" w14:textId="77777777" w:rsidR="00F75F84" w:rsidRDefault="00F75F84" w:rsidP="009139A0">
      <w:pPr>
        <w:spacing w:line="360" w:lineRule="auto"/>
        <w:jc w:val="both"/>
        <w:rPr>
          <w:rFonts w:ascii="Times New Roman" w:hAnsi="Times New Roman" w:cs="Times New Roman"/>
          <w:b/>
          <w:bCs/>
          <w:noProof/>
          <w:sz w:val="28"/>
          <w:szCs w:val="28"/>
        </w:rPr>
      </w:pPr>
    </w:p>
    <w:p w14:paraId="488B49AA" w14:textId="77777777" w:rsidR="002A77B7" w:rsidRDefault="002A77B7" w:rsidP="009139A0">
      <w:pPr>
        <w:spacing w:line="360" w:lineRule="auto"/>
        <w:jc w:val="both"/>
        <w:rPr>
          <w:rFonts w:ascii="Times New Roman" w:hAnsi="Times New Roman" w:cs="Times New Roman"/>
          <w:b/>
          <w:bCs/>
          <w:noProof/>
          <w:sz w:val="28"/>
          <w:szCs w:val="28"/>
        </w:rPr>
      </w:pPr>
    </w:p>
    <w:p w14:paraId="6D3229B7" w14:textId="6FE89439" w:rsidR="001D189C" w:rsidRPr="001D189C" w:rsidRDefault="001D189C" w:rsidP="009139A0">
      <w:pPr>
        <w:spacing w:line="360" w:lineRule="auto"/>
        <w:jc w:val="both"/>
        <w:rPr>
          <w:rFonts w:ascii="Times New Roman" w:hAnsi="Times New Roman" w:cs="Times New Roman"/>
          <w:b/>
          <w:bCs/>
          <w:noProof/>
          <w:sz w:val="28"/>
          <w:szCs w:val="28"/>
        </w:rPr>
      </w:pPr>
      <w:r w:rsidRPr="001D189C">
        <w:rPr>
          <w:rFonts w:ascii="Times New Roman" w:hAnsi="Times New Roman" w:cs="Times New Roman"/>
          <w:b/>
          <w:bCs/>
          <w:noProof/>
          <w:sz w:val="28"/>
          <w:szCs w:val="28"/>
        </w:rPr>
        <w:lastRenderedPageBreak/>
        <w:t>Список литературы</w:t>
      </w:r>
    </w:p>
    <w:p w14:paraId="1AE6A50E"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4D5A4E">
        <w:rPr>
          <w:rFonts w:ascii="Times New Roman" w:hAnsi="Times New Roman" w:cs="Times New Roman"/>
          <w:noProof/>
          <w:sz w:val="28"/>
          <w:szCs w:val="24"/>
        </w:rPr>
        <w:t xml:space="preserve">1. Abraham D. T. [и др.]. </w:t>
      </w:r>
      <w:r w:rsidRPr="007B497D">
        <w:rPr>
          <w:rFonts w:ascii="Times New Roman" w:hAnsi="Times New Roman" w:cs="Times New Roman"/>
          <w:noProof/>
          <w:sz w:val="28"/>
          <w:szCs w:val="24"/>
          <w:lang w:val="en-US"/>
        </w:rPr>
        <w:t>Medullary thyroid carcinoma: Long-term outcomes of surgical treatment // Annals of Surgical Oncology. 2011. № 1 (18). C. 219–225.</w:t>
      </w:r>
    </w:p>
    <w:p w14:paraId="1D56D22B" w14:textId="77777777" w:rsidR="001D189C"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7B497D">
        <w:rPr>
          <w:rFonts w:ascii="Times New Roman" w:hAnsi="Times New Roman" w:cs="Times New Roman"/>
          <w:noProof/>
          <w:sz w:val="28"/>
          <w:szCs w:val="24"/>
          <w:lang w:val="en-US"/>
        </w:rPr>
        <w:t xml:space="preserve">2. Cibas E. S., Ali S. Z. The Bethesda system for reporting thyroid cytopathology // American Journal of Clinical Pathology. 2009. </w:t>
      </w:r>
      <w:r w:rsidRPr="004D5A4E">
        <w:rPr>
          <w:rFonts w:ascii="Times New Roman" w:hAnsi="Times New Roman" w:cs="Times New Roman"/>
          <w:noProof/>
          <w:sz w:val="28"/>
          <w:szCs w:val="24"/>
        </w:rPr>
        <w:t>Т</w:t>
      </w:r>
      <w:r w:rsidRPr="007B497D">
        <w:rPr>
          <w:rFonts w:ascii="Times New Roman" w:hAnsi="Times New Roman" w:cs="Times New Roman"/>
          <w:noProof/>
          <w:sz w:val="28"/>
          <w:szCs w:val="24"/>
          <w:lang w:val="en-US"/>
        </w:rPr>
        <w:t>. 132. № 5. C. 658–665.</w:t>
      </w:r>
    </w:p>
    <w:p w14:paraId="26C98B6C" w14:textId="77777777" w:rsidR="001D189C" w:rsidRPr="00897DCB" w:rsidRDefault="001D189C" w:rsidP="001D189C">
      <w:pPr>
        <w:widowControl w:val="0"/>
        <w:autoSpaceDE w:val="0"/>
        <w:autoSpaceDN w:val="0"/>
        <w:adjustRightInd w:val="0"/>
        <w:spacing w:line="360" w:lineRule="auto"/>
        <w:jc w:val="both"/>
        <w:rPr>
          <w:rFonts w:ascii="Times New Roman" w:hAnsi="Times New Roman" w:cs="Times New Roman"/>
          <w:noProof/>
          <w:sz w:val="28"/>
          <w:szCs w:val="28"/>
          <w:lang w:val="en-US"/>
        </w:rPr>
      </w:pPr>
      <w:r w:rsidRPr="00A11213">
        <w:rPr>
          <w:rFonts w:ascii="Times New Roman" w:eastAsia="Times New Roman" w:hAnsi="Times New Roman" w:cs="Times New Roman"/>
          <w:color w:val="000000"/>
          <w:sz w:val="28"/>
          <w:szCs w:val="28"/>
          <w:lang w:val="en-US" w:eastAsia="ru-RU"/>
        </w:rPr>
        <w:t>3</w:t>
      </w:r>
      <w:r w:rsidRPr="004033F5">
        <w:rPr>
          <w:rFonts w:ascii="Times New Roman" w:eastAsia="Times New Roman" w:hAnsi="Times New Roman" w:cs="Times New Roman"/>
          <w:color w:val="000000"/>
          <w:sz w:val="28"/>
          <w:szCs w:val="28"/>
          <w:lang w:val="en-US" w:eastAsia="ru-RU"/>
        </w:rPr>
        <w:t xml:space="preserve">. </w:t>
      </w:r>
      <w:r w:rsidRPr="00897DCB">
        <w:rPr>
          <w:rFonts w:ascii="Times New Roman" w:hAnsi="Times New Roman" w:cs="Times New Roman"/>
          <w:noProof/>
          <w:sz w:val="28"/>
          <w:szCs w:val="32"/>
          <w:lang w:val="en-US"/>
        </w:rPr>
        <w:t>Giovanella L. EANM practice guideline for PET / CT imaging in medullary thyroid carcinoma 2019.</w:t>
      </w:r>
    </w:p>
    <w:p w14:paraId="1CF672DF" w14:textId="77777777" w:rsidR="001D189C" w:rsidRPr="004033F5"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A11213">
        <w:rPr>
          <w:rFonts w:ascii="Times New Roman" w:hAnsi="Times New Roman" w:cs="Times New Roman"/>
          <w:noProof/>
          <w:sz w:val="28"/>
          <w:szCs w:val="24"/>
          <w:lang w:val="en-US"/>
        </w:rPr>
        <w:t>4</w:t>
      </w:r>
      <w:r w:rsidRPr="007B497D">
        <w:rPr>
          <w:rFonts w:ascii="Times New Roman" w:hAnsi="Times New Roman" w:cs="Times New Roman"/>
          <w:noProof/>
          <w:sz w:val="28"/>
          <w:szCs w:val="24"/>
          <w:lang w:val="en-US"/>
        </w:rPr>
        <w:t>. Horvath E. [</w:t>
      </w:r>
      <w:r w:rsidRPr="004D5A4E">
        <w:rPr>
          <w:rFonts w:ascii="Times New Roman" w:hAnsi="Times New Roman" w:cs="Times New Roman"/>
          <w:noProof/>
          <w:sz w:val="28"/>
          <w:szCs w:val="24"/>
        </w:rPr>
        <w:t>и</w:t>
      </w:r>
      <w:r w:rsidRPr="007B497D">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7B497D">
        <w:rPr>
          <w:rFonts w:ascii="Times New Roman" w:hAnsi="Times New Roman" w:cs="Times New Roman"/>
          <w:noProof/>
          <w:sz w:val="28"/>
          <w:szCs w:val="24"/>
          <w:lang w:val="en-US"/>
        </w:rPr>
        <w:t>.]. An ultrasonogram reporting system for thyroid nodules stratifying cancer risk for clinical management // Journal of Clinical Endocrinology and Metabolism. 2009. № 5 (94). C. 1748–1751.</w:t>
      </w:r>
    </w:p>
    <w:p w14:paraId="35A1972D"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A11213">
        <w:rPr>
          <w:rFonts w:ascii="Times New Roman" w:hAnsi="Times New Roman" w:cs="Times New Roman"/>
          <w:noProof/>
          <w:sz w:val="28"/>
          <w:szCs w:val="24"/>
          <w:lang w:val="en-US"/>
        </w:rPr>
        <w:t>5</w:t>
      </w:r>
      <w:r w:rsidRPr="007B497D">
        <w:rPr>
          <w:rFonts w:ascii="Times New Roman" w:hAnsi="Times New Roman" w:cs="Times New Roman"/>
          <w:noProof/>
          <w:sz w:val="28"/>
          <w:szCs w:val="24"/>
          <w:lang w:val="en-US"/>
        </w:rPr>
        <w:t>. Ito Y. [</w:t>
      </w:r>
      <w:r w:rsidRPr="004D5A4E">
        <w:rPr>
          <w:rFonts w:ascii="Times New Roman" w:hAnsi="Times New Roman" w:cs="Times New Roman"/>
          <w:noProof/>
          <w:sz w:val="28"/>
          <w:szCs w:val="24"/>
        </w:rPr>
        <w:t>и</w:t>
      </w:r>
      <w:r w:rsidRPr="007B497D">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7B497D">
        <w:rPr>
          <w:rFonts w:ascii="Times New Roman" w:hAnsi="Times New Roman" w:cs="Times New Roman"/>
          <w:noProof/>
          <w:sz w:val="28"/>
          <w:szCs w:val="24"/>
          <w:lang w:val="en-US"/>
        </w:rPr>
        <w:t>.]. Static Prognostic Factors and Appropriate Surgical Designs for Patients with Medullary Thyroid Carcinoma: The Second Report from a Single-Institution Study in Japan // World Journal of Surgery. 2018. № 12 (42). C. 3954–3966.</w:t>
      </w:r>
    </w:p>
    <w:p w14:paraId="13315BBD"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9559DB">
        <w:rPr>
          <w:rFonts w:ascii="Times New Roman" w:hAnsi="Times New Roman" w:cs="Times New Roman"/>
          <w:noProof/>
          <w:sz w:val="28"/>
          <w:szCs w:val="24"/>
          <w:lang w:val="en-US"/>
        </w:rPr>
        <w:t>6</w:t>
      </w:r>
      <w:r w:rsidRPr="007B497D">
        <w:rPr>
          <w:rFonts w:ascii="Times New Roman" w:hAnsi="Times New Roman" w:cs="Times New Roman"/>
          <w:noProof/>
          <w:sz w:val="28"/>
          <w:szCs w:val="24"/>
          <w:lang w:val="en-US"/>
        </w:rPr>
        <w:t>. Matias-Guiu X., Lellis R. De Medullary thyroid carcinoma: A 25-year perspective // Endocrine Pathology. 2014. № 1 (25). C. 21–29.</w:t>
      </w:r>
    </w:p>
    <w:p w14:paraId="67991296"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A11213">
        <w:rPr>
          <w:rFonts w:ascii="Times New Roman" w:hAnsi="Times New Roman" w:cs="Times New Roman"/>
          <w:noProof/>
          <w:sz w:val="28"/>
          <w:szCs w:val="24"/>
          <w:lang w:val="en-US"/>
        </w:rPr>
        <w:t>7</w:t>
      </w:r>
      <w:r w:rsidRPr="007B497D">
        <w:rPr>
          <w:rFonts w:ascii="Times New Roman" w:hAnsi="Times New Roman" w:cs="Times New Roman"/>
          <w:noProof/>
          <w:sz w:val="28"/>
          <w:szCs w:val="24"/>
          <w:lang w:val="en-US"/>
        </w:rPr>
        <w:t>. Miyauchi A. [</w:t>
      </w:r>
      <w:r w:rsidRPr="004D5A4E">
        <w:rPr>
          <w:rFonts w:ascii="Times New Roman" w:hAnsi="Times New Roman" w:cs="Times New Roman"/>
          <w:noProof/>
          <w:sz w:val="28"/>
          <w:szCs w:val="24"/>
        </w:rPr>
        <w:t>и</w:t>
      </w:r>
      <w:r w:rsidRPr="007B497D">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7B497D">
        <w:rPr>
          <w:rFonts w:ascii="Times New Roman" w:hAnsi="Times New Roman" w:cs="Times New Roman"/>
          <w:noProof/>
          <w:sz w:val="28"/>
          <w:szCs w:val="24"/>
          <w:lang w:val="en-US"/>
        </w:rPr>
        <w:t>.]. Relation of Doubling Time of Plasma Calcitonin Levels to Prognosis and Recurrence of Medullary Thyroid Carcinoma.</w:t>
      </w:r>
    </w:p>
    <w:p w14:paraId="766AF5C8"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A11213">
        <w:rPr>
          <w:rFonts w:ascii="Times New Roman" w:hAnsi="Times New Roman" w:cs="Times New Roman"/>
          <w:noProof/>
          <w:sz w:val="28"/>
          <w:szCs w:val="24"/>
          <w:lang w:val="en-US"/>
        </w:rPr>
        <w:t>8</w:t>
      </w:r>
      <w:r w:rsidRPr="007B497D">
        <w:rPr>
          <w:rFonts w:ascii="Times New Roman" w:hAnsi="Times New Roman" w:cs="Times New Roman"/>
          <w:noProof/>
          <w:sz w:val="28"/>
          <w:szCs w:val="24"/>
          <w:lang w:val="en-US"/>
        </w:rPr>
        <w:t>. Miyauchi A. [</w:t>
      </w:r>
      <w:r w:rsidRPr="004D5A4E">
        <w:rPr>
          <w:rFonts w:ascii="Times New Roman" w:hAnsi="Times New Roman" w:cs="Times New Roman"/>
          <w:noProof/>
          <w:sz w:val="28"/>
          <w:szCs w:val="24"/>
        </w:rPr>
        <w:t>и</w:t>
      </w:r>
      <w:r w:rsidRPr="007B497D">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7B497D">
        <w:rPr>
          <w:rFonts w:ascii="Times New Roman" w:hAnsi="Times New Roman" w:cs="Times New Roman"/>
          <w:noProof/>
          <w:sz w:val="28"/>
          <w:szCs w:val="24"/>
          <w:lang w:val="en-US"/>
        </w:rPr>
        <w:t>.]. Unilateral surgery supported by germline RET oncogene mutation analysis in patients with sporadic medullary thyroid carcinoma 2000.C. 1367–1372.</w:t>
      </w:r>
    </w:p>
    <w:p w14:paraId="0063EC13"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A11213">
        <w:rPr>
          <w:rFonts w:ascii="Times New Roman" w:hAnsi="Times New Roman" w:cs="Times New Roman"/>
          <w:noProof/>
          <w:sz w:val="28"/>
          <w:szCs w:val="24"/>
          <w:lang w:val="en-US"/>
        </w:rPr>
        <w:t>9</w:t>
      </w:r>
      <w:r w:rsidRPr="007B497D">
        <w:rPr>
          <w:rFonts w:ascii="Times New Roman" w:hAnsi="Times New Roman" w:cs="Times New Roman"/>
          <w:noProof/>
          <w:sz w:val="28"/>
          <w:szCs w:val="24"/>
          <w:lang w:val="en-US"/>
        </w:rPr>
        <w:t>. Miyauchi A. [</w:t>
      </w:r>
      <w:r w:rsidRPr="004D5A4E">
        <w:rPr>
          <w:rFonts w:ascii="Times New Roman" w:hAnsi="Times New Roman" w:cs="Times New Roman"/>
          <w:noProof/>
          <w:sz w:val="28"/>
          <w:szCs w:val="24"/>
        </w:rPr>
        <w:t>и</w:t>
      </w:r>
      <w:r w:rsidRPr="007B497D">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7B497D">
        <w:rPr>
          <w:rFonts w:ascii="Times New Roman" w:hAnsi="Times New Roman" w:cs="Times New Roman"/>
          <w:noProof/>
          <w:sz w:val="28"/>
          <w:szCs w:val="24"/>
          <w:lang w:val="en-US"/>
        </w:rPr>
        <w:t>.]. Prospective trial of unilateral surgery for nonhereditary medullary thyroid carcinoma in patients without germline RET mutations 2002.C. 1023–1028.</w:t>
      </w:r>
    </w:p>
    <w:p w14:paraId="14645678" w14:textId="77777777" w:rsidR="001D189C" w:rsidRPr="007B497D"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A11213">
        <w:rPr>
          <w:rFonts w:ascii="Times New Roman" w:hAnsi="Times New Roman" w:cs="Times New Roman"/>
          <w:noProof/>
          <w:sz w:val="28"/>
          <w:szCs w:val="24"/>
          <w:lang w:val="en-US"/>
        </w:rPr>
        <w:t>10</w:t>
      </w:r>
      <w:r w:rsidRPr="007B497D">
        <w:rPr>
          <w:rFonts w:ascii="Times New Roman" w:hAnsi="Times New Roman" w:cs="Times New Roman"/>
          <w:noProof/>
          <w:sz w:val="28"/>
          <w:szCs w:val="24"/>
          <w:lang w:val="en-US"/>
        </w:rPr>
        <w:t>. Park H. [</w:t>
      </w:r>
      <w:r w:rsidRPr="004D5A4E">
        <w:rPr>
          <w:rFonts w:ascii="Times New Roman" w:hAnsi="Times New Roman" w:cs="Times New Roman"/>
          <w:noProof/>
          <w:sz w:val="28"/>
          <w:szCs w:val="24"/>
        </w:rPr>
        <w:t>и</w:t>
      </w:r>
      <w:r w:rsidRPr="007B497D">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7B497D">
        <w:rPr>
          <w:rFonts w:ascii="Times New Roman" w:hAnsi="Times New Roman" w:cs="Times New Roman"/>
          <w:noProof/>
          <w:sz w:val="28"/>
          <w:szCs w:val="24"/>
          <w:lang w:val="en-US"/>
        </w:rPr>
        <w:t xml:space="preserve">.]. Preoperative Serum Calcitonin and Its Correlation with Extent of Lymph Node Metastasis in Medullary Thyroid Carcinoma // Cancers. 2020. (12). </w:t>
      </w:r>
      <w:r w:rsidRPr="007B497D">
        <w:rPr>
          <w:rFonts w:ascii="Times New Roman" w:hAnsi="Times New Roman" w:cs="Times New Roman"/>
          <w:noProof/>
          <w:sz w:val="28"/>
          <w:szCs w:val="24"/>
          <w:lang w:val="en-US"/>
        </w:rPr>
        <w:lastRenderedPageBreak/>
        <w:t>C. 2894.</w:t>
      </w:r>
    </w:p>
    <w:p w14:paraId="6855EA99" w14:textId="77777777" w:rsidR="001D189C" w:rsidRPr="004D5A4E" w:rsidRDefault="001D189C" w:rsidP="001D189C">
      <w:pPr>
        <w:widowControl w:val="0"/>
        <w:autoSpaceDE w:val="0"/>
        <w:autoSpaceDN w:val="0"/>
        <w:adjustRightInd w:val="0"/>
        <w:spacing w:line="360" w:lineRule="auto"/>
        <w:jc w:val="both"/>
        <w:rPr>
          <w:rFonts w:ascii="Times New Roman" w:hAnsi="Times New Roman" w:cs="Times New Roman"/>
          <w:noProof/>
          <w:sz w:val="28"/>
          <w:szCs w:val="24"/>
        </w:rPr>
      </w:pPr>
      <w:r w:rsidRPr="00A11213">
        <w:rPr>
          <w:rFonts w:ascii="Times New Roman" w:hAnsi="Times New Roman" w:cs="Times New Roman"/>
          <w:noProof/>
          <w:sz w:val="28"/>
          <w:szCs w:val="24"/>
          <w:lang w:val="en-US"/>
        </w:rPr>
        <w:t xml:space="preserve">11. </w:t>
      </w:r>
      <w:r w:rsidRPr="007B497D">
        <w:rPr>
          <w:rFonts w:ascii="Times New Roman" w:hAnsi="Times New Roman" w:cs="Times New Roman"/>
          <w:noProof/>
          <w:sz w:val="28"/>
          <w:szCs w:val="24"/>
          <w:lang w:val="en-US"/>
        </w:rPr>
        <w:t>Wells</w:t>
      </w:r>
      <w:r w:rsidRPr="00A11213">
        <w:rPr>
          <w:rFonts w:ascii="Times New Roman" w:hAnsi="Times New Roman" w:cs="Times New Roman"/>
          <w:noProof/>
          <w:sz w:val="28"/>
          <w:szCs w:val="24"/>
          <w:lang w:val="en-US"/>
        </w:rPr>
        <w:t xml:space="preserve"> </w:t>
      </w:r>
      <w:r w:rsidRPr="007B497D">
        <w:rPr>
          <w:rFonts w:ascii="Times New Roman" w:hAnsi="Times New Roman" w:cs="Times New Roman"/>
          <w:noProof/>
          <w:sz w:val="28"/>
          <w:szCs w:val="24"/>
          <w:lang w:val="en-US"/>
        </w:rPr>
        <w:t>S</w:t>
      </w:r>
      <w:r w:rsidRPr="00A11213">
        <w:rPr>
          <w:rFonts w:ascii="Times New Roman" w:hAnsi="Times New Roman" w:cs="Times New Roman"/>
          <w:noProof/>
          <w:sz w:val="28"/>
          <w:szCs w:val="24"/>
          <w:lang w:val="en-US"/>
        </w:rPr>
        <w:t xml:space="preserve">. </w:t>
      </w:r>
      <w:r w:rsidRPr="007B497D">
        <w:rPr>
          <w:rFonts w:ascii="Times New Roman" w:hAnsi="Times New Roman" w:cs="Times New Roman"/>
          <w:noProof/>
          <w:sz w:val="28"/>
          <w:szCs w:val="24"/>
          <w:lang w:val="en-US"/>
        </w:rPr>
        <w:t>A</w:t>
      </w:r>
      <w:r w:rsidRPr="00A11213">
        <w:rPr>
          <w:rFonts w:ascii="Times New Roman" w:hAnsi="Times New Roman" w:cs="Times New Roman"/>
          <w:noProof/>
          <w:sz w:val="28"/>
          <w:szCs w:val="24"/>
          <w:lang w:val="en-US"/>
        </w:rPr>
        <w:t>. [</w:t>
      </w:r>
      <w:r w:rsidRPr="004D5A4E">
        <w:rPr>
          <w:rFonts w:ascii="Times New Roman" w:hAnsi="Times New Roman" w:cs="Times New Roman"/>
          <w:noProof/>
          <w:sz w:val="28"/>
          <w:szCs w:val="24"/>
        </w:rPr>
        <w:t>и</w:t>
      </w:r>
      <w:r w:rsidRPr="00A11213">
        <w:rPr>
          <w:rFonts w:ascii="Times New Roman" w:hAnsi="Times New Roman" w:cs="Times New Roman"/>
          <w:noProof/>
          <w:sz w:val="28"/>
          <w:szCs w:val="24"/>
          <w:lang w:val="en-US"/>
        </w:rPr>
        <w:t xml:space="preserve"> </w:t>
      </w:r>
      <w:r w:rsidRPr="004D5A4E">
        <w:rPr>
          <w:rFonts w:ascii="Times New Roman" w:hAnsi="Times New Roman" w:cs="Times New Roman"/>
          <w:noProof/>
          <w:sz w:val="28"/>
          <w:szCs w:val="24"/>
        </w:rPr>
        <w:t>др</w:t>
      </w:r>
      <w:r w:rsidRPr="00A11213">
        <w:rPr>
          <w:rFonts w:ascii="Times New Roman" w:hAnsi="Times New Roman" w:cs="Times New Roman"/>
          <w:noProof/>
          <w:sz w:val="28"/>
          <w:szCs w:val="24"/>
          <w:lang w:val="en-US"/>
        </w:rPr>
        <w:t xml:space="preserve">.]. </w:t>
      </w:r>
      <w:r w:rsidRPr="007B497D">
        <w:rPr>
          <w:rFonts w:ascii="Times New Roman" w:hAnsi="Times New Roman" w:cs="Times New Roman"/>
          <w:noProof/>
          <w:sz w:val="28"/>
          <w:szCs w:val="24"/>
          <w:lang w:val="en-US"/>
        </w:rPr>
        <w:t xml:space="preserve">Revised American thyroid association guidelines for the management of medullary thyroid carcinoma // Thyroid. </w:t>
      </w:r>
      <w:r w:rsidRPr="004D5A4E">
        <w:rPr>
          <w:rFonts w:ascii="Times New Roman" w:hAnsi="Times New Roman" w:cs="Times New Roman"/>
          <w:noProof/>
          <w:sz w:val="28"/>
          <w:szCs w:val="24"/>
        </w:rPr>
        <w:t>2015. № 6 (25). C. 567–610.</w:t>
      </w:r>
    </w:p>
    <w:p w14:paraId="4315CFD9" w14:textId="77777777" w:rsidR="001D189C" w:rsidRPr="004D5A4E" w:rsidRDefault="001D189C" w:rsidP="001D189C">
      <w:pPr>
        <w:spacing w:line="360" w:lineRule="auto"/>
        <w:jc w:val="both"/>
        <w:rPr>
          <w:rFonts w:ascii="Times New Roman" w:hAnsi="Times New Roman" w:cs="Times New Roman"/>
          <w:sz w:val="28"/>
          <w:szCs w:val="28"/>
        </w:rPr>
      </w:pPr>
      <w:r w:rsidRPr="004D5A4E">
        <w:rPr>
          <w:rFonts w:ascii="Times New Roman" w:hAnsi="Times New Roman"/>
          <w:noProof/>
          <w:sz w:val="28"/>
          <w:szCs w:val="24"/>
        </w:rPr>
        <w:t>1</w:t>
      </w:r>
      <w:r>
        <w:rPr>
          <w:rFonts w:ascii="Times New Roman" w:hAnsi="Times New Roman"/>
          <w:noProof/>
          <w:sz w:val="28"/>
          <w:szCs w:val="24"/>
        </w:rPr>
        <w:t>2</w:t>
      </w:r>
      <w:r w:rsidRPr="004D5A4E">
        <w:rPr>
          <w:rFonts w:ascii="Times New Roman" w:hAnsi="Times New Roman"/>
          <w:noProof/>
          <w:sz w:val="28"/>
          <w:szCs w:val="24"/>
        </w:rPr>
        <w:t xml:space="preserve">. </w:t>
      </w:r>
      <w:r w:rsidRPr="004D5A4E">
        <w:rPr>
          <w:rFonts w:ascii="Times New Roman" w:hAnsi="Times New Roman" w:cs="Times New Roman"/>
          <w:sz w:val="28"/>
          <w:szCs w:val="28"/>
        </w:rPr>
        <w:t>Бельцевич Д. Г., Мудунов А. М., Ванушко В.Э. [и др.]. Медуллярный рак</w:t>
      </w:r>
    </w:p>
    <w:p w14:paraId="36D382D6" w14:textId="77777777" w:rsidR="001D189C" w:rsidRDefault="001D189C" w:rsidP="001D189C">
      <w:pPr>
        <w:spacing w:line="360" w:lineRule="auto"/>
        <w:jc w:val="both"/>
        <w:rPr>
          <w:rFonts w:ascii="Times New Roman" w:hAnsi="Times New Roman" w:cs="Times New Roman"/>
          <w:sz w:val="28"/>
          <w:szCs w:val="28"/>
        </w:rPr>
      </w:pPr>
      <w:r w:rsidRPr="004D5A4E">
        <w:rPr>
          <w:rFonts w:ascii="Times New Roman" w:hAnsi="Times New Roman" w:cs="Times New Roman"/>
          <w:sz w:val="28"/>
          <w:szCs w:val="28"/>
        </w:rPr>
        <w:t>щитовидной железы. Клинические рекомендации 2020</w:t>
      </w:r>
    </w:p>
    <w:p w14:paraId="6B4F1EC3" w14:textId="77777777" w:rsidR="001D189C" w:rsidRPr="00FE2B7A" w:rsidRDefault="001D189C" w:rsidP="001D189C">
      <w:pPr>
        <w:widowControl w:val="0"/>
        <w:autoSpaceDE w:val="0"/>
        <w:autoSpaceDN w:val="0"/>
        <w:adjustRightInd w:val="0"/>
        <w:spacing w:line="360" w:lineRule="auto"/>
        <w:jc w:val="both"/>
        <w:rPr>
          <w:rFonts w:ascii="Times New Roman" w:hAnsi="Times New Roman" w:cs="Times New Roman"/>
          <w:noProof/>
          <w:sz w:val="28"/>
          <w:szCs w:val="28"/>
          <w:lang w:val="en-US"/>
        </w:rPr>
      </w:pPr>
      <w:r w:rsidRPr="001D189C">
        <w:rPr>
          <w:rFonts w:ascii="Times New Roman" w:hAnsi="Times New Roman" w:cs="Times New Roman"/>
          <w:sz w:val="28"/>
          <w:szCs w:val="28"/>
          <w:lang w:val="en-US"/>
        </w:rPr>
        <w:t>13.</w:t>
      </w:r>
      <w:r>
        <w:fldChar w:fldCharType="begin" w:fldLock="1"/>
      </w:r>
      <w:r w:rsidRPr="001D189C">
        <w:rPr>
          <w:lang w:val="en-US"/>
        </w:rPr>
        <w:instrText xml:space="preserve">ADDIN Mendeley Bibliography CSL_BIBLIOGRAPHY </w:instrText>
      </w:r>
      <w:r>
        <w:fldChar w:fldCharType="separate"/>
      </w:r>
      <w:r w:rsidRPr="001D189C">
        <w:rPr>
          <w:rFonts w:ascii="Calibri" w:hAnsi="Calibri" w:cs="Calibri"/>
          <w:noProof/>
          <w:szCs w:val="24"/>
          <w:lang w:val="en-US"/>
        </w:rPr>
        <w:t xml:space="preserve"> </w:t>
      </w:r>
      <w:r w:rsidRPr="001D189C">
        <w:rPr>
          <w:rFonts w:ascii="Times New Roman" w:hAnsi="Times New Roman" w:cs="Times New Roman"/>
          <w:noProof/>
          <w:sz w:val="28"/>
          <w:szCs w:val="32"/>
          <w:lang w:val="en-US"/>
        </w:rPr>
        <w:t>Leboulleux S. [</w:t>
      </w:r>
      <w:r w:rsidRPr="008F5474">
        <w:rPr>
          <w:rFonts w:ascii="Times New Roman" w:hAnsi="Times New Roman" w:cs="Times New Roman"/>
          <w:noProof/>
          <w:sz w:val="28"/>
          <w:szCs w:val="32"/>
        </w:rPr>
        <w:t>и</w:t>
      </w:r>
      <w:r w:rsidRPr="001D189C">
        <w:rPr>
          <w:rFonts w:ascii="Times New Roman" w:hAnsi="Times New Roman" w:cs="Times New Roman"/>
          <w:noProof/>
          <w:sz w:val="28"/>
          <w:szCs w:val="32"/>
          <w:lang w:val="en-US"/>
        </w:rPr>
        <w:t xml:space="preserve"> </w:t>
      </w:r>
      <w:r w:rsidRPr="008F5474">
        <w:rPr>
          <w:rFonts w:ascii="Times New Roman" w:hAnsi="Times New Roman" w:cs="Times New Roman"/>
          <w:noProof/>
          <w:sz w:val="28"/>
          <w:szCs w:val="32"/>
        </w:rPr>
        <w:t>др</w:t>
      </w:r>
      <w:r w:rsidRPr="001D189C">
        <w:rPr>
          <w:rFonts w:ascii="Times New Roman" w:hAnsi="Times New Roman" w:cs="Times New Roman"/>
          <w:noProof/>
          <w:sz w:val="28"/>
          <w:szCs w:val="32"/>
          <w:lang w:val="en-US"/>
        </w:rPr>
        <w:t xml:space="preserve">.]. Medullary thyroid carcinoma // Clinical Endocrinology. </w:t>
      </w:r>
      <w:r w:rsidRPr="00FE2B7A">
        <w:rPr>
          <w:rFonts w:ascii="Times New Roman" w:hAnsi="Times New Roman" w:cs="Times New Roman"/>
          <w:noProof/>
          <w:sz w:val="28"/>
          <w:szCs w:val="32"/>
          <w:lang w:val="en-US"/>
        </w:rPr>
        <w:t>2004. № 3 (61). C. 299–310.</w:t>
      </w:r>
    </w:p>
    <w:p w14:paraId="555C0292" w14:textId="77777777" w:rsidR="001D189C" w:rsidRPr="001D189C" w:rsidRDefault="001D189C" w:rsidP="001D189C">
      <w:pPr>
        <w:widowControl w:val="0"/>
        <w:autoSpaceDE w:val="0"/>
        <w:autoSpaceDN w:val="0"/>
        <w:adjustRightInd w:val="0"/>
        <w:spacing w:line="360" w:lineRule="auto"/>
        <w:jc w:val="both"/>
        <w:rPr>
          <w:rFonts w:ascii="Times New Roman" w:hAnsi="Times New Roman" w:cs="Times New Roman"/>
          <w:noProof/>
          <w:sz w:val="28"/>
          <w:lang w:val="en-US"/>
        </w:rPr>
      </w:pPr>
      <w:r>
        <w:fldChar w:fldCharType="end"/>
      </w:r>
      <w:r w:rsidRPr="00FE2B7A">
        <w:rPr>
          <w:rFonts w:ascii="Times New Roman" w:hAnsi="Times New Roman" w:cs="Times New Roman"/>
          <w:sz w:val="28"/>
          <w:szCs w:val="28"/>
          <w:lang w:val="en-US"/>
        </w:rPr>
        <w:t xml:space="preserve">14. </w:t>
      </w:r>
      <w:r>
        <w:rPr>
          <w:rFonts w:ascii="Times New Roman" w:hAnsi="Times New Roman" w:cs="Times New Roman"/>
          <w:sz w:val="28"/>
          <w:szCs w:val="28"/>
          <w:lang w:val="en-US"/>
        </w:rPr>
        <w:fldChar w:fldCharType="begin" w:fldLock="1"/>
      </w:r>
      <w:r>
        <w:rPr>
          <w:rFonts w:ascii="Times New Roman" w:hAnsi="Times New Roman" w:cs="Times New Roman"/>
          <w:sz w:val="28"/>
          <w:szCs w:val="28"/>
          <w:lang w:val="en-US"/>
        </w:rPr>
        <w:instrText>ADDIN</w:instrText>
      </w:r>
      <w:r w:rsidRPr="00FE2B7A">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Mendeley</w:instrText>
      </w:r>
      <w:r w:rsidRPr="00FE2B7A">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Bibliography</w:instrText>
      </w:r>
      <w:r w:rsidRPr="00FE2B7A">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CSL</w:instrText>
      </w:r>
      <w:r w:rsidRPr="00FE2B7A">
        <w:rPr>
          <w:rFonts w:ascii="Times New Roman" w:hAnsi="Times New Roman" w:cs="Times New Roman"/>
          <w:sz w:val="28"/>
          <w:szCs w:val="28"/>
          <w:lang w:val="en-US"/>
        </w:rPr>
        <w:instrText>_</w:instrText>
      </w:r>
      <w:r>
        <w:rPr>
          <w:rFonts w:ascii="Times New Roman" w:hAnsi="Times New Roman" w:cs="Times New Roman"/>
          <w:sz w:val="28"/>
          <w:szCs w:val="28"/>
          <w:lang w:val="en-US"/>
        </w:rPr>
        <w:instrText>BIBLIOGRAPHY</w:instrText>
      </w:r>
      <w:r w:rsidRPr="00FE2B7A">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fldChar w:fldCharType="separate"/>
      </w:r>
      <w:r w:rsidRPr="00FE2B7A">
        <w:rPr>
          <w:rFonts w:ascii="Times New Roman" w:hAnsi="Times New Roman" w:cs="Times New Roman"/>
          <w:noProof/>
          <w:sz w:val="28"/>
          <w:szCs w:val="24"/>
          <w:lang w:val="en-US"/>
        </w:rPr>
        <w:t>Polska E. [</w:t>
      </w:r>
      <w:r w:rsidRPr="00EE60C8">
        <w:rPr>
          <w:rFonts w:ascii="Times New Roman" w:hAnsi="Times New Roman" w:cs="Times New Roman"/>
          <w:noProof/>
          <w:sz w:val="28"/>
          <w:szCs w:val="24"/>
        </w:rPr>
        <w:t>и</w:t>
      </w:r>
      <w:r w:rsidRPr="00FE2B7A">
        <w:rPr>
          <w:rFonts w:ascii="Times New Roman" w:hAnsi="Times New Roman" w:cs="Times New Roman"/>
          <w:noProof/>
          <w:sz w:val="28"/>
          <w:szCs w:val="24"/>
          <w:lang w:val="en-US"/>
        </w:rPr>
        <w:t xml:space="preserve"> </w:t>
      </w:r>
      <w:r w:rsidRPr="00EE60C8">
        <w:rPr>
          <w:rFonts w:ascii="Times New Roman" w:hAnsi="Times New Roman" w:cs="Times New Roman"/>
          <w:noProof/>
          <w:sz w:val="28"/>
          <w:szCs w:val="24"/>
        </w:rPr>
        <w:t>др</w:t>
      </w:r>
      <w:r w:rsidRPr="00FE2B7A">
        <w:rPr>
          <w:rFonts w:ascii="Times New Roman" w:hAnsi="Times New Roman" w:cs="Times New Roman"/>
          <w:noProof/>
          <w:sz w:val="28"/>
          <w:szCs w:val="24"/>
          <w:lang w:val="en-US"/>
        </w:rPr>
        <w:t xml:space="preserve">.]. </w:t>
      </w:r>
      <w:r w:rsidRPr="001D189C">
        <w:rPr>
          <w:rFonts w:ascii="Times New Roman" w:hAnsi="Times New Roman" w:cs="Times New Roman"/>
          <w:noProof/>
          <w:sz w:val="28"/>
          <w:szCs w:val="24"/>
          <w:lang w:val="en-US"/>
        </w:rPr>
        <w:t>Prace Poglądowe/reviews Sonographic features of medullary thyroid carcinomas-a systematic review and meta-analysis Cechy sonograficzne raków rdzeniastych tarczycy-przegląd systematyczny i metaanaliza // Endokrynol Pol. 2014. № 4 (65). C. 314–318.</w:t>
      </w:r>
    </w:p>
    <w:p w14:paraId="45DB6BE3" w14:textId="77777777" w:rsidR="001D189C" w:rsidRPr="001D189C"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Pr>
          <w:rFonts w:ascii="Times New Roman" w:hAnsi="Times New Roman" w:cs="Times New Roman"/>
          <w:sz w:val="28"/>
          <w:szCs w:val="28"/>
          <w:lang w:val="en-US"/>
        </w:rPr>
        <w:fldChar w:fldCharType="end"/>
      </w:r>
      <w:r w:rsidRPr="001D189C">
        <w:rPr>
          <w:rFonts w:ascii="Times New Roman" w:hAnsi="Times New Roman" w:cs="Times New Roman"/>
          <w:sz w:val="28"/>
          <w:szCs w:val="28"/>
          <w:lang w:val="en-US"/>
        </w:rPr>
        <w:t xml:space="preserve">15. </w:t>
      </w:r>
      <w:r>
        <w:rPr>
          <w:rFonts w:ascii="Times New Roman" w:hAnsi="Times New Roman" w:cs="Times New Roman"/>
          <w:sz w:val="28"/>
          <w:szCs w:val="28"/>
          <w:lang w:val="en-US"/>
        </w:rPr>
        <w:fldChar w:fldCharType="begin" w:fldLock="1"/>
      </w:r>
      <w:r>
        <w:rPr>
          <w:rFonts w:ascii="Times New Roman" w:hAnsi="Times New Roman" w:cs="Times New Roman"/>
          <w:sz w:val="28"/>
          <w:szCs w:val="28"/>
          <w:lang w:val="en-US"/>
        </w:rPr>
        <w:instrText>ADDIN</w:instrText>
      </w:r>
      <w:r w:rsidRPr="001D189C">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Mendeley</w:instrText>
      </w:r>
      <w:r w:rsidRPr="001D189C">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Bibliography</w:instrText>
      </w:r>
      <w:r w:rsidRPr="001D189C">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CSL</w:instrText>
      </w:r>
      <w:r w:rsidRPr="001D189C">
        <w:rPr>
          <w:rFonts w:ascii="Times New Roman" w:hAnsi="Times New Roman" w:cs="Times New Roman"/>
          <w:sz w:val="28"/>
          <w:szCs w:val="28"/>
          <w:lang w:val="en-US"/>
        </w:rPr>
        <w:instrText>_</w:instrText>
      </w:r>
      <w:r>
        <w:rPr>
          <w:rFonts w:ascii="Times New Roman" w:hAnsi="Times New Roman" w:cs="Times New Roman"/>
          <w:sz w:val="28"/>
          <w:szCs w:val="28"/>
          <w:lang w:val="en-US"/>
        </w:rPr>
        <w:instrText>BIBLIOGRAPHY</w:instrText>
      </w:r>
      <w:r w:rsidRPr="001D189C">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fldChar w:fldCharType="separate"/>
      </w:r>
      <w:r w:rsidRPr="001D189C">
        <w:rPr>
          <w:rFonts w:ascii="Times New Roman" w:hAnsi="Times New Roman" w:cs="Times New Roman"/>
          <w:noProof/>
          <w:sz w:val="28"/>
          <w:szCs w:val="24"/>
          <w:lang w:val="en-US"/>
        </w:rPr>
        <w:t>Al</w:t>
      </w:r>
      <w:r w:rsidRPr="004E38DC">
        <w:rPr>
          <w:rFonts w:ascii="Times New Roman" w:hAnsi="Times New Roman" w:cs="Times New Roman"/>
          <w:noProof/>
          <w:sz w:val="28"/>
          <w:szCs w:val="24"/>
          <w:lang w:val="en-US"/>
        </w:rPr>
        <w:t>-</w:t>
      </w:r>
      <w:r w:rsidRPr="001D189C">
        <w:rPr>
          <w:rFonts w:ascii="Times New Roman" w:hAnsi="Times New Roman" w:cs="Times New Roman"/>
          <w:noProof/>
          <w:sz w:val="28"/>
          <w:szCs w:val="24"/>
          <w:lang w:val="en-US"/>
        </w:rPr>
        <w:t>Jundi</w:t>
      </w:r>
      <w:r w:rsidRPr="004E38DC">
        <w:rPr>
          <w:rFonts w:ascii="Times New Roman" w:hAnsi="Times New Roman" w:cs="Times New Roman"/>
          <w:noProof/>
          <w:sz w:val="28"/>
          <w:szCs w:val="24"/>
          <w:lang w:val="en-US"/>
        </w:rPr>
        <w:t xml:space="preserve"> </w:t>
      </w:r>
      <w:r w:rsidRPr="001D189C">
        <w:rPr>
          <w:rFonts w:ascii="Times New Roman" w:hAnsi="Times New Roman" w:cs="Times New Roman"/>
          <w:noProof/>
          <w:sz w:val="28"/>
          <w:szCs w:val="24"/>
          <w:lang w:val="en-US"/>
        </w:rPr>
        <w:t>M</w:t>
      </w:r>
      <w:r w:rsidRPr="004E38DC">
        <w:rPr>
          <w:rFonts w:ascii="Times New Roman" w:hAnsi="Times New Roman" w:cs="Times New Roman"/>
          <w:noProof/>
          <w:sz w:val="28"/>
          <w:szCs w:val="24"/>
          <w:lang w:val="en-US"/>
        </w:rPr>
        <w:t>. [</w:t>
      </w:r>
      <w:r w:rsidRPr="00C076A4">
        <w:rPr>
          <w:rFonts w:ascii="Times New Roman" w:hAnsi="Times New Roman" w:cs="Times New Roman"/>
          <w:noProof/>
          <w:sz w:val="28"/>
          <w:szCs w:val="24"/>
        </w:rPr>
        <w:t>и</w:t>
      </w:r>
      <w:r w:rsidRPr="004E38DC">
        <w:rPr>
          <w:rFonts w:ascii="Times New Roman" w:hAnsi="Times New Roman" w:cs="Times New Roman"/>
          <w:noProof/>
          <w:sz w:val="28"/>
          <w:szCs w:val="24"/>
          <w:lang w:val="en-US"/>
        </w:rPr>
        <w:t xml:space="preserve"> </w:t>
      </w:r>
      <w:r w:rsidRPr="00C076A4">
        <w:rPr>
          <w:rFonts w:ascii="Times New Roman" w:hAnsi="Times New Roman" w:cs="Times New Roman"/>
          <w:noProof/>
          <w:sz w:val="28"/>
          <w:szCs w:val="24"/>
        </w:rPr>
        <w:t>др</w:t>
      </w:r>
      <w:r w:rsidRPr="004E38DC">
        <w:rPr>
          <w:rFonts w:ascii="Times New Roman" w:hAnsi="Times New Roman" w:cs="Times New Roman"/>
          <w:noProof/>
          <w:sz w:val="28"/>
          <w:szCs w:val="24"/>
          <w:lang w:val="en-US"/>
        </w:rPr>
        <w:t xml:space="preserve">.]. </w:t>
      </w:r>
      <w:r w:rsidRPr="001D189C">
        <w:rPr>
          <w:rFonts w:ascii="Times New Roman" w:hAnsi="Times New Roman" w:cs="Times New Roman"/>
          <w:noProof/>
          <w:sz w:val="28"/>
          <w:szCs w:val="24"/>
          <w:lang w:val="en-US"/>
        </w:rPr>
        <w:t>cancers Novel Targeted Therapies for Metastatic Thyroid Cancer-A Comprehensive Review.</w:t>
      </w:r>
    </w:p>
    <w:p w14:paraId="0DC6BCEF" w14:textId="77777777" w:rsidR="001D189C" w:rsidRPr="001D189C" w:rsidRDefault="001D189C" w:rsidP="001D189C">
      <w:pPr>
        <w:widowControl w:val="0"/>
        <w:autoSpaceDE w:val="0"/>
        <w:autoSpaceDN w:val="0"/>
        <w:adjustRightInd w:val="0"/>
        <w:spacing w:line="360" w:lineRule="auto"/>
        <w:jc w:val="both"/>
        <w:rPr>
          <w:rFonts w:ascii="Times New Roman" w:hAnsi="Times New Roman" w:cs="Times New Roman"/>
          <w:noProof/>
          <w:sz w:val="28"/>
          <w:szCs w:val="24"/>
          <w:lang w:val="en-US"/>
        </w:rPr>
      </w:pPr>
      <w:r w:rsidRPr="001D189C">
        <w:rPr>
          <w:rFonts w:ascii="Times New Roman" w:hAnsi="Times New Roman" w:cs="Times New Roman"/>
          <w:noProof/>
          <w:sz w:val="28"/>
          <w:szCs w:val="24"/>
          <w:lang w:val="en-US"/>
        </w:rPr>
        <w:t>16. Subbiah V. [</w:t>
      </w:r>
      <w:r w:rsidRPr="00C076A4">
        <w:rPr>
          <w:rFonts w:ascii="Times New Roman" w:hAnsi="Times New Roman" w:cs="Times New Roman"/>
          <w:noProof/>
          <w:sz w:val="28"/>
          <w:szCs w:val="24"/>
        </w:rPr>
        <w:t>и</w:t>
      </w:r>
      <w:r w:rsidRPr="001D189C">
        <w:rPr>
          <w:rFonts w:ascii="Times New Roman" w:hAnsi="Times New Roman" w:cs="Times New Roman"/>
          <w:noProof/>
          <w:sz w:val="28"/>
          <w:szCs w:val="24"/>
          <w:lang w:val="en-US"/>
        </w:rPr>
        <w:t xml:space="preserve"> </w:t>
      </w:r>
      <w:r w:rsidRPr="00C076A4">
        <w:rPr>
          <w:rFonts w:ascii="Times New Roman" w:hAnsi="Times New Roman" w:cs="Times New Roman"/>
          <w:noProof/>
          <w:sz w:val="28"/>
          <w:szCs w:val="24"/>
        </w:rPr>
        <w:t>др</w:t>
      </w:r>
      <w:r w:rsidRPr="001D189C">
        <w:rPr>
          <w:rFonts w:ascii="Times New Roman" w:hAnsi="Times New Roman" w:cs="Times New Roman"/>
          <w:noProof/>
          <w:sz w:val="28"/>
          <w:szCs w:val="24"/>
          <w:lang w:val="en-US"/>
        </w:rPr>
        <w:t>.]. Structural basis of acquired resistance to selpercatinib and pralsetinib mediated by non-gatekeeper RET mutations.</w:t>
      </w:r>
    </w:p>
    <w:p w14:paraId="1C4ACBA8" w14:textId="77777777" w:rsidR="001D189C" w:rsidRDefault="001D189C" w:rsidP="001D189C">
      <w:pPr>
        <w:widowControl w:val="0"/>
        <w:autoSpaceDE w:val="0"/>
        <w:autoSpaceDN w:val="0"/>
        <w:adjustRightInd w:val="0"/>
        <w:spacing w:line="360" w:lineRule="auto"/>
        <w:jc w:val="both"/>
        <w:rPr>
          <w:rFonts w:ascii="Times New Roman" w:hAnsi="Times New Roman" w:cs="Times New Roman"/>
          <w:noProof/>
          <w:sz w:val="28"/>
          <w:szCs w:val="24"/>
        </w:rPr>
      </w:pPr>
      <w:r w:rsidRPr="001D189C">
        <w:rPr>
          <w:rFonts w:ascii="Times New Roman" w:hAnsi="Times New Roman" w:cs="Times New Roman"/>
          <w:noProof/>
          <w:sz w:val="28"/>
          <w:szCs w:val="24"/>
          <w:lang w:val="en-US"/>
        </w:rPr>
        <w:t xml:space="preserve">17. Aktolun C., Elboga U., Urhan M. Thyroid carcinoma // Nuclear Oncology. </w:t>
      </w:r>
      <w:r w:rsidRPr="002F4E59">
        <w:rPr>
          <w:rFonts w:ascii="Times New Roman" w:hAnsi="Times New Roman" w:cs="Times New Roman"/>
          <w:noProof/>
          <w:sz w:val="28"/>
          <w:szCs w:val="24"/>
        </w:rPr>
        <w:t>2014. C. 35–51.</w:t>
      </w:r>
    </w:p>
    <w:p w14:paraId="7C73B3A9" w14:textId="77777777" w:rsidR="001D189C" w:rsidRDefault="001D189C" w:rsidP="001D189C">
      <w:pPr>
        <w:widowControl w:val="0"/>
        <w:autoSpaceDE w:val="0"/>
        <w:autoSpaceDN w:val="0"/>
        <w:adjustRightInd w:val="0"/>
        <w:spacing w:line="360" w:lineRule="auto"/>
        <w:jc w:val="both"/>
        <w:rPr>
          <w:rFonts w:ascii="Times New Roman" w:hAnsi="Times New Roman" w:cs="Times New Roman"/>
          <w:noProof/>
          <w:sz w:val="28"/>
          <w:szCs w:val="32"/>
        </w:rPr>
      </w:pPr>
      <w:r>
        <w:rPr>
          <w:rFonts w:ascii="Times New Roman" w:hAnsi="Times New Roman" w:cs="Times New Roman"/>
          <w:noProof/>
          <w:sz w:val="28"/>
          <w:szCs w:val="24"/>
        </w:rPr>
        <w:t xml:space="preserve">18. </w:t>
      </w:r>
      <w:r w:rsidRPr="00F65DC1">
        <w:rPr>
          <w:rFonts w:ascii="Times New Roman" w:hAnsi="Times New Roman" w:cs="Times New Roman"/>
          <w:sz w:val="28"/>
          <w:szCs w:val="28"/>
        </w:rPr>
        <w:fldChar w:fldCharType="begin" w:fldLock="1"/>
      </w:r>
      <w:r w:rsidRPr="00F65DC1">
        <w:rPr>
          <w:rFonts w:ascii="Times New Roman" w:hAnsi="Times New Roman" w:cs="Times New Roman"/>
          <w:sz w:val="28"/>
          <w:szCs w:val="28"/>
        </w:rPr>
        <w:instrText xml:space="preserve">ADDIN Mendeley Bibliography CSL_BIBLIOGRAPHY </w:instrText>
      </w:r>
      <w:r w:rsidRPr="00F65DC1">
        <w:rPr>
          <w:rFonts w:ascii="Times New Roman" w:hAnsi="Times New Roman" w:cs="Times New Roman"/>
          <w:sz w:val="28"/>
          <w:szCs w:val="28"/>
        </w:rPr>
        <w:fldChar w:fldCharType="separate"/>
      </w:r>
      <w:r w:rsidRPr="00F65DC1">
        <w:rPr>
          <w:rFonts w:ascii="Times New Roman" w:hAnsi="Times New Roman" w:cs="Times New Roman"/>
          <w:noProof/>
          <w:sz w:val="28"/>
          <w:szCs w:val="32"/>
        </w:rPr>
        <w:t>Park S. Y. [и др.]. Clinical Validation of the Prognostic Stage Groups of the Eighth-Edition TNM Staging for Medullary Thyroid Carcinoma 2018.</w:t>
      </w:r>
    </w:p>
    <w:p w14:paraId="7DC04D1B" w14:textId="77777777" w:rsidR="001D189C" w:rsidRPr="002F48D4" w:rsidRDefault="001D189C" w:rsidP="001D189C">
      <w:pPr>
        <w:widowControl w:val="0"/>
        <w:autoSpaceDE w:val="0"/>
        <w:autoSpaceDN w:val="0"/>
        <w:adjustRightInd w:val="0"/>
        <w:spacing w:line="360" w:lineRule="auto"/>
        <w:jc w:val="both"/>
        <w:rPr>
          <w:rFonts w:ascii="Times New Roman" w:hAnsi="Times New Roman" w:cs="Times New Roman"/>
          <w:noProof/>
          <w:sz w:val="28"/>
          <w:szCs w:val="28"/>
        </w:rPr>
      </w:pPr>
      <w:r>
        <w:rPr>
          <w:rFonts w:ascii="Times New Roman" w:hAnsi="Times New Roman" w:cs="Times New Roman"/>
          <w:noProof/>
          <w:sz w:val="28"/>
          <w:szCs w:val="32"/>
        </w:rPr>
        <w:t xml:space="preserve">19. </w:t>
      </w:r>
      <w:r w:rsidRPr="002F48D4">
        <w:rPr>
          <w:rFonts w:ascii="Times New Roman" w:hAnsi="Times New Roman" w:cs="Times New Roman"/>
          <w:sz w:val="28"/>
          <w:szCs w:val="28"/>
        </w:rPr>
        <w:fldChar w:fldCharType="begin" w:fldLock="1"/>
      </w:r>
      <w:r w:rsidRPr="002F48D4">
        <w:rPr>
          <w:rFonts w:ascii="Times New Roman" w:hAnsi="Times New Roman" w:cs="Times New Roman"/>
          <w:sz w:val="28"/>
          <w:szCs w:val="28"/>
        </w:rPr>
        <w:instrText xml:space="preserve">ADDIN Mendeley Bibliography CSL_BIBLIOGRAPHY </w:instrText>
      </w:r>
      <w:r w:rsidRPr="002F48D4">
        <w:rPr>
          <w:rFonts w:ascii="Times New Roman" w:hAnsi="Times New Roman" w:cs="Times New Roman"/>
          <w:sz w:val="28"/>
          <w:szCs w:val="28"/>
        </w:rPr>
        <w:fldChar w:fldCharType="separate"/>
      </w:r>
      <w:r w:rsidRPr="002F48D4">
        <w:rPr>
          <w:rFonts w:ascii="Times New Roman" w:hAnsi="Times New Roman" w:cs="Times New Roman"/>
          <w:noProof/>
          <w:sz w:val="28"/>
          <w:szCs w:val="32"/>
        </w:rPr>
        <w:t>Vogel T. [и др.]. Bone metastases in medullary thyroid carcinoma: High morbidity and poor prognosis associated with osteolytic morphology // Journal of Clinical Endocrinology and Metabolism. 2020. № 6 (105). C. 2239–2246.</w:t>
      </w:r>
    </w:p>
    <w:p w14:paraId="555B089B" w14:textId="77777777" w:rsidR="001D189C" w:rsidRPr="00D9612F" w:rsidRDefault="001D189C" w:rsidP="001D189C">
      <w:pPr>
        <w:widowControl w:val="0"/>
        <w:autoSpaceDE w:val="0"/>
        <w:autoSpaceDN w:val="0"/>
        <w:adjustRightInd w:val="0"/>
        <w:spacing w:line="360" w:lineRule="auto"/>
        <w:jc w:val="both"/>
        <w:rPr>
          <w:rFonts w:ascii="Times New Roman" w:hAnsi="Times New Roman" w:cs="Times New Roman"/>
          <w:noProof/>
          <w:sz w:val="28"/>
          <w:szCs w:val="28"/>
        </w:rPr>
      </w:pPr>
      <w:r w:rsidRPr="002F48D4">
        <w:rPr>
          <w:rFonts w:ascii="Times New Roman" w:hAnsi="Times New Roman" w:cs="Times New Roman"/>
          <w:sz w:val="28"/>
          <w:szCs w:val="28"/>
        </w:rPr>
        <w:fldChar w:fldCharType="end"/>
      </w:r>
      <w:r>
        <w:rPr>
          <w:rFonts w:ascii="Times New Roman" w:hAnsi="Times New Roman" w:cs="Times New Roman"/>
          <w:sz w:val="28"/>
          <w:szCs w:val="28"/>
          <w:lang w:val="en-US"/>
        </w:rPr>
        <w:t xml:space="preserve">20. </w:t>
      </w:r>
      <w:r w:rsidRPr="00D9612F">
        <w:rPr>
          <w:rFonts w:ascii="Times New Roman" w:hAnsi="Times New Roman" w:cs="Times New Roman"/>
          <w:sz w:val="28"/>
          <w:szCs w:val="28"/>
        </w:rPr>
        <w:fldChar w:fldCharType="begin" w:fldLock="1"/>
      </w:r>
      <w:r w:rsidRPr="00D9612F">
        <w:rPr>
          <w:rFonts w:ascii="Times New Roman" w:hAnsi="Times New Roman" w:cs="Times New Roman"/>
          <w:sz w:val="28"/>
          <w:szCs w:val="28"/>
        </w:rPr>
        <w:instrText xml:space="preserve">ADDIN Mendeley Bibliography CSL_BIBLIOGRAPHY </w:instrText>
      </w:r>
      <w:r w:rsidRPr="00D9612F">
        <w:rPr>
          <w:rFonts w:ascii="Times New Roman" w:hAnsi="Times New Roman" w:cs="Times New Roman"/>
          <w:sz w:val="28"/>
          <w:szCs w:val="28"/>
        </w:rPr>
        <w:fldChar w:fldCharType="separate"/>
      </w:r>
      <w:r w:rsidRPr="00D9612F">
        <w:rPr>
          <w:rFonts w:ascii="Times New Roman" w:hAnsi="Times New Roman" w:cs="Times New Roman"/>
          <w:noProof/>
          <w:sz w:val="28"/>
          <w:szCs w:val="32"/>
        </w:rPr>
        <w:t>Hugen N. [и др.]. Divergent Metastatic Patterns Between Subtypes of Thyroid Carcinoma Results From the Nationwide Dutch Pathology Registry // J Clin Endocrinol Metab. 2020. № 3 (105). C. 295–302.</w:t>
      </w:r>
    </w:p>
    <w:p w14:paraId="20660FA2" w14:textId="77777777" w:rsidR="001D189C" w:rsidRPr="00402F8B" w:rsidRDefault="001D189C" w:rsidP="001D189C">
      <w:pPr>
        <w:widowControl w:val="0"/>
        <w:autoSpaceDE w:val="0"/>
        <w:autoSpaceDN w:val="0"/>
        <w:adjustRightInd w:val="0"/>
        <w:spacing w:line="360" w:lineRule="auto"/>
        <w:jc w:val="both"/>
        <w:rPr>
          <w:rFonts w:ascii="Times New Roman" w:hAnsi="Times New Roman" w:cs="Times New Roman"/>
          <w:noProof/>
          <w:sz w:val="28"/>
          <w:szCs w:val="28"/>
        </w:rPr>
      </w:pPr>
      <w:r w:rsidRPr="00D9612F">
        <w:rPr>
          <w:rFonts w:ascii="Times New Roman" w:hAnsi="Times New Roman" w:cs="Times New Roman"/>
          <w:sz w:val="28"/>
          <w:szCs w:val="28"/>
        </w:rPr>
        <w:lastRenderedPageBreak/>
        <w:fldChar w:fldCharType="end"/>
      </w:r>
      <w:r>
        <w:rPr>
          <w:rFonts w:ascii="Times New Roman" w:hAnsi="Times New Roman" w:cs="Times New Roman"/>
          <w:sz w:val="28"/>
          <w:szCs w:val="28"/>
        </w:rPr>
        <w:t xml:space="preserve">21. </w:t>
      </w:r>
      <w:r w:rsidRPr="00402F8B">
        <w:rPr>
          <w:rFonts w:ascii="Times New Roman" w:hAnsi="Times New Roman" w:cs="Times New Roman"/>
          <w:sz w:val="28"/>
          <w:szCs w:val="28"/>
        </w:rPr>
        <w:fldChar w:fldCharType="begin" w:fldLock="1"/>
      </w:r>
      <w:r w:rsidRPr="00402F8B">
        <w:rPr>
          <w:rFonts w:ascii="Times New Roman" w:hAnsi="Times New Roman" w:cs="Times New Roman"/>
          <w:sz w:val="28"/>
          <w:szCs w:val="28"/>
        </w:rPr>
        <w:instrText xml:space="preserve">ADDIN Mendeley Bibliography CSL_BIBLIOGRAPHY </w:instrText>
      </w:r>
      <w:r w:rsidRPr="00402F8B">
        <w:rPr>
          <w:rFonts w:ascii="Times New Roman" w:hAnsi="Times New Roman" w:cs="Times New Roman"/>
          <w:sz w:val="28"/>
          <w:szCs w:val="28"/>
        </w:rPr>
        <w:fldChar w:fldCharType="separate"/>
      </w:r>
      <w:r w:rsidRPr="00402F8B">
        <w:rPr>
          <w:rFonts w:ascii="Times New Roman" w:hAnsi="Times New Roman" w:cs="Times New Roman"/>
          <w:noProof/>
          <w:sz w:val="28"/>
          <w:szCs w:val="32"/>
        </w:rPr>
        <w:t>Hanna F. W. F. [и др.]. Regulatory peptides and other neuroendocrine markers in medullary carcinoma of the thyroid // Journal of Endocrinology. 1997. № 2 (152). C. 275–281.</w:t>
      </w:r>
    </w:p>
    <w:p w14:paraId="06726DDB" w14:textId="77777777" w:rsidR="001D189C" w:rsidRDefault="001D189C" w:rsidP="001D189C">
      <w:pPr>
        <w:widowControl w:val="0"/>
        <w:autoSpaceDE w:val="0"/>
        <w:autoSpaceDN w:val="0"/>
        <w:adjustRightInd w:val="0"/>
        <w:spacing w:line="360" w:lineRule="auto"/>
        <w:jc w:val="both"/>
        <w:rPr>
          <w:rFonts w:ascii="Times New Roman" w:hAnsi="Times New Roman" w:cs="Times New Roman"/>
          <w:noProof/>
          <w:sz w:val="28"/>
          <w:szCs w:val="32"/>
        </w:rPr>
      </w:pPr>
      <w:r w:rsidRPr="00402F8B">
        <w:rPr>
          <w:rFonts w:ascii="Times New Roman" w:hAnsi="Times New Roman" w:cs="Times New Roman"/>
          <w:sz w:val="28"/>
          <w:szCs w:val="28"/>
        </w:rPr>
        <w:fldChar w:fldCharType="end"/>
      </w:r>
      <w:bookmarkStart w:id="10" w:name="_Hlk83228209"/>
      <w:r>
        <w:rPr>
          <w:rFonts w:ascii="Times New Roman" w:hAnsi="Times New Roman" w:cs="Times New Roman"/>
          <w:sz w:val="28"/>
          <w:szCs w:val="28"/>
          <w:lang w:val="en-US"/>
        </w:rPr>
        <w:t>22.</w:t>
      </w:r>
      <w:r w:rsidRPr="000B3248">
        <w:t xml:space="preserve"> </w:t>
      </w:r>
      <w:r w:rsidRPr="000B3248">
        <w:rPr>
          <w:rFonts w:ascii="Times New Roman" w:hAnsi="Times New Roman" w:cs="Times New Roman"/>
          <w:sz w:val="28"/>
          <w:szCs w:val="28"/>
        </w:rPr>
        <w:fldChar w:fldCharType="begin" w:fldLock="1"/>
      </w:r>
      <w:r w:rsidRPr="000B3248">
        <w:rPr>
          <w:rFonts w:ascii="Times New Roman" w:hAnsi="Times New Roman" w:cs="Times New Roman"/>
          <w:sz w:val="28"/>
          <w:szCs w:val="28"/>
        </w:rPr>
        <w:instrText xml:space="preserve">ADDIN Mendeley Bibliography CSL_BIBLIOGRAPHY </w:instrText>
      </w:r>
      <w:r w:rsidRPr="000B3248">
        <w:rPr>
          <w:rFonts w:ascii="Times New Roman" w:hAnsi="Times New Roman" w:cs="Times New Roman"/>
          <w:sz w:val="28"/>
          <w:szCs w:val="28"/>
        </w:rPr>
        <w:fldChar w:fldCharType="separate"/>
      </w:r>
      <w:r w:rsidRPr="000B3248">
        <w:rPr>
          <w:rFonts w:ascii="Times New Roman" w:hAnsi="Times New Roman" w:cs="Times New Roman"/>
          <w:noProof/>
          <w:sz w:val="28"/>
          <w:szCs w:val="32"/>
        </w:rPr>
        <w:t>Бельцевич Д. Г. [и др.]. Национальные Клинические Рекомендации По Диагностике И Лечению Медуллярного Рака Щитовидной Железы // Эндокринная Хирургия. 2015. № 1. C. 24–28.</w:t>
      </w:r>
    </w:p>
    <w:p w14:paraId="6EED2048" w14:textId="77777777" w:rsidR="001D189C" w:rsidRPr="00990F96" w:rsidRDefault="001D189C" w:rsidP="001D189C">
      <w:pPr>
        <w:widowControl w:val="0"/>
        <w:autoSpaceDE w:val="0"/>
        <w:autoSpaceDN w:val="0"/>
        <w:adjustRightInd w:val="0"/>
        <w:spacing w:line="360" w:lineRule="auto"/>
        <w:jc w:val="both"/>
        <w:rPr>
          <w:rFonts w:ascii="Times New Roman" w:hAnsi="Times New Roman" w:cs="Times New Roman"/>
          <w:noProof/>
          <w:sz w:val="28"/>
          <w:szCs w:val="24"/>
        </w:rPr>
      </w:pPr>
      <w:r>
        <w:rPr>
          <w:rFonts w:ascii="Times New Roman" w:hAnsi="Times New Roman" w:cs="Times New Roman"/>
          <w:noProof/>
          <w:sz w:val="28"/>
          <w:szCs w:val="32"/>
        </w:rPr>
        <w:t xml:space="preserve">23. </w:t>
      </w:r>
      <w:r w:rsidRPr="00990F96">
        <w:rPr>
          <w:rFonts w:ascii="Times New Roman" w:hAnsi="Times New Roman" w:cs="Times New Roman"/>
          <w:noProof/>
          <w:sz w:val="28"/>
          <w:szCs w:val="24"/>
        </w:rPr>
        <w:t>Samà M. T. [и др.]. Clinical challenges with calcitonin-negative medullary thyroid carcinoma // Journal of Cancer Research and Clinical Oncology. 2016. (142). C. 2023–2029.</w:t>
      </w:r>
    </w:p>
    <w:p w14:paraId="19FC4D10" w14:textId="77777777" w:rsidR="001D189C" w:rsidRPr="000B3248" w:rsidRDefault="001D189C" w:rsidP="001D189C">
      <w:pPr>
        <w:widowControl w:val="0"/>
        <w:autoSpaceDE w:val="0"/>
        <w:autoSpaceDN w:val="0"/>
        <w:adjustRightInd w:val="0"/>
        <w:spacing w:line="360" w:lineRule="auto"/>
        <w:jc w:val="both"/>
        <w:rPr>
          <w:rFonts w:ascii="Times New Roman" w:hAnsi="Times New Roman" w:cs="Times New Roman"/>
          <w:noProof/>
          <w:sz w:val="28"/>
          <w:szCs w:val="32"/>
        </w:rPr>
      </w:pPr>
    </w:p>
    <w:p w14:paraId="7F252FA8" w14:textId="77777777" w:rsidR="001D189C" w:rsidRPr="000B3248" w:rsidRDefault="001D189C" w:rsidP="001D189C">
      <w:pPr>
        <w:widowControl w:val="0"/>
        <w:autoSpaceDE w:val="0"/>
        <w:autoSpaceDN w:val="0"/>
        <w:adjustRightInd w:val="0"/>
        <w:spacing w:line="360" w:lineRule="auto"/>
        <w:jc w:val="both"/>
        <w:rPr>
          <w:rFonts w:ascii="Times New Roman" w:hAnsi="Times New Roman" w:cs="Times New Roman"/>
          <w:sz w:val="44"/>
          <w:szCs w:val="44"/>
          <w:lang w:val="en-US"/>
        </w:rPr>
      </w:pPr>
      <w:r w:rsidRPr="000B3248">
        <w:rPr>
          <w:rFonts w:ascii="Times New Roman" w:hAnsi="Times New Roman" w:cs="Times New Roman"/>
          <w:sz w:val="28"/>
          <w:szCs w:val="28"/>
        </w:rPr>
        <w:fldChar w:fldCharType="end"/>
      </w:r>
      <w:bookmarkEnd w:id="10"/>
    </w:p>
    <w:p w14:paraId="50A23FDC" w14:textId="77777777" w:rsidR="001D189C" w:rsidRPr="000B3248" w:rsidRDefault="001D189C" w:rsidP="001D189C">
      <w:pPr>
        <w:widowControl w:val="0"/>
        <w:autoSpaceDE w:val="0"/>
        <w:autoSpaceDN w:val="0"/>
        <w:adjustRightInd w:val="0"/>
        <w:spacing w:line="360" w:lineRule="auto"/>
        <w:jc w:val="both"/>
        <w:rPr>
          <w:rFonts w:ascii="Times New Roman" w:hAnsi="Times New Roman" w:cs="Times New Roman"/>
          <w:sz w:val="44"/>
          <w:szCs w:val="44"/>
          <w:lang w:val="en-US"/>
        </w:rPr>
      </w:pPr>
    </w:p>
    <w:p w14:paraId="7B78B043" w14:textId="77777777" w:rsidR="001D189C" w:rsidRPr="00402F8B" w:rsidRDefault="001D189C" w:rsidP="001D189C">
      <w:pPr>
        <w:spacing w:line="360" w:lineRule="auto"/>
        <w:jc w:val="both"/>
        <w:rPr>
          <w:rFonts w:ascii="Times New Roman" w:hAnsi="Times New Roman" w:cs="Times New Roman"/>
          <w:sz w:val="28"/>
          <w:szCs w:val="28"/>
        </w:rPr>
      </w:pPr>
    </w:p>
    <w:p w14:paraId="600EF645" w14:textId="77777777" w:rsidR="001D189C" w:rsidRPr="00D9612F" w:rsidRDefault="001D189C" w:rsidP="001D189C">
      <w:pPr>
        <w:widowControl w:val="0"/>
        <w:autoSpaceDE w:val="0"/>
        <w:autoSpaceDN w:val="0"/>
        <w:adjustRightInd w:val="0"/>
        <w:spacing w:line="360" w:lineRule="auto"/>
        <w:jc w:val="both"/>
        <w:rPr>
          <w:rFonts w:ascii="Times New Roman" w:hAnsi="Times New Roman" w:cs="Times New Roman"/>
          <w:noProof/>
          <w:sz w:val="28"/>
          <w:szCs w:val="28"/>
          <w:lang w:val="en-US"/>
        </w:rPr>
      </w:pPr>
    </w:p>
    <w:p w14:paraId="390A9FB1" w14:textId="77777777" w:rsidR="001D189C" w:rsidRPr="00F65DC1" w:rsidRDefault="001D189C" w:rsidP="001D189C">
      <w:pPr>
        <w:spacing w:line="360" w:lineRule="auto"/>
        <w:jc w:val="both"/>
        <w:rPr>
          <w:rFonts w:ascii="Times New Roman" w:hAnsi="Times New Roman" w:cs="Times New Roman"/>
          <w:sz w:val="28"/>
          <w:szCs w:val="28"/>
        </w:rPr>
      </w:pPr>
      <w:r w:rsidRPr="00F65DC1">
        <w:rPr>
          <w:rFonts w:ascii="Times New Roman" w:hAnsi="Times New Roman" w:cs="Times New Roman"/>
          <w:sz w:val="28"/>
          <w:szCs w:val="28"/>
        </w:rPr>
        <w:fldChar w:fldCharType="end"/>
      </w:r>
    </w:p>
    <w:p w14:paraId="679D0EFB" w14:textId="77777777" w:rsidR="001D189C" w:rsidRPr="002F4E59" w:rsidRDefault="001D189C" w:rsidP="001D189C">
      <w:pPr>
        <w:widowControl w:val="0"/>
        <w:autoSpaceDE w:val="0"/>
        <w:autoSpaceDN w:val="0"/>
        <w:adjustRightInd w:val="0"/>
        <w:spacing w:line="360" w:lineRule="auto"/>
        <w:jc w:val="both"/>
        <w:rPr>
          <w:rFonts w:ascii="Times New Roman" w:hAnsi="Times New Roman" w:cs="Times New Roman"/>
          <w:noProof/>
          <w:sz w:val="28"/>
          <w:szCs w:val="24"/>
        </w:rPr>
      </w:pPr>
    </w:p>
    <w:p w14:paraId="0F54B08B" w14:textId="77777777" w:rsidR="001D189C" w:rsidRPr="00C076A4" w:rsidRDefault="001D189C" w:rsidP="001D189C">
      <w:pPr>
        <w:widowControl w:val="0"/>
        <w:autoSpaceDE w:val="0"/>
        <w:autoSpaceDN w:val="0"/>
        <w:adjustRightInd w:val="0"/>
        <w:spacing w:line="360" w:lineRule="auto"/>
        <w:jc w:val="both"/>
        <w:rPr>
          <w:rFonts w:ascii="Times New Roman" w:hAnsi="Times New Roman" w:cs="Times New Roman"/>
          <w:noProof/>
          <w:sz w:val="28"/>
        </w:rPr>
      </w:pPr>
    </w:p>
    <w:p w14:paraId="54C05255" w14:textId="7662F977" w:rsidR="001D189C" w:rsidRPr="00840051" w:rsidRDefault="001D189C" w:rsidP="009139A0">
      <w:pPr>
        <w:spacing w:line="360" w:lineRule="auto"/>
        <w:jc w:val="both"/>
        <w:rPr>
          <w:noProof/>
          <w:sz w:val="28"/>
          <w:szCs w:val="28"/>
        </w:rPr>
      </w:pPr>
      <w:r>
        <w:rPr>
          <w:rFonts w:ascii="Times New Roman" w:hAnsi="Times New Roman" w:cs="Times New Roman"/>
          <w:sz w:val="28"/>
          <w:szCs w:val="28"/>
          <w:lang w:val="en-US"/>
        </w:rPr>
        <w:fldChar w:fldCharType="end"/>
      </w:r>
    </w:p>
    <w:sectPr w:rsidR="001D189C" w:rsidRPr="00840051">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A9A9" w14:textId="77777777" w:rsidR="004B734F" w:rsidRDefault="004B734F" w:rsidP="007E1030">
      <w:pPr>
        <w:spacing w:after="0" w:line="240" w:lineRule="auto"/>
      </w:pPr>
      <w:r>
        <w:separator/>
      </w:r>
    </w:p>
  </w:endnote>
  <w:endnote w:type="continuationSeparator" w:id="0">
    <w:p w14:paraId="69264119" w14:textId="77777777" w:rsidR="004B734F" w:rsidRDefault="004B734F" w:rsidP="007E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1F21" w14:textId="77777777" w:rsidR="004B734F" w:rsidRDefault="004B734F" w:rsidP="007E1030">
      <w:pPr>
        <w:spacing w:after="0" w:line="240" w:lineRule="auto"/>
      </w:pPr>
      <w:r>
        <w:separator/>
      </w:r>
    </w:p>
  </w:footnote>
  <w:footnote w:type="continuationSeparator" w:id="0">
    <w:p w14:paraId="4BC5F357" w14:textId="77777777" w:rsidR="004B734F" w:rsidRDefault="004B734F" w:rsidP="007E1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2979"/>
      <w:docPartObj>
        <w:docPartGallery w:val="Page Numbers (Top of Page)"/>
        <w:docPartUnique/>
      </w:docPartObj>
    </w:sdtPr>
    <w:sdtEndPr/>
    <w:sdtContent>
      <w:p w14:paraId="3E8B9B81" w14:textId="3077AE18" w:rsidR="006A3F0B" w:rsidRDefault="006A3F0B">
        <w:pPr>
          <w:pStyle w:val="a4"/>
          <w:jc w:val="right"/>
        </w:pPr>
        <w:r>
          <w:fldChar w:fldCharType="begin"/>
        </w:r>
        <w:r>
          <w:instrText>PAGE   \* MERGEFORMAT</w:instrText>
        </w:r>
        <w:r>
          <w:fldChar w:fldCharType="separate"/>
        </w:r>
        <w:r>
          <w:t>2</w:t>
        </w:r>
        <w:r>
          <w:fldChar w:fldCharType="end"/>
        </w:r>
      </w:p>
    </w:sdtContent>
  </w:sdt>
  <w:p w14:paraId="728BD60A" w14:textId="77777777" w:rsidR="006A3F0B" w:rsidRDefault="006A3F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0C9"/>
    <w:multiLevelType w:val="hybridMultilevel"/>
    <w:tmpl w:val="2F96E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530BA4"/>
    <w:multiLevelType w:val="multilevel"/>
    <w:tmpl w:val="0FD25B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3760DA7"/>
    <w:multiLevelType w:val="multilevel"/>
    <w:tmpl w:val="0598F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F530B1"/>
    <w:multiLevelType w:val="hybridMultilevel"/>
    <w:tmpl w:val="8818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7823189">
    <w:abstractNumId w:val="2"/>
  </w:num>
  <w:num w:numId="2" w16cid:durableId="760177125">
    <w:abstractNumId w:val="0"/>
  </w:num>
  <w:num w:numId="3" w16cid:durableId="1827164633">
    <w:abstractNumId w:val="1"/>
  </w:num>
  <w:num w:numId="4" w16cid:durableId="1536039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D3"/>
    <w:rsid w:val="00003E04"/>
    <w:rsid w:val="000060A9"/>
    <w:rsid w:val="00015C8B"/>
    <w:rsid w:val="0004401E"/>
    <w:rsid w:val="00065076"/>
    <w:rsid w:val="00083527"/>
    <w:rsid w:val="0008576B"/>
    <w:rsid w:val="000A2F08"/>
    <w:rsid w:val="000B1F1B"/>
    <w:rsid w:val="000B44D3"/>
    <w:rsid w:val="000C27F6"/>
    <w:rsid w:val="000C6191"/>
    <w:rsid w:val="000D7689"/>
    <w:rsid w:val="000E1F8F"/>
    <w:rsid w:val="000E378B"/>
    <w:rsid w:val="000F047B"/>
    <w:rsid w:val="00126408"/>
    <w:rsid w:val="00150BBD"/>
    <w:rsid w:val="00163872"/>
    <w:rsid w:val="00167E3B"/>
    <w:rsid w:val="00183730"/>
    <w:rsid w:val="001928F3"/>
    <w:rsid w:val="001A66E3"/>
    <w:rsid w:val="001C5029"/>
    <w:rsid w:val="001D0504"/>
    <w:rsid w:val="001D189C"/>
    <w:rsid w:val="001E0011"/>
    <w:rsid w:val="001F00BD"/>
    <w:rsid w:val="00207608"/>
    <w:rsid w:val="0021217A"/>
    <w:rsid w:val="0021412F"/>
    <w:rsid w:val="00217476"/>
    <w:rsid w:val="0023560D"/>
    <w:rsid w:val="00246CB4"/>
    <w:rsid w:val="0025273F"/>
    <w:rsid w:val="00264976"/>
    <w:rsid w:val="002714EB"/>
    <w:rsid w:val="00275358"/>
    <w:rsid w:val="00292319"/>
    <w:rsid w:val="002A0FA9"/>
    <w:rsid w:val="002A6522"/>
    <w:rsid w:val="002A77B7"/>
    <w:rsid w:val="002C6A42"/>
    <w:rsid w:val="002E0F1F"/>
    <w:rsid w:val="002F3811"/>
    <w:rsid w:val="00320643"/>
    <w:rsid w:val="00324805"/>
    <w:rsid w:val="00335E80"/>
    <w:rsid w:val="0036202E"/>
    <w:rsid w:val="00386B59"/>
    <w:rsid w:val="00387AD6"/>
    <w:rsid w:val="003B1B4F"/>
    <w:rsid w:val="003B1D9B"/>
    <w:rsid w:val="003D540C"/>
    <w:rsid w:val="003D5843"/>
    <w:rsid w:val="003F6746"/>
    <w:rsid w:val="00403708"/>
    <w:rsid w:val="0041641C"/>
    <w:rsid w:val="0041729F"/>
    <w:rsid w:val="00420234"/>
    <w:rsid w:val="00425F60"/>
    <w:rsid w:val="00454795"/>
    <w:rsid w:val="00486FCB"/>
    <w:rsid w:val="004A37A0"/>
    <w:rsid w:val="004A37E5"/>
    <w:rsid w:val="004B6636"/>
    <w:rsid w:val="004B734F"/>
    <w:rsid w:val="004C7290"/>
    <w:rsid w:val="004E2BCB"/>
    <w:rsid w:val="004E38DC"/>
    <w:rsid w:val="004F1F00"/>
    <w:rsid w:val="004F32B5"/>
    <w:rsid w:val="004F41BA"/>
    <w:rsid w:val="00504B02"/>
    <w:rsid w:val="0052053B"/>
    <w:rsid w:val="00534BBC"/>
    <w:rsid w:val="00536CC9"/>
    <w:rsid w:val="00542579"/>
    <w:rsid w:val="005447EB"/>
    <w:rsid w:val="00550725"/>
    <w:rsid w:val="00564616"/>
    <w:rsid w:val="00575834"/>
    <w:rsid w:val="0057738B"/>
    <w:rsid w:val="0058354E"/>
    <w:rsid w:val="00586CE8"/>
    <w:rsid w:val="005905E3"/>
    <w:rsid w:val="005B4288"/>
    <w:rsid w:val="005C5E5A"/>
    <w:rsid w:val="005C64DE"/>
    <w:rsid w:val="005C725E"/>
    <w:rsid w:val="005E6E5E"/>
    <w:rsid w:val="005F4DAE"/>
    <w:rsid w:val="00606E69"/>
    <w:rsid w:val="00610B27"/>
    <w:rsid w:val="0063000D"/>
    <w:rsid w:val="00631398"/>
    <w:rsid w:val="0064235F"/>
    <w:rsid w:val="006521CE"/>
    <w:rsid w:val="00666200"/>
    <w:rsid w:val="00671BBE"/>
    <w:rsid w:val="006A3F0B"/>
    <w:rsid w:val="00700BC1"/>
    <w:rsid w:val="00711C73"/>
    <w:rsid w:val="0071312A"/>
    <w:rsid w:val="007354F8"/>
    <w:rsid w:val="007441D3"/>
    <w:rsid w:val="007531D4"/>
    <w:rsid w:val="00793A89"/>
    <w:rsid w:val="00795868"/>
    <w:rsid w:val="00796F8B"/>
    <w:rsid w:val="007A67A1"/>
    <w:rsid w:val="007C04D5"/>
    <w:rsid w:val="007C64E9"/>
    <w:rsid w:val="007D306B"/>
    <w:rsid w:val="007D3FC6"/>
    <w:rsid w:val="007D5643"/>
    <w:rsid w:val="007E1030"/>
    <w:rsid w:val="007E5A30"/>
    <w:rsid w:val="007F0AE7"/>
    <w:rsid w:val="00840051"/>
    <w:rsid w:val="00862F63"/>
    <w:rsid w:val="0088429E"/>
    <w:rsid w:val="008917EF"/>
    <w:rsid w:val="00893A71"/>
    <w:rsid w:val="008B0E3F"/>
    <w:rsid w:val="008C1326"/>
    <w:rsid w:val="008D59BB"/>
    <w:rsid w:val="008E7685"/>
    <w:rsid w:val="008F5E2E"/>
    <w:rsid w:val="00911E04"/>
    <w:rsid w:val="009139A0"/>
    <w:rsid w:val="009543CA"/>
    <w:rsid w:val="00972486"/>
    <w:rsid w:val="00977B3F"/>
    <w:rsid w:val="00987B74"/>
    <w:rsid w:val="009A4F46"/>
    <w:rsid w:val="009B5DB3"/>
    <w:rsid w:val="009C325D"/>
    <w:rsid w:val="009D7C69"/>
    <w:rsid w:val="009E007E"/>
    <w:rsid w:val="009F7029"/>
    <w:rsid w:val="00A0250B"/>
    <w:rsid w:val="00A03F86"/>
    <w:rsid w:val="00A323ED"/>
    <w:rsid w:val="00A36DC4"/>
    <w:rsid w:val="00A72859"/>
    <w:rsid w:val="00A74090"/>
    <w:rsid w:val="00A76732"/>
    <w:rsid w:val="00AA7D5F"/>
    <w:rsid w:val="00AB315B"/>
    <w:rsid w:val="00AB4EA5"/>
    <w:rsid w:val="00AC19DD"/>
    <w:rsid w:val="00AC4FD2"/>
    <w:rsid w:val="00AC6651"/>
    <w:rsid w:val="00AD2F34"/>
    <w:rsid w:val="00AE3E00"/>
    <w:rsid w:val="00B008A9"/>
    <w:rsid w:val="00B03AB5"/>
    <w:rsid w:val="00B05515"/>
    <w:rsid w:val="00B102BC"/>
    <w:rsid w:val="00B111F6"/>
    <w:rsid w:val="00B51C72"/>
    <w:rsid w:val="00B51DD9"/>
    <w:rsid w:val="00B545AC"/>
    <w:rsid w:val="00B84AE5"/>
    <w:rsid w:val="00B95867"/>
    <w:rsid w:val="00BA16A9"/>
    <w:rsid w:val="00BA6832"/>
    <w:rsid w:val="00BC043C"/>
    <w:rsid w:val="00BC3651"/>
    <w:rsid w:val="00C0601C"/>
    <w:rsid w:val="00C06343"/>
    <w:rsid w:val="00C15538"/>
    <w:rsid w:val="00C204A2"/>
    <w:rsid w:val="00C2315C"/>
    <w:rsid w:val="00C56F53"/>
    <w:rsid w:val="00C90FB1"/>
    <w:rsid w:val="00C97B50"/>
    <w:rsid w:val="00CA6945"/>
    <w:rsid w:val="00CB3720"/>
    <w:rsid w:val="00CC3229"/>
    <w:rsid w:val="00CC45D5"/>
    <w:rsid w:val="00CD7A1C"/>
    <w:rsid w:val="00CE79E3"/>
    <w:rsid w:val="00D063EB"/>
    <w:rsid w:val="00D102FB"/>
    <w:rsid w:val="00D10A05"/>
    <w:rsid w:val="00D20F17"/>
    <w:rsid w:val="00D25A01"/>
    <w:rsid w:val="00D644CF"/>
    <w:rsid w:val="00D6587D"/>
    <w:rsid w:val="00D66E6B"/>
    <w:rsid w:val="00D81167"/>
    <w:rsid w:val="00DA6E8B"/>
    <w:rsid w:val="00DB3102"/>
    <w:rsid w:val="00DC1543"/>
    <w:rsid w:val="00DC17CE"/>
    <w:rsid w:val="00DC1E3A"/>
    <w:rsid w:val="00DD3A6B"/>
    <w:rsid w:val="00DD7900"/>
    <w:rsid w:val="00DE1D1C"/>
    <w:rsid w:val="00E13F48"/>
    <w:rsid w:val="00E306BE"/>
    <w:rsid w:val="00E31091"/>
    <w:rsid w:val="00E3671C"/>
    <w:rsid w:val="00E55396"/>
    <w:rsid w:val="00E775F5"/>
    <w:rsid w:val="00E84736"/>
    <w:rsid w:val="00E93A70"/>
    <w:rsid w:val="00EB305B"/>
    <w:rsid w:val="00EC5156"/>
    <w:rsid w:val="00EE1A4B"/>
    <w:rsid w:val="00EF4031"/>
    <w:rsid w:val="00EF620B"/>
    <w:rsid w:val="00F145EA"/>
    <w:rsid w:val="00F16B8F"/>
    <w:rsid w:val="00F17BCB"/>
    <w:rsid w:val="00F37219"/>
    <w:rsid w:val="00F43144"/>
    <w:rsid w:val="00F458D7"/>
    <w:rsid w:val="00F50C26"/>
    <w:rsid w:val="00F57B38"/>
    <w:rsid w:val="00F75F84"/>
    <w:rsid w:val="00F87FF0"/>
    <w:rsid w:val="00FB00E9"/>
    <w:rsid w:val="00FD13C6"/>
    <w:rsid w:val="00FE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B8504"/>
  <w15:chartTrackingRefBased/>
  <w15:docId w15:val="{61D5BB8C-D6A6-456C-B156-8646303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0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1030"/>
  </w:style>
  <w:style w:type="paragraph" w:styleId="a6">
    <w:name w:val="footer"/>
    <w:basedOn w:val="a"/>
    <w:link w:val="a7"/>
    <w:uiPriority w:val="99"/>
    <w:unhideWhenUsed/>
    <w:rsid w:val="007E10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1030"/>
  </w:style>
  <w:style w:type="paragraph" w:styleId="a8">
    <w:name w:val="Normal (Web)"/>
    <w:basedOn w:val="a"/>
    <w:uiPriority w:val="99"/>
    <w:semiHidden/>
    <w:unhideWhenUsed/>
    <w:rsid w:val="00AA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1641C"/>
    <w:pPr>
      <w:spacing w:line="360" w:lineRule="auto"/>
      <w:ind w:left="720" w:firstLine="709"/>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5131">
      <w:bodyDiv w:val="1"/>
      <w:marLeft w:val="0"/>
      <w:marRight w:val="0"/>
      <w:marTop w:val="0"/>
      <w:marBottom w:val="0"/>
      <w:divBdr>
        <w:top w:val="none" w:sz="0" w:space="0" w:color="auto"/>
        <w:left w:val="none" w:sz="0" w:space="0" w:color="auto"/>
        <w:bottom w:val="none" w:sz="0" w:space="0" w:color="auto"/>
        <w:right w:val="none" w:sz="0" w:space="0" w:color="auto"/>
      </w:divBdr>
    </w:div>
    <w:div w:id="100683443">
      <w:bodyDiv w:val="1"/>
      <w:marLeft w:val="0"/>
      <w:marRight w:val="0"/>
      <w:marTop w:val="0"/>
      <w:marBottom w:val="0"/>
      <w:divBdr>
        <w:top w:val="none" w:sz="0" w:space="0" w:color="auto"/>
        <w:left w:val="none" w:sz="0" w:space="0" w:color="auto"/>
        <w:bottom w:val="none" w:sz="0" w:space="0" w:color="auto"/>
        <w:right w:val="none" w:sz="0" w:space="0" w:color="auto"/>
      </w:divBdr>
    </w:div>
    <w:div w:id="291179552">
      <w:bodyDiv w:val="1"/>
      <w:marLeft w:val="0"/>
      <w:marRight w:val="0"/>
      <w:marTop w:val="0"/>
      <w:marBottom w:val="0"/>
      <w:divBdr>
        <w:top w:val="none" w:sz="0" w:space="0" w:color="auto"/>
        <w:left w:val="none" w:sz="0" w:space="0" w:color="auto"/>
        <w:bottom w:val="none" w:sz="0" w:space="0" w:color="auto"/>
        <w:right w:val="none" w:sz="0" w:space="0" w:color="auto"/>
      </w:divBdr>
    </w:div>
    <w:div w:id="353069502">
      <w:bodyDiv w:val="1"/>
      <w:marLeft w:val="0"/>
      <w:marRight w:val="0"/>
      <w:marTop w:val="0"/>
      <w:marBottom w:val="0"/>
      <w:divBdr>
        <w:top w:val="none" w:sz="0" w:space="0" w:color="auto"/>
        <w:left w:val="none" w:sz="0" w:space="0" w:color="auto"/>
        <w:bottom w:val="none" w:sz="0" w:space="0" w:color="auto"/>
        <w:right w:val="none" w:sz="0" w:space="0" w:color="auto"/>
      </w:divBdr>
    </w:div>
    <w:div w:id="372198183">
      <w:bodyDiv w:val="1"/>
      <w:marLeft w:val="0"/>
      <w:marRight w:val="0"/>
      <w:marTop w:val="0"/>
      <w:marBottom w:val="0"/>
      <w:divBdr>
        <w:top w:val="none" w:sz="0" w:space="0" w:color="auto"/>
        <w:left w:val="none" w:sz="0" w:space="0" w:color="auto"/>
        <w:bottom w:val="none" w:sz="0" w:space="0" w:color="auto"/>
        <w:right w:val="none" w:sz="0" w:space="0" w:color="auto"/>
      </w:divBdr>
    </w:div>
    <w:div w:id="383917808">
      <w:bodyDiv w:val="1"/>
      <w:marLeft w:val="0"/>
      <w:marRight w:val="0"/>
      <w:marTop w:val="0"/>
      <w:marBottom w:val="0"/>
      <w:divBdr>
        <w:top w:val="none" w:sz="0" w:space="0" w:color="auto"/>
        <w:left w:val="none" w:sz="0" w:space="0" w:color="auto"/>
        <w:bottom w:val="none" w:sz="0" w:space="0" w:color="auto"/>
        <w:right w:val="none" w:sz="0" w:space="0" w:color="auto"/>
      </w:divBdr>
    </w:div>
    <w:div w:id="446431356">
      <w:bodyDiv w:val="1"/>
      <w:marLeft w:val="0"/>
      <w:marRight w:val="0"/>
      <w:marTop w:val="0"/>
      <w:marBottom w:val="0"/>
      <w:divBdr>
        <w:top w:val="none" w:sz="0" w:space="0" w:color="auto"/>
        <w:left w:val="none" w:sz="0" w:space="0" w:color="auto"/>
        <w:bottom w:val="none" w:sz="0" w:space="0" w:color="auto"/>
        <w:right w:val="none" w:sz="0" w:space="0" w:color="auto"/>
      </w:divBdr>
    </w:div>
    <w:div w:id="461844624">
      <w:bodyDiv w:val="1"/>
      <w:marLeft w:val="0"/>
      <w:marRight w:val="0"/>
      <w:marTop w:val="0"/>
      <w:marBottom w:val="0"/>
      <w:divBdr>
        <w:top w:val="none" w:sz="0" w:space="0" w:color="auto"/>
        <w:left w:val="none" w:sz="0" w:space="0" w:color="auto"/>
        <w:bottom w:val="none" w:sz="0" w:space="0" w:color="auto"/>
        <w:right w:val="none" w:sz="0" w:space="0" w:color="auto"/>
      </w:divBdr>
    </w:div>
    <w:div w:id="521362368">
      <w:bodyDiv w:val="1"/>
      <w:marLeft w:val="0"/>
      <w:marRight w:val="0"/>
      <w:marTop w:val="0"/>
      <w:marBottom w:val="0"/>
      <w:divBdr>
        <w:top w:val="none" w:sz="0" w:space="0" w:color="auto"/>
        <w:left w:val="none" w:sz="0" w:space="0" w:color="auto"/>
        <w:bottom w:val="none" w:sz="0" w:space="0" w:color="auto"/>
        <w:right w:val="none" w:sz="0" w:space="0" w:color="auto"/>
      </w:divBdr>
    </w:div>
    <w:div w:id="529878330">
      <w:bodyDiv w:val="1"/>
      <w:marLeft w:val="0"/>
      <w:marRight w:val="0"/>
      <w:marTop w:val="0"/>
      <w:marBottom w:val="0"/>
      <w:divBdr>
        <w:top w:val="none" w:sz="0" w:space="0" w:color="auto"/>
        <w:left w:val="none" w:sz="0" w:space="0" w:color="auto"/>
        <w:bottom w:val="none" w:sz="0" w:space="0" w:color="auto"/>
        <w:right w:val="none" w:sz="0" w:space="0" w:color="auto"/>
      </w:divBdr>
    </w:div>
    <w:div w:id="653224083">
      <w:bodyDiv w:val="1"/>
      <w:marLeft w:val="0"/>
      <w:marRight w:val="0"/>
      <w:marTop w:val="0"/>
      <w:marBottom w:val="0"/>
      <w:divBdr>
        <w:top w:val="none" w:sz="0" w:space="0" w:color="auto"/>
        <w:left w:val="none" w:sz="0" w:space="0" w:color="auto"/>
        <w:bottom w:val="none" w:sz="0" w:space="0" w:color="auto"/>
        <w:right w:val="none" w:sz="0" w:space="0" w:color="auto"/>
      </w:divBdr>
    </w:div>
    <w:div w:id="656879778">
      <w:bodyDiv w:val="1"/>
      <w:marLeft w:val="0"/>
      <w:marRight w:val="0"/>
      <w:marTop w:val="0"/>
      <w:marBottom w:val="0"/>
      <w:divBdr>
        <w:top w:val="none" w:sz="0" w:space="0" w:color="auto"/>
        <w:left w:val="none" w:sz="0" w:space="0" w:color="auto"/>
        <w:bottom w:val="none" w:sz="0" w:space="0" w:color="auto"/>
        <w:right w:val="none" w:sz="0" w:space="0" w:color="auto"/>
      </w:divBdr>
    </w:div>
    <w:div w:id="689527478">
      <w:bodyDiv w:val="1"/>
      <w:marLeft w:val="0"/>
      <w:marRight w:val="0"/>
      <w:marTop w:val="0"/>
      <w:marBottom w:val="0"/>
      <w:divBdr>
        <w:top w:val="none" w:sz="0" w:space="0" w:color="auto"/>
        <w:left w:val="none" w:sz="0" w:space="0" w:color="auto"/>
        <w:bottom w:val="none" w:sz="0" w:space="0" w:color="auto"/>
        <w:right w:val="none" w:sz="0" w:space="0" w:color="auto"/>
      </w:divBdr>
    </w:div>
    <w:div w:id="704722154">
      <w:bodyDiv w:val="1"/>
      <w:marLeft w:val="0"/>
      <w:marRight w:val="0"/>
      <w:marTop w:val="0"/>
      <w:marBottom w:val="0"/>
      <w:divBdr>
        <w:top w:val="none" w:sz="0" w:space="0" w:color="auto"/>
        <w:left w:val="none" w:sz="0" w:space="0" w:color="auto"/>
        <w:bottom w:val="none" w:sz="0" w:space="0" w:color="auto"/>
        <w:right w:val="none" w:sz="0" w:space="0" w:color="auto"/>
      </w:divBdr>
    </w:div>
    <w:div w:id="720858576">
      <w:bodyDiv w:val="1"/>
      <w:marLeft w:val="0"/>
      <w:marRight w:val="0"/>
      <w:marTop w:val="0"/>
      <w:marBottom w:val="0"/>
      <w:divBdr>
        <w:top w:val="none" w:sz="0" w:space="0" w:color="auto"/>
        <w:left w:val="none" w:sz="0" w:space="0" w:color="auto"/>
        <w:bottom w:val="none" w:sz="0" w:space="0" w:color="auto"/>
        <w:right w:val="none" w:sz="0" w:space="0" w:color="auto"/>
      </w:divBdr>
    </w:div>
    <w:div w:id="777530958">
      <w:bodyDiv w:val="1"/>
      <w:marLeft w:val="0"/>
      <w:marRight w:val="0"/>
      <w:marTop w:val="0"/>
      <w:marBottom w:val="0"/>
      <w:divBdr>
        <w:top w:val="none" w:sz="0" w:space="0" w:color="auto"/>
        <w:left w:val="none" w:sz="0" w:space="0" w:color="auto"/>
        <w:bottom w:val="none" w:sz="0" w:space="0" w:color="auto"/>
        <w:right w:val="none" w:sz="0" w:space="0" w:color="auto"/>
      </w:divBdr>
    </w:div>
    <w:div w:id="796685079">
      <w:bodyDiv w:val="1"/>
      <w:marLeft w:val="0"/>
      <w:marRight w:val="0"/>
      <w:marTop w:val="0"/>
      <w:marBottom w:val="0"/>
      <w:divBdr>
        <w:top w:val="none" w:sz="0" w:space="0" w:color="auto"/>
        <w:left w:val="none" w:sz="0" w:space="0" w:color="auto"/>
        <w:bottom w:val="none" w:sz="0" w:space="0" w:color="auto"/>
        <w:right w:val="none" w:sz="0" w:space="0" w:color="auto"/>
      </w:divBdr>
    </w:div>
    <w:div w:id="840853337">
      <w:bodyDiv w:val="1"/>
      <w:marLeft w:val="0"/>
      <w:marRight w:val="0"/>
      <w:marTop w:val="0"/>
      <w:marBottom w:val="0"/>
      <w:divBdr>
        <w:top w:val="none" w:sz="0" w:space="0" w:color="auto"/>
        <w:left w:val="none" w:sz="0" w:space="0" w:color="auto"/>
        <w:bottom w:val="none" w:sz="0" w:space="0" w:color="auto"/>
        <w:right w:val="none" w:sz="0" w:space="0" w:color="auto"/>
      </w:divBdr>
    </w:div>
    <w:div w:id="850416423">
      <w:bodyDiv w:val="1"/>
      <w:marLeft w:val="0"/>
      <w:marRight w:val="0"/>
      <w:marTop w:val="0"/>
      <w:marBottom w:val="0"/>
      <w:divBdr>
        <w:top w:val="none" w:sz="0" w:space="0" w:color="auto"/>
        <w:left w:val="none" w:sz="0" w:space="0" w:color="auto"/>
        <w:bottom w:val="none" w:sz="0" w:space="0" w:color="auto"/>
        <w:right w:val="none" w:sz="0" w:space="0" w:color="auto"/>
      </w:divBdr>
    </w:div>
    <w:div w:id="860969545">
      <w:bodyDiv w:val="1"/>
      <w:marLeft w:val="0"/>
      <w:marRight w:val="0"/>
      <w:marTop w:val="0"/>
      <w:marBottom w:val="0"/>
      <w:divBdr>
        <w:top w:val="none" w:sz="0" w:space="0" w:color="auto"/>
        <w:left w:val="none" w:sz="0" w:space="0" w:color="auto"/>
        <w:bottom w:val="none" w:sz="0" w:space="0" w:color="auto"/>
        <w:right w:val="none" w:sz="0" w:space="0" w:color="auto"/>
      </w:divBdr>
    </w:div>
    <w:div w:id="920799319">
      <w:bodyDiv w:val="1"/>
      <w:marLeft w:val="0"/>
      <w:marRight w:val="0"/>
      <w:marTop w:val="0"/>
      <w:marBottom w:val="0"/>
      <w:divBdr>
        <w:top w:val="none" w:sz="0" w:space="0" w:color="auto"/>
        <w:left w:val="none" w:sz="0" w:space="0" w:color="auto"/>
        <w:bottom w:val="none" w:sz="0" w:space="0" w:color="auto"/>
        <w:right w:val="none" w:sz="0" w:space="0" w:color="auto"/>
      </w:divBdr>
    </w:div>
    <w:div w:id="956908509">
      <w:bodyDiv w:val="1"/>
      <w:marLeft w:val="0"/>
      <w:marRight w:val="0"/>
      <w:marTop w:val="0"/>
      <w:marBottom w:val="0"/>
      <w:divBdr>
        <w:top w:val="none" w:sz="0" w:space="0" w:color="auto"/>
        <w:left w:val="none" w:sz="0" w:space="0" w:color="auto"/>
        <w:bottom w:val="none" w:sz="0" w:space="0" w:color="auto"/>
        <w:right w:val="none" w:sz="0" w:space="0" w:color="auto"/>
      </w:divBdr>
    </w:div>
    <w:div w:id="964968611">
      <w:bodyDiv w:val="1"/>
      <w:marLeft w:val="0"/>
      <w:marRight w:val="0"/>
      <w:marTop w:val="0"/>
      <w:marBottom w:val="0"/>
      <w:divBdr>
        <w:top w:val="none" w:sz="0" w:space="0" w:color="auto"/>
        <w:left w:val="none" w:sz="0" w:space="0" w:color="auto"/>
        <w:bottom w:val="none" w:sz="0" w:space="0" w:color="auto"/>
        <w:right w:val="none" w:sz="0" w:space="0" w:color="auto"/>
      </w:divBdr>
    </w:div>
    <w:div w:id="977564856">
      <w:bodyDiv w:val="1"/>
      <w:marLeft w:val="0"/>
      <w:marRight w:val="0"/>
      <w:marTop w:val="0"/>
      <w:marBottom w:val="0"/>
      <w:divBdr>
        <w:top w:val="none" w:sz="0" w:space="0" w:color="auto"/>
        <w:left w:val="none" w:sz="0" w:space="0" w:color="auto"/>
        <w:bottom w:val="none" w:sz="0" w:space="0" w:color="auto"/>
        <w:right w:val="none" w:sz="0" w:space="0" w:color="auto"/>
      </w:divBdr>
    </w:div>
    <w:div w:id="1068960106">
      <w:bodyDiv w:val="1"/>
      <w:marLeft w:val="0"/>
      <w:marRight w:val="0"/>
      <w:marTop w:val="0"/>
      <w:marBottom w:val="0"/>
      <w:divBdr>
        <w:top w:val="none" w:sz="0" w:space="0" w:color="auto"/>
        <w:left w:val="none" w:sz="0" w:space="0" w:color="auto"/>
        <w:bottom w:val="none" w:sz="0" w:space="0" w:color="auto"/>
        <w:right w:val="none" w:sz="0" w:space="0" w:color="auto"/>
      </w:divBdr>
    </w:div>
    <w:div w:id="1096557815">
      <w:bodyDiv w:val="1"/>
      <w:marLeft w:val="0"/>
      <w:marRight w:val="0"/>
      <w:marTop w:val="0"/>
      <w:marBottom w:val="0"/>
      <w:divBdr>
        <w:top w:val="none" w:sz="0" w:space="0" w:color="auto"/>
        <w:left w:val="none" w:sz="0" w:space="0" w:color="auto"/>
        <w:bottom w:val="none" w:sz="0" w:space="0" w:color="auto"/>
        <w:right w:val="none" w:sz="0" w:space="0" w:color="auto"/>
      </w:divBdr>
    </w:div>
    <w:div w:id="1107236627">
      <w:bodyDiv w:val="1"/>
      <w:marLeft w:val="0"/>
      <w:marRight w:val="0"/>
      <w:marTop w:val="0"/>
      <w:marBottom w:val="0"/>
      <w:divBdr>
        <w:top w:val="none" w:sz="0" w:space="0" w:color="auto"/>
        <w:left w:val="none" w:sz="0" w:space="0" w:color="auto"/>
        <w:bottom w:val="none" w:sz="0" w:space="0" w:color="auto"/>
        <w:right w:val="none" w:sz="0" w:space="0" w:color="auto"/>
      </w:divBdr>
    </w:div>
    <w:div w:id="1228956294">
      <w:bodyDiv w:val="1"/>
      <w:marLeft w:val="0"/>
      <w:marRight w:val="0"/>
      <w:marTop w:val="0"/>
      <w:marBottom w:val="0"/>
      <w:divBdr>
        <w:top w:val="none" w:sz="0" w:space="0" w:color="auto"/>
        <w:left w:val="none" w:sz="0" w:space="0" w:color="auto"/>
        <w:bottom w:val="none" w:sz="0" w:space="0" w:color="auto"/>
        <w:right w:val="none" w:sz="0" w:space="0" w:color="auto"/>
      </w:divBdr>
    </w:div>
    <w:div w:id="1252934559">
      <w:bodyDiv w:val="1"/>
      <w:marLeft w:val="0"/>
      <w:marRight w:val="0"/>
      <w:marTop w:val="0"/>
      <w:marBottom w:val="0"/>
      <w:divBdr>
        <w:top w:val="none" w:sz="0" w:space="0" w:color="auto"/>
        <w:left w:val="none" w:sz="0" w:space="0" w:color="auto"/>
        <w:bottom w:val="none" w:sz="0" w:space="0" w:color="auto"/>
        <w:right w:val="none" w:sz="0" w:space="0" w:color="auto"/>
      </w:divBdr>
    </w:div>
    <w:div w:id="1272474137">
      <w:bodyDiv w:val="1"/>
      <w:marLeft w:val="0"/>
      <w:marRight w:val="0"/>
      <w:marTop w:val="0"/>
      <w:marBottom w:val="0"/>
      <w:divBdr>
        <w:top w:val="none" w:sz="0" w:space="0" w:color="auto"/>
        <w:left w:val="none" w:sz="0" w:space="0" w:color="auto"/>
        <w:bottom w:val="none" w:sz="0" w:space="0" w:color="auto"/>
        <w:right w:val="none" w:sz="0" w:space="0" w:color="auto"/>
      </w:divBdr>
    </w:div>
    <w:div w:id="1282299089">
      <w:bodyDiv w:val="1"/>
      <w:marLeft w:val="0"/>
      <w:marRight w:val="0"/>
      <w:marTop w:val="0"/>
      <w:marBottom w:val="0"/>
      <w:divBdr>
        <w:top w:val="none" w:sz="0" w:space="0" w:color="auto"/>
        <w:left w:val="none" w:sz="0" w:space="0" w:color="auto"/>
        <w:bottom w:val="none" w:sz="0" w:space="0" w:color="auto"/>
        <w:right w:val="none" w:sz="0" w:space="0" w:color="auto"/>
      </w:divBdr>
    </w:div>
    <w:div w:id="1324435807">
      <w:bodyDiv w:val="1"/>
      <w:marLeft w:val="0"/>
      <w:marRight w:val="0"/>
      <w:marTop w:val="0"/>
      <w:marBottom w:val="0"/>
      <w:divBdr>
        <w:top w:val="none" w:sz="0" w:space="0" w:color="auto"/>
        <w:left w:val="none" w:sz="0" w:space="0" w:color="auto"/>
        <w:bottom w:val="none" w:sz="0" w:space="0" w:color="auto"/>
        <w:right w:val="none" w:sz="0" w:space="0" w:color="auto"/>
      </w:divBdr>
    </w:div>
    <w:div w:id="1324629461">
      <w:bodyDiv w:val="1"/>
      <w:marLeft w:val="0"/>
      <w:marRight w:val="0"/>
      <w:marTop w:val="0"/>
      <w:marBottom w:val="0"/>
      <w:divBdr>
        <w:top w:val="none" w:sz="0" w:space="0" w:color="auto"/>
        <w:left w:val="none" w:sz="0" w:space="0" w:color="auto"/>
        <w:bottom w:val="none" w:sz="0" w:space="0" w:color="auto"/>
        <w:right w:val="none" w:sz="0" w:space="0" w:color="auto"/>
      </w:divBdr>
    </w:div>
    <w:div w:id="1395200829">
      <w:bodyDiv w:val="1"/>
      <w:marLeft w:val="0"/>
      <w:marRight w:val="0"/>
      <w:marTop w:val="0"/>
      <w:marBottom w:val="0"/>
      <w:divBdr>
        <w:top w:val="none" w:sz="0" w:space="0" w:color="auto"/>
        <w:left w:val="none" w:sz="0" w:space="0" w:color="auto"/>
        <w:bottom w:val="none" w:sz="0" w:space="0" w:color="auto"/>
        <w:right w:val="none" w:sz="0" w:space="0" w:color="auto"/>
      </w:divBdr>
    </w:div>
    <w:div w:id="1443109865">
      <w:bodyDiv w:val="1"/>
      <w:marLeft w:val="0"/>
      <w:marRight w:val="0"/>
      <w:marTop w:val="0"/>
      <w:marBottom w:val="0"/>
      <w:divBdr>
        <w:top w:val="none" w:sz="0" w:space="0" w:color="auto"/>
        <w:left w:val="none" w:sz="0" w:space="0" w:color="auto"/>
        <w:bottom w:val="none" w:sz="0" w:space="0" w:color="auto"/>
        <w:right w:val="none" w:sz="0" w:space="0" w:color="auto"/>
      </w:divBdr>
    </w:div>
    <w:div w:id="1593053316">
      <w:bodyDiv w:val="1"/>
      <w:marLeft w:val="0"/>
      <w:marRight w:val="0"/>
      <w:marTop w:val="0"/>
      <w:marBottom w:val="0"/>
      <w:divBdr>
        <w:top w:val="none" w:sz="0" w:space="0" w:color="auto"/>
        <w:left w:val="none" w:sz="0" w:space="0" w:color="auto"/>
        <w:bottom w:val="none" w:sz="0" w:space="0" w:color="auto"/>
        <w:right w:val="none" w:sz="0" w:space="0" w:color="auto"/>
      </w:divBdr>
    </w:div>
    <w:div w:id="1624923492">
      <w:bodyDiv w:val="1"/>
      <w:marLeft w:val="0"/>
      <w:marRight w:val="0"/>
      <w:marTop w:val="0"/>
      <w:marBottom w:val="0"/>
      <w:divBdr>
        <w:top w:val="none" w:sz="0" w:space="0" w:color="auto"/>
        <w:left w:val="none" w:sz="0" w:space="0" w:color="auto"/>
        <w:bottom w:val="none" w:sz="0" w:space="0" w:color="auto"/>
        <w:right w:val="none" w:sz="0" w:space="0" w:color="auto"/>
      </w:divBdr>
    </w:div>
    <w:div w:id="1695838573">
      <w:bodyDiv w:val="1"/>
      <w:marLeft w:val="0"/>
      <w:marRight w:val="0"/>
      <w:marTop w:val="0"/>
      <w:marBottom w:val="0"/>
      <w:divBdr>
        <w:top w:val="none" w:sz="0" w:space="0" w:color="auto"/>
        <w:left w:val="none" w:sz="0" w:space="0" w:color="auto"/>
        <w:bottom w:val="none" w:sz="0" w:space="0" w:color="auto"/>
        <w:right w:val="none" w:sz="0" w:space="0" w:color="auto"/>
      </w:divBdr>
    </w:div>
    <w:div w:id="1727337414">
      <w:bodyDiv w:val="1"/>
      <w:marLeft w:val="0"/>
      <w:marRight w:val="0"/>
      <w:marTop w:val="0"/>
      <w:marBottom w:val="0"/>
      <w:divBdr>
        <w:top w:val="none" w:sz="0" w:space="0" w:color="auto"/>
        <w:left w:val="none" w:sz="0" w:space="0" w:color="auto"/>
        <w:bottom w:val="none" w:sz="0" w:space="0" w:color="auto"/>
        <w:right w:val="none" w:sz="0" w:space="0" w:color="auto"/>
      </w:divBdr>
    </w:div>
    <w:div w:id="1775710707">
      <w:bodyDiv w:val="1"/>
      <w:marLeft w:val="0"/>
      <w:marRight w:val="0"/>
      <w:marTop w:val="0"/>
      <w:marBottom w:val="0"/>
      <w:divBdr>
        <w:top w:val="none" w:sz="0" w:space="0" w:color="auto"/>
        <w:left w:val="none" w:sz="0" w:space="0" w:color="auto"/>
        <w:bottom w:val="none" w:sz="0" w:space="0" w:color="auto"/>
        <w:right w:val="none" w:sz="0" w:space="0" w:color="auto"/>
      </w:divBdr>
    </w:div>
    <w:div w:id="1787038602">
      <w:bodyDiv w:val="1"/>
      <w:marLeft w:val="0"/>
      <w:marRight w:val="0"/>
      <w:marTop w:val="0"/>
      <w:marBottom w:val="0"/>
      <w:divBdr>
        <w:top w:val="none" w:sz="0" w:space="0" w:color="auto"/>
        <w:left w:val="none" w:sz="0" w:space="0" w:color="auto"/>
        <w:bottom w:val="none" w:sz="0" w:space="0" w:color="auto"/>
        <w:right w:val="none" w:sz="0" w:space="0" w:color="auto"/>
      </w:divBdr>
    </w:div>
    <w:div w:id="1799494209">
      <w:bodyDiv w:val="1"/>
      <w:marLeft w:val="0"/>
      <w:marRight w:val="0"/>
      <w:marTop w:val="0"/>
      <w:marBottom w:val="0"/>
      <w:divBdr>
        <w:top w:val="none" w:sz="0" w:space="0" w:color="auto"/>
        <w:left w:val="none" w:sz="0" w:space="0" w:color="auto"/>
        <w:bottom w:val="none" w:sz="0" w:space="0" w:color="auto"/>
        <w:right w:val="none" w:sz="0" w:space="0" w:color="auto"/>
      </w:divBdr>
    </w:div>
    <w:div w:id="1835292713">
      <w:bodyDiv w:val="1"/>
      <w:marLeft w:val="0"/>
      <w:marRight w:val="0"/>
      <w:marTop w:val="0"/>
      <w:marBottom w:val="0"/>
      <w:divBdr>
        <w:top w:val="none" w:sz="0" w:space="0" w:color="auto"/>
        <w:left w:val="none" w:sz="0" w:space="0" w:color="auto"/>
        <w:bottom w:val="none" w:sz="0" w:space="0" w:color="auto"/>
        <w:right w:val="none" w:sz="0" w:space="0" w:color="auto"/>
      </w:divBdr>
    </w:div>
    <w:div w:id="1841651946">
      <w:bodyDiv w:val="1"/>
      <w:marLeft w:val="0"/>
      <w:marRight w:val="0"/>
      <w:marTop w:val="0"/>
      <w:marBottom w:val="0"/>
      <w:divBdr>
        <w:top w:val="none" w:sz="0" w:space="0" w:color="auto"/>
        <w:left w:val="none" w:sz="0" w:space="0" w:color="auto"/>
        <w:bottom w:val="none" w:sz="0" w:space="0" w:color="auto"/>
        <w:right w:val="none" w:sz="0" w:space="0" w:color="auto"/>
      </w:divBdr>
    </w:div>
    <w:div w:id="1847210328">
      <w:bodyDiv w:val="1"/>
      <w:marLeft w:val="0"/>
      <w:marRight w:val="0"/>
      <w:marTop w:val="0"/>
      <w:marBottom w:val="0"/>
      <w:divBdr>
        <w:top w:val="none" w:sz="0" w:space="0" w:color="auto"/>
        <w:left w:val="none" w:sz="0" w:space="0" w:color="auto"/>
        <w:bottom w:val="none" w:sz="0" w:space="0" w:color="auto"/>
        <w:right w:val="none" w:sz="0" w:space="0" w:color="auto"/>
      </w:divBdr>
    </w:div>
    <w:div w:id="1920862547">
      <w:bodyDiv w:val="1"/>
      <w:marLeft w:val="0"/>
      <w:marRight w:val="0"/>
      <w:marTop w:val="0"/>
      <w:marBottom w:val="0"/>
      <w:divBdr>
        <w:top w:val="none" w:sz="0" w:space="0" w:color="auto"/>
        <w:left w:val="none" w:sz="0" w:space="0" w:color="auto"/>
        <w:bottom w:val="none" w:sz="0" w:space="0" w:color="auto"/>
        <w:right w:val="none" w:sz="0" w:space="0" w:color="auto"/>
      </w:divBdr>
    </w:div>
    <w:div w:id="1974217679">
      <w:bodyDiv w:val="1"/>
      <w:marLeft w:val="0"/>
      <w:marRight w:val="0"/>
      <w:marTop w:val="0"/>
      <w:marBottom w:val="0"/>
      <w:divBdr>
        <w:top w:val="none" w:sz="0" w:space="0" w:color="auto"/>
        <w:left w:val="none" w:sz="0" w:space="0" w:color="auto"/>
        <w:bottom w:val="none" w:sz="0" w:space="0" w:color="auto"/>
        <w:right w:val="none" w:sz="0" w:space="0" w:color="auto"/>
      </w:divBdr>
    </w:div>
    <w:div w:id="1976565974">
      <w:bodyDiv w:val="1"/>
      <w:marLeft w:val="0"/>
      <w:marRight w:val="0"/>
      <w:marTop w:val="0"/>
      <w:marBottom w:val="0"/>
      <w:divBdr>
        <w:top w:val="none" w:sz="0" w:space="0" w:color="auto"/>
        <w:left w:val="none" w:sz="0" w:space="0" w:color="auto"/>
        <w:bottom w:val="none" w:sz="0" w:space="0" w:color="auto"/>
        <w:right w:val="none" w:sz="0" w:space="0" w:color="auto"/>
      </w:divBdr>
    </w:div>
    <w:div w:id="1994144187">
      <w:bodyDiv w:val="1"/>
      <w:marLeft w:val="0"/>
      <w:marRight w:val="0"/>
      <w:marTop w:val="0"/>
      <w:marBottom w:val="0"/>
      <w:divBdr>
        <w:top w:val="none" w:sz="0" w:space="0" w:color="auto"/>
        <w:left w:val="none" w:sz="0" w:space="0" w:color="auto"/>
        <w:bottom w:val="none" w:sz="0" w:space="0" w:color="auto"/>
        <w:right w:val="none" w:sz="0" w:space="0" w:color="auto"/>
      </w:divBdr>
    </w:div>
    <w:div w:id="2065714614">
      <w:bodyDiv w:val="1"/>
      <w:marLeft w:val="0"/>
      <w:marRight w:val="0"/>
      <w:marTop w:val="0"/>
      <w:marBottom w:val="0"/>
      <w:divBdr>
        <w:top w:val="none" w:sz="0" w:space="0" w:color="auto"/>
        <w:left w:val="none" w:sz="0" w:space="0" w:color="auto"/>
        <w:bottom w:val="none" w:sz="0" w:space="0" w:color="auto"/>
        <w:right w:val="none" w:sz="0" w:space="0" w:color="auto"/>
      </w:divBdr>
    </w:div>
    <w:div w:id="20943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8;&#1074;&#1072;&#1085;\Desktop\&#1075;&#1088;&#1072;&#1092;&#1080;&#1082;&#1080;%20&#1090;&#1072;&#1073;&#1083;&#1080;&#1094;&#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пациентов по групам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Есть результаты генетического исследования</c:v>
                </c:pt>
              </c:strCache>
            </c:strRef>
          </c:tx>
          <c:spPr>
            <a:solidFill>
              <a:schemeClr val="accent1"/>
            </a:solidFill>
            <a:ln>
              <a:noFill/>
            </a:ln>
            <a:effectLst/>
          </c:spPr>
          <c:invertIfNegative val="0"/>
          <c:cat>
            <c:strRef>
              <c:f>Лист1!$A$2:$A$3</c:f>
              <c:strCache>
                <c:ptCount val="2"/>
                <c:pt idx="0">
                  <c:v>Спорадическая форма</c:v>
                </c:pt>
                <c:pt idx="1">
                  <c:v>Наследственная форма</c:v>
                </c:pt>
              </c:strCache>
            </c:strRef>
          </c:cat>
          <c:val>
            <c:numRef>
              <c:f>Лист1!$B$2:$B$3</c:f>
              <c:numCache>
                <c:formatCode>General</c:formatCode>
                <c:ptCount val="2"/>
                <c:pt idx="0">
                  <c:v>170</c:v>
                </c:pt>
                <c:pt idx="1">
                  <c:v>42</c:v>
                </c:pt>
              </c:numCache>
            </c:numRef>
          </c:val>
          <c:extLst>
            <c:ext xmlns:c16="http://schemas.microsoft.com/office/drawing/2014/chart" uri="{C3380CC4-5D6E-409C-BE32-E72D297353CC}">
              <c16:uniqueId val="{00000000-649C-4984-972A-487372F6E0A6}"/>
            </c:ext>
          </c:extLst>
        </c:ser>
        <c:ser>
          <c:idx val="1"/>
          <c:order val="1"/>
          <c:tx>
            <c:strRef>
              <c:f>Лист1!$C$1</c:f>
              <c:strCache>
                <c:ptCount val="1"/>
                <c:pt idx="0">
                  <c:v>Генетическое исследование не выполнялось</c:v>
                </c:pt>
              </c:strCache>
            </c:strRef>
          </c:tx>
          <c:spPr>
            <a:solidFill>
              <a:schemeClr val="accent2"/>
            </a:solidFill>
            <a:ln>
              <a:noFill/>
            </a:ln>
            <a:effectLst/>
          </c:spPr>
          <c:invertIfNegative val="0"/>
          <c:cat>
            <c:strRef>
              <c:f>Лист1!$A$2:$A$3</c:f>
              <c:strCache>
                <c:ptCount val="2"/>
                <c:pt idx="0">
                  <c:v>Спорадическая форма</c:v>
                </c:pt>
                <c:pt idx="1">
                  <c:v>Наследственная форма</c:v>
                </c:pt>
              </c:strCache>
            </c:strRef>
          </c:cat>
          <c:val>
            <c:numRef>
              <c:f>Лист1!$C$2:$C$3</c:f>
              <c:numCache>
                <c:formatCode>General</c:formatCode>
                <c:ptCount val="2"/>
                <c:pt idx="0">
                  <c:v>128</c:v>
                </c:pt>
                <c:pt idx="1">
                  <c:v>6</c:v>
                </c:pt>
              </c:numCache>
            </c:numRef>
          </c:val>
          <c:extLst>
            <c:ext xmlns:c16="http://schemas.microsoft.com/office/drawing/2014/chart" uri="{C3380CC4-5D6E-409C-BE32-E72D297353CC}">
              <c16:uniqueId val="{00000001-649C-4984-972A-487372F6E0A6}"/>
            </c:ext>
          </c:extLst>
        </c:ser>
        <c:dLbls>
          <c:showLegendKey val="0"/>
          <c:showVal val="0"/>
          <c:showCatName val="0"/>
          <c:showSerName val="0"/>
          <c:showPercent val="0"/>
          <c:showBubbleSize val="0"/>
        </c:dLbls>
        <c:gapWidth val="219"/>
        <c:overlap val="-27"/>
        <c:axId val="566508464"/>
        <c:axId val="566508880"/>
      </c:barChart>
      <c:catAx>
        <c:axId val="56650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508880"/>
        <c:crosses val="autoZero"/>
        <c:auto val="1"/>
        <c:lblAlgn val="ctr"/>
        <c:lblOffset val="100"/>
        <c:noMultiLvlLbl val="0"/>
      </c:catAx>
      <c:valAx>
        <c:axId val="56650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650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[графики таблицы.xlsx]Парақ1!Сводная таблица1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пациентов в зависимости</a:t>
            </a:r>
            <a:r>
              <a:rPr lang="ru-RU" baseline="0"/>
              <a:t> от исхода</a:t>
            </a:r>
            <a:endParaRPr lang="ru-RU"/>
          </a:p>
        </c:rich>
      </c:tx>
      <c:layout>
        <c:manualLayout>
          <c:xMode val="edge"/>
          <c:yMode val="edge"/>
          <c:x val="0.17567881669307978"/>
          <c:y val="3.8709677419354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Парақ1!$F$8</c:f>
              <c:strCache>
                <c:ptCount val="1"/>
                <c:pt idx="0">
                  <c:v>Итог</c:v>
                </c:pt>
              </c:strCache>
            </c:strRef>
          </c:tx>
          <c:spPr>
            <a:solidFill>
              <a:schemeClr val="accent1"/>
            </a:solidFill>
            <a:ln>
              <a:noFill/>
            </a:ln>
            <a:effectLst/>
          </c:spPr>
          <c:invertIfNegative val="0"/>
          <c:cat>
            <c:strRef>
              <c:f>Парақ1!$E$9:$E$14</c:f>
              <c:strCache>
                <c:ptCount val="5"/>
                <c:pt idx="0">
                  <c:v>биохимическая ремиссия</c:v>
                </c:pt>
                <c:pt idx="1">
                  <c:v>быстрый рост кальцитонина</c:v>
                </c:pt>
                <c:pt idx="2">
                  <c:v>рост кальцитонина с периодом удвоения более двух лет</c:v>
                </c:pt>
                <c:pt idx="3">
                  <c:v>смерть</c:v>
                </c:pt>
                <c:pt idx="4">
                  <c:v>стабильный уровень кальцитонина</c:v>
                </c:pt>
              </c:strCache>
            </c:strRef>
          </c:cat>
          <c:val>
            <c:numRef>
              <c:f>Парақ1!$F$9:$F$14</c:f>
              <c:numCache>
                <c:formatCode>General</c:formatCode>
                <c:ptCount val="5"/>
                <c:pt idx="0">
                  <c:v>245</c:v>
                </c:pt>
                <c:pt idx="1">
                  <c:v>24</c:v>
                </c:pt>
                <c:pt idx="2">
                  <c:v>25</c:v>
                </c:pt>
                <c:pt idx="3">
                  <c:v>10</c:v>
                </c:pt>
                <c:pt idx="4">
                  <c:v>42</c:v>
                </c:pt>
              </c:numCache>
            </c:numRef>
          </c:val>
          <c:extLst>
            <c:ext xmlns:c16="http://schemas.microsoft.com/office/drawing/2014/chart" uri="{C3380CC4-5D6E-409C-BE32-E72D297353CC}">
              <c16:uniqueId val="{00000000-46BC-43C4-8ABF-CE947DA3D57A}"/>
            </c:ext>
          </c:extLst>
        </c:ser>
        <c:dLbls>
          <c:showLegendKey val="0"/>
          <c:showVal val="0"/>
          <c:showCatName val="0"/>
          <c:showSerName val="0"/>
          <c:showPercent val="0"/>
          <c:showBubbleSize val="0"/>
        </c:dLbls>
        <c:gapWidth val="219"/>
        <c:overlap val="-27"/>
        <c:axId val="2007483823"/>
        <c:axId val="2007484655"/>
      </c:barChart>
      <c:catAx>
        <c:axId val="2007483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484655"/>
        <c:crosses val="autoZero"/>
        <c:auto val="1"/>
        <c:lblAlgn val="ctr"/>
        <c:lblOffset val="100"/>
        <c:noMultiLvlLbl val="0"/>
      </c:catAx>
      <c:valAx>
        <c:axId val="2007484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48382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a:glow>
        <a:srgbClr val="FF0000">
          <a:alpha val="0"/>
        </a:srgbClr>
      </a:glow>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Нарушение подвижности голосовых связок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Парез</c:v>
                </c:pt>
              </c:strCache>
            </c:strRef>
          </c:tx>
          <c:spPr>
            <a:solidFill>
              <a:schemeClr val="accent1"/>
            </a:solidFill>
            <a:ln>
              <a:noFill/>
            </a:ln>
            <a:effectLst/>
          </c:spPr>
          <c:invertIfNegative val="0"/>
          <c:cat>
            <c:strRef>
              <c:f>Лист1!$A$2:$A$3</c:f>
              <c:strCache>
                <c:ptCount val="2"/>
                <c:pt idx="0">
                  <c:v>ТЭ</c:v>
                </c:pt>
                <c:pt idx="1">
                  <c:v>ГТЭ</c:v>
                </c:pt>
              </c:strCache>
            </c:strRef>
          </c:cat>
          <c:val>
            <c:numRef>
              <c:f>Лист1!$B$2:$B$3</c:f>
              <c:numCache>
                <c:formatCode>General</c:formatCode>
                <c:ptCount val="2"/>
                <c:pt idx="0">
                  <c:v>30</c:v>
                </c:pt>
                <c:pt idx="1">
                  <c:v>6</c:v>
                </c:pt>
              </c:numCache>
            </c:numRef>
          </c:val>
          <c:extLst>
            <c:ext xmlns:c16="http://schemas.microsoft.com/office/drawing/2014/chart" uri="{C3380CC4-5D6E-409C-BE32-E72D297353CC}">
              <c16:uniqueId val="{00000000-7C45-4356-8231-900AC37799B6}"/>
            </c:ext>
          </c:extLst>
        </c:ser>
        <c:ser>
          <c:idx val="1"/>
          <c:order val="1"/>
          <c:tx>
            <c:strRef>
              <c:f>Лист1!$C$1</c:f>
              <c:strCache>
                <c:ptCount val="1"/>
                <c:pt idx="0">
                  <c:v>Все случаи нарушения голоса нарушения голоса</c:v>
                </c:pt>
              </c:strCache>
            </c:strRef>
          </c:tx>
          <c:spPr>
            <a:solidFill>
              <a:schemeClr val="accent2"/>
            </a:solidFill>
            <a:ln>
              <a:noFill/>
            </a:ln>
            <a:effectLst/>
          </c:spPr>
          <c:invertIfNegative val="0"/>
          <c:cat>
            <c:strRef>
              <c:f>Лист1!$A$2:$A$3</c:f>
              <c:strCache>
                <c:ptCount val="2"/>
                <c:pt idx="0">
                  <c:v>ТЭ</c:v>
                </c:pt>
                <c:pt idx="1">
                  <c:v>ГТЭ</c:v>
                </c:pt>
              </c:strCache>
            </c:strRef>
          </c:cat>
          <c:val>
            <c:numRef>
              <c:f>Лист1!$C$2:$C$3</c:f>
              <c:numCache>
                <c:formatCode>General</c:formatCode>
                <c:ptCount val="2"/>
                <c:pt idx="0">
                  <c:v>46</c:v>
                </c:pt>
                <c:pt idx="1">
                  <c:v>10</c:v>
                </c:pt>
              </c:numCache>
            </c:numRef>
          </c:val>
          <c:extLst>
            <c:ext xmlns:c16="http://schemas.microsoft.com/office/drawing/2014/chart" uri="{C3380CC4-5D6E-409C-BE32-E72D297353CC}">
              <c16:uniqueId val="{00000001-7C45-4356-8231-900AC37799B6}"/>
            </c:ext>
          </c:extLst>
        </c:ser>
        <c:dLbls>
          <c:showLegendKey val="0"/>
          <c:showVal val="0"/>
          <c:showCatName val="0"/>
          <c:showSerName val="0"/>
          <c:showPercent val="0"/>
          <c:showBubbleSize val="0"/>
        </c:dLbls>
        <c:gapWidth val="182"/>
        <c:axId val="993379151"/>
        <c:axId val="993378735"/>
      </c:barChart>
      <c:catAx>
        <c:axId val="9933791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378735"/>
        <c:crosses val="autoZero"/>
        <c:auto val="1"/>
        <c:lblAlgn val="ctr"/>
        <c:lblOffset val="100"/>
        <c:noMultiLvlLbl val="0"/>
      </c:catAx>
      <c:valAx>
        <c:axId val="9933787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379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5447-7087-4836-A959-E12BE399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8910</Words>
  <Characters>50791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Зиборов</dc:creator>
  <cp:keywords/>
  <dc:description/>
  <cp:lastModifiedBy>Иван Зиборов</cp:lastModifiedBy>
  <cp:revision>4</cp:revision>
  <dcterms:created xsi:type="dcterms:W3CDTF">2022-05-26T12:04:00Z</dcterms:created>
  <dcterms:modified xsi:type="dcterms:W3CDTF">2022-05-26T12:24:00Z</dcterms:modified>
</cp:coreProperties>
</file>