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C0EE8" w:rsidRDefault="14EE7DEF" w:rsidP="14EE7DEF">
      <w:pPr>
        <w:spacing w:before="240" w:after="240"/>
        <w:jc w:val="center"/>
      </w:pPr>
      <w:r w:rsidRPr="14EE7DEF">
        <w:t>Федеральное государственное бюджетное образовательное учреждение высшего образования</w:t>
      </w:r>
    </w:p>
    <w:p w14:paraId="00000002" w14:textId="77777777" w:rsidR="00DC0EE8" w:rsidRDefault="14EE7DEF" w:rsidP="14EE7DEF">
      <w:pPr>
        <w:spacing w:before="240" w:after="240"/>
        <w:jc w:val="center"/>
      </w:pPr>
      <w:r w:rsidRPr="14EE7DEF">
        <w:t xml:space="preserve"> «САНКТ-ПЕТЕРБУРГСКИЙ ГОСУДАРСТВЕННЫЙ УНИВЕРСИТЕТ»</w:t>
      </w:r>
    </w:p>
    <w:p w14:paraId="3FA8C910" w14:textId="77777777" w:rsidR="00DC0EE8" w:rsidRDefault="00DF7D84" w:rsidP="14EE7DEF">
      <w:pPr>
        <w:spacing w:before="240" w:after="240"/>
        <w:jc w:val="center"/>
        <w:rPr>
          <w:b/>
          <w:bCs/>
        </w:rPr>
      </w:pPr>
      <w:r w:rsidRPr="14EE7DEF">
        <w:rPr>
          <w:b/>
          <w:bCs/>
        </w:rPr>
        <w:t>Направление «Медицина»</w:t>
      </w:r>
    </w:p>
    <w:p w14:paraId="00000003" w14:textId="77777777" w:rsidR="00DC0EE8" w:rsidRDefault="00DF7D84" w:rsidP="14EE7DEF">
      <w:pPr>
        <w:spacing w:before="240" w:after="240"/>
        <w:jc w:val="center"/>
      </w:pPr>
      <w:r w:rsidRPr="14EE7DEF">
        <w:rPr>
          <w:b/>
          <w:bCs/>
        </w:rPr>
        <w:t>Кафедра онкологии</w:t>
      </w:r>
    </w:p>
    <w:p w14:paraId="00000004" w14:textId="77777777" w:rsidR="00DC0EE8" w:rsidRDefault="14EE7DEF" w:rsidP="14EE7DEF">
      <w:pPr>
        <w:spacing w:before="240" w:after="240"/>
        <w:jc w:val="left"/>
        <w:rPr>
          <w:b/>
          <w:bCs/>
        </w:rPr>
      </w:pPr>
      <w:r w:rsidRPr="14EE7DEF">
        <w:rPr>
          <w:b/>
          <w:bCs/>
        </w:rPr>
        <w:t xml:space="preserve"> </w:t>
      </w:r>
    </w:p>
    <w:p w14:paraId="00000005" w14:textId="77777777" w:rsidR="00DC0EE8" w:rsidRDefault="14EE7DEF" w:rsidP="14EE7DEF">
      <w:pPr>
        <w:spacing w:before="240" w:after="240"/>
        <w:jc w:val="center"/>
        <w:rPr>
          <w:b/>
          <w:bCs/>
        </w:rPr>
      </w:pPr>
      <w:r w:rsidRPr="14EE7DEF">
        <w:rPr>
          <w:b/>
          <w:bCs/>
        </w:rPr>
        <w:t>ВЫПУСКНАЯ КВАЛИФИКАЦИОННАЯ РАБОТА</w:t>
      </w:r>
    </w:p>
    <w:p w14:paraId="00000006" w14:textId="77777777" w:rsidR="00DC0EE8" w:rsidRDefault="14EE7DEF" w:rsidP="14EE7DEF">
      <w:pPr>
        <w:spacing w:before="240" w:after="240"/>
      </w:pPr>
      <w:r w:rsidRPr="14EE7DEF">
        <w:rPr>
          <w:b/>
          <w:bCs/>
        </w:rPr>
        <w:t>НА ТЕМУ: Клинико-биохимические предикторы токсичности иммунотерапии рака.</w:t>
      </w:r>
      <w:r w:rsidRPr="14EE7DEF">
        <w:t xml:space="preserve"> </w:t>
      </w:r>
    </w:p>
    <w:p w14:paraId="00000007" w14:textId="77777777" w:rsidR="00DC0EE8" w:rsidRDefault="14EE7DEF" w:rsidP="14EE7DEF">
      <w:pPr>
        <w:spacing w:before="240" w:after="240"/>
      </w:pPr>
      <w:r w:rsidRPr="14EE7DEF">
        <w:t xml:space="preserve"> </w:t>
      </w:r>
    </w:p>
    <w:p w14:paraId="00000008" w14:textId="77777777" w:rsidR="00DC0EE8" w:rsidRDefault="14EE7DEF" w:rsidP="14EE7DEF">
      <w:pPr>
        <w:spacing w:before="240" w:after="240"/>
        <w:jc w:val="right"/>
      </w:pPr>
      <w:r w:rsidRPr="14EE7DEF">
        <w:t xml:space="preserve"> </w:t>
      </w:r>
    </w:p>
    <w:p w14:paraId="00000009" w14:textId="77777777" w:rsidR="00DC0EE8" w:rsidRDefault="14EE7DEF" w:rsidP="14EE7DEF">
      <w:pPr>
        <w:spacing w:before="240" w:after="240"/>
        <w:jc w:val="right"/>
      </w:pPr>
      <w:r w:rsidRPr="14EE7DEF">
        <w:t xml:space="preserve">Выполнила студентка </w:t>
      </w:r>
      <w:proofErr w:type="gramStart"/>
      <w:r w:rsidRPr="14EE7DEF">
        <w:t>16.С</w:t>
      </w:r>
      <w:proofErr w:type="gramEnd"/>
      <w:r w:rsidRPr="14EE7DEF">
        <w:t xml:space="preserve">07-м группы </w:t>
      </w:r>
    </w:p>
    <w:p w14:paraId="0000000A" w14:textId="77777777" w:rsidR="00DC0EE8" w:rsidRDefault="14EE7DEF" w:rsidP="14EE7DEF">
      <w:pPr>
        <w:spacing w:before="240" w:after="240"/>
        <w:jc w:val="right"/>
        <w:rPr>
          <w:b/>
          <w:bCs/>
        </w:rPr>
      </w:pPr>
      <w:r w:rsidRPr="14EE7DEF">
        <w:rPr>
          <w:b/>
          <w:bCs/>
        </w:rPr>
        <w:t>Наймушина Полина Андреевна</w:t>
      </w:r>
    </w:p>
    <w:p w14:paraId="0000000B" w14:textId="77777777" w:rsidR="00DC0EE8" w:rsidRDefault="14EE7DEF" w:rsidP="14EE7DEF">
      <w:pPr>
        <w:spacing w:before="240" w:after="240"/>
        <w:jc w:val="right"/>
        <w:rPr>
          <w:b/>
          <w:bCs/>
        </w:rPr>
      </w:pPr>
      <w:r w:rsidRPr="14EE7DEF">
        <w:t>Научный руководитель:</w:t>
      </w:r>
      <w:r w:rsidRPr="14EE7DEF">
        <w:rPr>
          <w:b/>
          <w:bCs/>
        </w:rPr>
        <w:t xml:space="preserve"> </w:t>
      </w:r>
    </w:p>
    <w:p w14:paraId="0000000D" w14:textId="77777777" w:rsidR="00DC0EE8" w:rsidRDefault="00DF7D84" w:rsidP="14EE7DEF">
      <w:pPr>
        <w:spacing w:before="240" w:after="240"/>
        <w:jc w:val="right"/>
      </w:pPr>
      <w:r w:rsidRPr="14EE7DEF">
        <w:rPr>
          <w:b/>
          <w:bCs/>
        </w:rPr>
        <w:t>к.м.н., доцент Жукова Наталья Владимировна</w:t>
      </w:r>
    </w:p>
    <w:p w14:paraId="0000000E" w14:textId="77777777" w:rsidR="00DC0EE8" w:rsidRDefault="00DC0EE8">
      <w:pPr>
        <w:spacing w:before="240" w:after="240"/>
      </w:pPr>
    </w:p>
    <w:p w14:paraId="0000000F" w14:textId="77777777" w:rsidR="00DC0EE8" w:rsidRDefault="14EE7DEF" w:rsidP="14EE7DEF">
      <w:pPr>
        <w:spacing w:before="240" w:after="240"/>
        <w:jc w:val="center"/>
      </w:pPr>
      <w:r w:rsidRPr="14EE7DEF">
        <w:t>Санкт-Петербург</w:t>
      </w:r>
    </w:p>
    <w:p w14:paraId="00000010" w14:textId="77777777" w:rsidR="00DC0EE8" w:rsidRDefault="14EE7DEF" w:rsidP="14EE7DEF">
      <w:pPr>
        <w:spacing w:before="240" w:after="240"/>
        <w:jc w:val="center"/>
      </w:pPr>
      <w:r w:rsidRPr="14EE7DEF">
        <w:t>2022 год</w:t>
      </w:r>
    </w:p>
    <w:p w14:paraId="6AA6D161" w14:textId="30562ACD" w:rsidR="14EE7DEF" w:rsidRDefault="14EE7DEF" w:rsidP="14EE7DEF">
      <w:r w:rsidRPr="14EE7DEF">
        <w:br w:type="page"/>
      </w:r>
    </w:p>
    <w:p w14:paraId="6D3FE724" w14:textId="37211A8C" w:rsidR="14EE7DEF" w:rsidRDefault="14EE7DEF" w:rsidP="14EE7DEF">
      <w:pPr>
        <w:spacing w:before="240" w:after="240"/>
        <w:jc w:val="center"/>
      </w:pPr>
    </w:p>
    <w:p w14:paraId="00000011" w14:textId="77777777" w:rsidR="00DC0EE8" w:rsidRDefault="00DF7D84">
      <w:pPr>
        <w:pStyle w:val="1"/>
        <w:rPr>
          <w:sz w:val="28"/>
          <w:szCs w:val="28"/>
        </w:rPr>
      </w:pPr>
      <w:bookmarkStart w:id="0" w:name="_8kpl1yj6e1mp" w:colFirst="0" w:colLast="0"/>
      <w:bookmarkEnd w:id="0"/>
      <w:r w:rsidRPr="14EE7DEF">
        <w:rPr>
          <w:bCs/>
        </w:rPr>
        <w:t>Список сокращений</w:t>
      </w:r>
    </w:p>
    <w:p w14:paraId="00000012" w14:textId="77777777" w:rsidR="00DC0EE8" w:rsidRDefault="14EE7DEF">
      <w:r w:rsidRPr="14EE7DEF">
        <w:t>БРВ — безрецидивная выживаемость</w:t>
      </w:r>
    </w:p>
    <w:p w14:paraId="00000013" w14:textId="77777777" w:rsidR="00DC0EE8" w:rsidRDefault="14EE7DEF">
      <w:r w:rsidRPr="14EE7DEF">
        <w:t>БЦЖ — бацилла Кальмета — Герена</w:t>
      </w:r>
    </w:p>
    <w:p w14:paraId="00000014" w14:textId="77777777" w:rsidR="00DC0EE8" w:rsidRDefault="14EE7DEF">
      <w:r w:rsidRPr="14EE7DEF">
        <w:t>ВБП — выживаемость без прогрессирования</w:t>
      </w:r>
    </w:p>
    <w:p w14:paraId="00000015" w14:textId="77777777" w:rsidR="00DC0EE8" w:rsidRDefault="14EE7DEF">
      <w:r w:rsidRPr="14EE7DEF">
        <w:t>ДИ — доверительный интервал</w:t>
      </w:r>
    </w:p>
    <w:p w14:paraId="00000016" w14:textId="77777777" w:rsidR="00DC0EE8" w:rsidRDefault="14EE7DEF">
      <w:r w:rsidRPr="14EE7DEF">
        <w:t>ИКТ — ингибиторы иммунных контрольных точек</w:t>
      </w:r>
    </w:p>
    <w:p w14:paraId="00000017" w14:textId="77777777" w:rsidR="00DC0EE8" w:rsidRDefault="14EE7DEF">
      <w:r w:rsidRPr="14EE7DEF">
        <w:t>ИЛ — интерлейкин</w:t>
      </w:r>
    </w:p>
    <w:p w14:paraId="00000018" w14:textId="77777777" w:rsidR="00DC0EE8" w:rsidRDefault="14EE7DEF">
      <w:r w:rsidRPr="14EE7DEF">
        <w:t>ИМТ — индекс массы тела</w:t>
      </w:r>
    </w:p>
    <w:p w14:paraId="00000019" w14:textId="77777777" w:rsidR="00DC0EE8" w:rsidRDefault="14EE7DEF">
      <w:r w:rsidRPr="14EE7DEF">
        <w:t>ИОНЯ — иммуноопосредованные нежелательные явления</w:t>
      </w:r>
    </w:p>
    <w:p w14:paraId="0000001A" w14:textId="77777777" w:rsidR="00DC0EE8" w:rsidRDefault="14EE7DEF">
      <w:r w:rsidRPr="14EE7DEF">
        <w:t>КОП — криптогенная организующаяся пневмония</w:t>
      </w:r>
    </w:p>
    <w:p w14:paraId="0000001B" w14:textId="77777777" w:rsidR="00DC0EE8" w:rsidRDefault="14EE7DEF">
      <w:r w:rsidRPr="14EE7DEF">
        <w:t>ЛДГ — лактатдегидрогеназа</w:t>
      </w:r>
    </w:p>
    <w:p w14:paraId="0000001C" w14:textId="77777777" w:rsidR="00DC0EE8" w:rsidRDefault="14EE7DEF">
      <w:r w:rsidRPr="14EE7DEF">
        <w:t>МРТ — магнитно-резонансная томография</w:t>
      </w:r>
    </w:p>
    <w:p w14:paraId="0000001D" w14:textId="77777777" w:rsidR="00DC0EE8" w:rsidRDefault="14EE7DEF">
      <w:r w:rsidRPr="14EE7DEF">
        <w:t>НМРЛ — немелкоклеточный рак легких</w:t>
      </w:r>
    </w:p>
    <w:p w14:paraId="0000001E" w14:textId="77777777" w:rsidR="00DC0EE8" w:rsidRDefault="14EE7DEF">
      <w:r w:rsidRPr="14EE7DEF">
        <w:t>НЯ — нежелательные явления</w:t>
      </w:r>
    </w:p>
    <w:p w14:paraId="0000001F" w14:textId="77777777" w:rsidR="00DC0EE8" w:rsidRDefault="14EE7DEF">
      <w:r w:rsidRPr="14EE7DEF">
        <w:t>ОВ — общая выживаемость</w:t>
      </w:r>
    </w:p>
    <w:p w14:paraId="5FCE2E70" w14:textId="77777777" w:rsidR="00DC0EE8" w:rsidRDefault="00DF7D84" w:rsidP="099E6C14">
      <w:r>
        <w:t>ПНП — периферическая нейропатия</w:t>
      </w:r>
    </w:p>
    <w:p w14:paraId="00000020" w14:textId="77777777" w:rsidR="00DC0EE8" w:rsidRDefault="00DF7D84">
      <w:r>
        <w:t xml:space="preserve">ППЦ </w:t>
      </w:r>
      <w:r w:rsidRPr="14EE7DEF">
        <w:t>— положительная предиктивная ценность</w:t>
      </w:r>
    </w:p>
    <w:p w14:paraId="00000021" w14:textId="77777777" w:rsidR="00DC0EE8" w:rsidRDefault="14EE7DEF">
      <w:r w:rsidRPr="14EE7DEF">
        <w:t>СРБ — С-реактивный белок</w:t>
      </w:r>
    </w:p>
    <w:p w14:paraId="00000022" w14:textId="77777777" w:rsidR="00DC0EE8" w:rsidRDefault="14EE7DEF">
      <w:r w:rsidRPr="14EE7DEF">
        <w:t>ФЭГДС — фиброэзофагогастроскопия</w:t>
      </w:r>
    </w:p>
    <w:p w14:paraId="00000023" w14:textId="77777777" w:rsidR="00DC0EE8" w:rsidRDefault="14EE7DEF">
      <w:r w:rsidRPr="14EE7DEF">
        <w:t>ЧОО — частота объективного ответа</w:t>
      </w:r>
    </w:p>
    <w:p w14:paraId="00000024" w14:textId="77777777" w:rsidR="00DC0EE8" w:rsidRDefault="14EE7DEF">
      <w:r w:rsidRPr="14EE7DEF">
        <w:t>ЩЖ — щитовидная железа</w:t>
      </w:r>
    </w:p>
    <w:p w14:paraId="00000025" w14:textId="77777777" w:rsidR="00DC0EE8" w:rsidRDefault="14EE7DEF">
      <w:r w:rsidRPr="14EE7DEF">
        <w:t>CAR-T — Chimeric Antigen Receptor — CAR, T — Т-лимфоцит, химерный рецептор антигена Т-лимфоцита</w:t>
      </w:r>
    </w:p>
    <w:p w14:paraId="00000026" w14:textId="77777777" w:rsidR="00DC0EE8" w:rsidRDefault="14EE7DEF">
      <w:r w:rsidRPr="14EE7DEF">
        <w:t>CPS — combined positive score, отношение количества клеток с экспрессией PD-L1 в опухоли, лимфоцитах, макрофагах к общему количеству опухолевых клеток, умноженное на 100</w:t>
      </w:r>
    </w:p>
    <w:p w14:paraId="00000027" w14:textId="77777777" w:rsidR="00DC0EE8" w:rsidRPr="00DF7D84" w:rsidRDefault="14EE7DEF" w:rsidP="14EE7DEF">
      <w:pPr>
        <w:rPr>
          <w:lang w:val="en-US"/>
        </w:rPr>
      </w:pPr>
      <w:r w:rsidRPr="00DF7D84">
        <w:rPr>
          <w:lang w:val="en-US"/>
        </w:rPr>
        <w:t xml:space="preserve">CRT — Classification and Regression Trees, </w:t>
      </w:r>
      <w:r w:rsidRPr="14EE7DEF">
        <w:t>деревья</w:t>
      </w:r>
      <w:r w:rsidRPr="00DF7D84">
        <w:rPr>
          <w:lang w:val="en-US"/>
        </w:rPr>
        <w:t xml:space="preserve"> </w:t>
      </w:r>
      <w:r w:rsidRPr="14EE7DEF">
        <w:t>классификации</w:t>
      </w:r>
      <w:r w:rsidRPr="00DF7D84">
        <w:rPr>
          <w:lang w:val="en-US"/>
        </w:rPr>
        <w:t xml:space="preserve"> </w:t>
      </w:r>
      <w:r w:rsidRPr="14EE7DEF">
        <w:t>и</w:t>
      </w:r>
      <w:r w:rsidRPr="00DF7D84">
        <w:rPr>
          <w:lang w:val="en-US"/>
        </w:rPr>
        <w:t xml:space="preserve"> </w:t>
      </w:r>
      <w:r w:rsidRPr="14EE7DEF">
        <w:t>регрессии</w:t>
      </w:r>
    </w:p>
    <w:p w14:paraId="00000028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lastRenderedPageBreak/>
        <w:t xml:space="preserve">CTCAE — Common Terminology Criteria for Adverse Events, </w:t>
      </w:r>
      <w:r w:rsidRPr="14EE7DEF">
        <w:t>Общие</w:t>
      </w:r>
      <w:r w:rsidRPr="00DF7D84">
        <w:rPr>
          <w:lang w:val="en-US"/>
        </w:rPr>
        <w:t xml:space="preserve"> </w:t>
      </w:r>
      <w:r w:rsidRPr="14EE7DEF">
        <w:t>терминологические</w:t>
      </w:r>
      <w:r w:rsidRPr="00DF7D84">
        <w:rPr>
          <w:lang w:val="en-US"/>
        </w:rPr>
        <w:t xml:space="preserve"> </w:t>
      </w:r>
      <w:r w:rsidRPr="14EE7DEF">
        <w:t>критерии</w:t>
      </w:r>
      <w:r w:rsidRPr="00DF7D84">
        <w:rPr>
          <w:lang w:val="en-US"/>
        </w:rPr>
        <w:t xml:space="preserve"> </w:t>
      </w:r>
      <w:r w:rsidRPr="14EE7DEF">
        <w:t>неблагоприятных</w:t>
      </w:r>
      <w:r w:rsidRPr="00DF7D84">
        <w:rPr>
          <w:lang w:val="en-US"/>
        </w:rPr>
        <w:t xml:space="preserve"> </w:t>
      </w:r>
      <w:r w:rsidRPr="14EE7DEF">
        <w:t>эффектов</w:t>
      </w:r>
    </w:p>
    <w:p w14:paraId="00000029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CTLA-4 — cytotoxic T lymphocyte antigen 4, </w:t>
      </w:r>
      <w:r w:rsidRPr="14EE7DEF">
        <w:t>антиген</w:t>
      </w:r>
      <w:r w:rsidRPr="00DF7D84">
        <w:rPr>
          <w:lang w:val="en-US"/>
        </w:rPr>
        <w:t xml:space="preserve"> </w:t>
      </w:r>
      <w:r w:rsidRPr="14EE7DEF">
        <w:t>цитотоксического</w:t>
      </w:r>
      <w:r w:rsidRPr="00DF7D84">
        <w:rPr>
          <w:lang w:val="en-US"/>
        </w:rPr>
        <w:t xml:space="preserve"> </w:t>
      </w:r>
      <w:r w:rsidRPr="14EE7DEF">
        <w:t>Т</w:t>
      </w:r>
      <w:r w:rsidRPr="00DF7D84">
        <w:rPr>
          <w:lang w:val="en-US"/>
        </w:rPr>
        <w:t>-</w:t>
      </w:r>
      <w:r w:rsidRPr="14EE7DEF">
        <w:t>лимфоцита</w:t>
      </w:r>
      <w:r w:rsidRPr="00DF7D84">
        <w:rPr>
          <w:lang w:val="en-US"/>
        </w:rPr>
        <w:t xml:space="preserve"> 4</w:t>
      </w:r>
    </w:p>
    <w:p w14:paraId="0000002A" w14:textId="77777777" w:rsidR="00DC0EE8" w:rsidRDefault="14EE7DEF">
      <w:r w:rsidRPr="14EE7DEF">
        <w:t>ECOG-шкала — Eastern Cooperative Oncology Group, Восточная объединенная группа онкологов (шкала для оценки состояния онкологических больных)</w:t>
      </w:r>
    </w:p>
    <w:p w14:paraId="0000002B" w14:textId="77777777" w:rsidR="00DC0EE8" w:rsidRDefault="14EE7DEF">
      <w:r w:rsidRPr="14EE7DEF">
        <w:t>ESMO — European Society of Medical Oncology, Европейское Общество Медицинской Онкологии</w:t>
      </w:r>
    </w:p>
    <w:p w14:paraId="0000002C" w14:textId="77777777" w:rsidR="00DC0EE8" w:rsidRDefault="14EE7DEF">
      <w:r w:rsidRPr="14EE7DEF">
        <w:t>FDA — Food and Drug Administretion, Управление по санитарному надзору за качеством пищевых продуктов и медикаментов</w:t>
      </w:r>
    </w:p>
    <w:p w14:paraId="0000002D" w14:textId="77777777" w:rsidR="00DC0EE8" w:rsidRDefault="14EE7DEF">
      <w:r w:rsidRPr="14EE7DEF">
        <w:t>ICI — immune check-point inhibitors, ингибиторы иммунных чекпоинтов</w:t>
      </w:r>
    </w:p>
    <w:p w14:paraId="0000002E" w14:textId="77777777" w:rsidR="00DC0EE8" w:rsidRDefault="14EE7DEF">
      <w:r w:rsidRPr="14EE7DEF">
        <w:t>IFNγ — интерферон γ</w:t>
      </w:r>
    </w:p>
    <w:p w14:paraId="0000002F" w14:textId="77777777" w:rsidR="00DC0EE8" w:rsidRDefault="14EE7DEF">
      <w:r w:rsidRPr="14EE7DEF">
        <w:t>MSI — microsatellite instability, микросателлитная нестабильность</w:t>
      </w:r>
    </w:p>
    <w:p w14:paraId="00000030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MedDRA — Medical Dictionary for Regulatory Activities, </w:t>
      </w:r>
      <w:r w:rsidRPr="14EE7DEF">
        <w:t>медицинский</w:t>
      </w:r>
      <w:r w:rsidRPr="00DF7D84">
        <w:rPr>
          <w:lang w:val="en-US"/>
        </w:rPr>
        <w:t xml:space="preserve"> </w:t>
      </w:r>
      <w:r w:rsidRPr="14EE7DEF">
        <w:t>словарь</w:t>
      </w:r>
      <w:r w:rsidRPr="00DF7D84">
        <w:rPr>
          <w:lang w:val="en-US"/>
        </w:rPr>
        <w:t xml:space="preserve"> </w:t>
      </w:r>
      <w:r w:rsidRPr="14EE7DEF">
        <w:t>нормативной</w:t>
      </w:r>
      <w:r w:rsidRPr="00DF7D84">
        <w:rPr>
          <w:lang w:val="en-US"/>
        </w:rPr>
        <w:t xml:space="preserve"> </w:t>
      </w:r>
      <w:r w:rsidRPr="14EE7DEF">
        <w:t>деятельности</w:t>
      </w:r>
    </w:p>
    <w:p w14:paraId="00000031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NCI — National Cancer Institute, </w:t>
      </w:r>
      <w:r w:rsidRPr="14EE7DEF">
        <w:t>Национальный</w:t>
      </w:r>
      <w:r w:rsidRPr="00DF7D84">
        <w:rPr>
          <w:lang w:val="en-US"/>
        </w:rPr>
        <w:t xml:space="preserve"> </w:t>
      </w:r>
      <w:r w:rsidRPr="14EE7DEF">
        <w:t>Институт</w:t>
      </w:r>
      <w:r w:rsidRPr="00DF7D84">
        <w:rPr>
          <w:lang w:val="en-US"/>
        </w:rPr>
        <w:t xml:space="preserve"> </w:t>
      </w:r>
      <w:r w:rsidRPr="14EE7DEF">
        <w:t>Рака</w:t>
      </w:r>
      <w:r w:rsidRPr="00DF7D84">
        <w:rPr>
          <w:lang w:val="en-US"/>
        </w:rPr>
        <w:t xml:space="preserve"> (</w:t>
      </w:r>
      <w:r w:rsidRPr="14EE7DEF">
        <w:t>США</w:t>
      </w:r>
      <w:r w:rsidRPr="00DF7D84">
        <w:rPr>
          <w:lang w:val="en-US"/>
        </w:rPr>
        <w:t>)</w:t>
      </w:r>
    </w:p>
    <w:p w14:paraId="00000032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NLR — neutrophils to lymphocytes relation, </w:t>
      </w:r>
      <w:r w:rsidRPr="14EE7DEF">
        <w:t>отношение</w:t>
      </w:r>
      <w:r w:rsidRPr="00DF7D84">
        <w:rPr>
          <w:lang w:val="en-US"/>
        </w:rPr>
        <w:t xml:space="preserve"> </w:t>
      </w:r>
      <w:r w:rsidRPr="14EE7DEF">
        <w:t>уровня</w:t>
      </w:r>
      <w:r w:rsidRPr="00DF7D84">
        <w:rPr>
          <w:lang w:val="en-US"/>
        </w:rPr>
        <w:t xml:space="preserve"> </w:t>
      </w:r>
      <w:r w:rsidRPr="14EE7DEF">
        <w:t>нейтрофилов</w:t>
      </w:r>
      <w:r w:rsidRPr="00DF7D84">
        <w:rPr>
          <w:lang w:val="en-US"/>
        </w:rPr>
        <w:t xml:space="preserve"> </w:t>
      </w:r>
      <w:r w:rsidRPr="14EE7DEF">
        <w:t>к</w:t>
      </w:r>
      <w:r w:rsidRPr="00DF7D84">
        <w:rPr>
          <w:lang w:val="en-US"/>
        </w:rPr>
        <w:t xml:space="preserve"> </w:t>
      </w:r>
      <w:r w:rsidRPr="14EE7DEF">
        <w:t>уровню</w:t>
      </w:r>
      <w:r w:rsidRPr="00DF7D84">
        <w:rPr>
          <w:lang w:val="en-US"/>
        </w:rPr>
        <w:t xml:space="preserve"> </w:t>
      </w:r>
      <w:r w:rsidRPr="14EE7DEF">
        <w:t>лимфоцитов</w:t>
      </w:r>
    </w:p>
    <w:p w14:paraId="00000033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OR — odds ratio, </w:t>
      </w:r>
      <w:r w:rsidRPr="14EE7DEF">
        <w:t>отношение</w:t>
      </w:r>
      <w:r w:rsidRPr="00DF7D84">
        <w:rPr>
          <w:lang w:val="en-US"/>
        </w:rPr>
        <w:t xml:space="preserve"> </w:t>
      </w:r>
      <w:r w:rsidRPr="14EE7DEF">
        <w:t>шансов</w:t>
      </w:r>
    </w:p>
    <w:p w14:paraId="00000034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PD-1 — programmed cell death protein-1, </w:t>
      </w:r>
      <w:r w:rsidRPr="14EE7DEF">
        <w:t>белок</w:t>
      </w:r>
      <w:r w:rsidRPr="00DF7D84">
        <w:rPr>
          <w:lang w:val="en-US"/>
        </w:rPr>
        <w:t xml:space="preserve"> </w:t>
      </w:r>
      <w:r w:rsidRPr="14EE7DEF">
        <w:t>программируемой</w:t>
      </w:r>
      <w:r w:rsidRPr="00DF7D84">
        <w:rPr>
          <w:lang w:val="en-US"/>
        </w:rPr>
        <w:t xml:space="preserve"> </w:t>
      </w:r>
      <w:r w:rsidRPr="14EE7DEF">
        <w:t>клеточной</w:t>
      </w:r>
      <w:r w:rsidRPr="00DF7D84">
        <w:rPr>
          <w:lang w:val="en-US"/>
        </w:rPr>
        <w:t xml:space="preserve"> </w:t>
      </w:r>
      <w:r w:rsidRPr="14EE7DEF">
        <w:t>смерти</w:t>
      </w:r>
      <w:r w:rsidRPr="00DF7D84">
        <w:rPr>
          <w:lang w:val="en-US"/>
        </w:rPr>
        <w:t xml:space="preserve"> 1</w:t>
      </w:r>
    </w:p>
    <w:p w14:paraId="00000035" w14:textId="77777777" w:rsidR="00DC0EE8" w:rsidRPr="00DF7D84" w:rsidRDefault="14EE7DEF" w:rsidP="14EE7DEF">
      <w:pPr>
        <w:rPr>
          <w:lang w:val="en-US"/>
        </w:rPr>
      </w:pPr>
      <w:r w:rsidRPr="00DF7D84">
        <w:rPr>
          <w:lang w:val="en-US"/>
        </w:rPr>
        <w:t xml:space="preserve">RECIST — Response evaluation criteria in solid tumours, </w:t>
      </w:r>
      <w:r w:rsidRPr="14EE7DEF">
        <w:t>критерии</w:t>
      </w:r>
      <w:r w:rsidRPr="00DF7D84">
        <w:rPr>
          <w:lang w:val="en-US"/>
        </w:rPr>
        <w:t xml:space="preserve"> </w:t>
      </w:r>
      <w:r w:rsidRPr="14EE7DEF">
        <w:t>оценки</w:t>
      </w:r>
      <w:r w:rsidRPr="00DF7D84">
        <w:rPr>
          <w:lang w:val="en-US"/>
        </w:rPr>
        <w:t xml:space="preserve"> </w:t>
      </w:r>
      <w:r w:rsidRPr="14EE7DEF">
        <w:t>ответа</w:t>
      </w:r>
      <w:r w:rsidRPr="00DF7D84">
        <w:rPr>
          <w:lang w:val="en-US"/>
        </w:rPr>
        <w:t xml:space="preserve"> </w:t>
      </w:r>
      <w:r w:rsidRPr="14EE7DEF">
        <w:t>солидных</w:t>
      </w:r>
      <w:r w:rsidRPr="00DF7D84">
        <w:rPr>
          <w:lang w:val="en-US"/>
        </w:rPr>
        <w:t xml:space="preserve"> </w:t>
      </w:r>
      <w:r w:rsidRPr="14EE7DEF">
        <w:t>опухолей</w:t>
      </w:r>
    </w:p>
    <w:p w14:paraId="00000036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 xml:space="preserve">TMB — tumor mutational burden, </w:t>
      </w:r>
      <w:r w:rsidRPr="14EE7DEF">
        <w:t>нагрузка</w:t>
      </w:r>
      <w:r w:rsidRPr="00DF7D84">
        <w:rPr>
          <w:lang w:val="en-US"/>
        </w:rPr>
        <w:t xml:space="preserve"> </w:t>
      </w:r>
      <w:r w:rsidRPr="14EE7DEF">
        <w:t>опухолевых</w:t>
      </w:r>
      <w:r w:rsidRPr="00DF7D84">
        <w:rPr>
          <w:lang w:val="en-US"/>
        </w:rPr>
        <w:t xml:space="preserve"> </w:t>
      </w:r>
      <w:r w:rsidRPr="14EE7DEF">
        <w:t>мутаций</w:t>
      </w:r>
    </w:p>
    <w:p w14:paraId="00000037" w14:textId="77777777" w:rsidR="00DC0EE8" w:rsidRPr="00DF7D84" w:rsidRDefault="14EE7DEF">
      <w:pPr>
        <w:rPr>
          <w:lang w:val="en-US"/>
        </w:rPr>
      </w:pPr>
      <w:r w:rsidRPr="00DF7D84">
        <w:rPr>
          <w:lang w:val="en-US"/>
        </w:rPr>
        <w:t>TNF</w:t>
      </w:r>
      <w:r w:rsidRPr="14EE7DEF">
        <w:t>α</w:t>
      </w:r>
      <w:r w:rsidRPr="00DF7D84">
        <w:rPr>
          <w:lang w:val="en-US"/>
        </w:rPr>
        <w:t xml:space="preserve"> — tumor necrosis factor </w:t>
      </w:r>
      <w:r w:rsidRPr="14EE7DEF">
        <w:t>α</w:t>
      </w:r>
      <w:r w:rsidRPr="00DF7D84">
        <w:rPr>
          <w:lang w:val="en-US"/>
        </w:rPr>
        <w:t xml:space="preserve">, </w:t>
      </w:r>
      <w:r w:rsidRPr="14EE7DEF">
        <w:t>фактор</w:t>
      </w:r>
      <w:r w:rsidRPr="00DF7D84">
        <w:rPr>
          <w:lang w:val="en-US"/>
        </w:rPr>
        <w:t xml:space="preserve"> </w:t>
      </w:r>
      <w:r w:rsidRPr="14EE7DEF">
        <w:t>некроза</w:t>
      </w:r>
      <w:r w:rsidRPr="00DF7D84">
        <w:rPr>
          <w:lang w:val="en-US"/>
        </w:rPr>
        <w:t xml:space="preserve"> </w:t>
      </w:r>
      <w:r w:rsidRPr="14EE7DEF">
        <w:t>опухоли</w:t>
      </w:r>
      <w:r w:rsidRPr="00DF7D84">
        <w:rPr>
          <w:lang w:val="en-US"/>
        </w:rPr>
        <w:t xml:space="preserve"> </w:t>
      </w:r>
      <w:r w:rsidRPr="14EE7DEF">
        <w:t>α</w:t>
      </w:r>
    </w:p>
    <w:p w14:paraId="00000038" w14:textId="77777777" w:rsidR="00DC0EE8" w:rsidRDefault="14EE7DEF">
      <w:r w:rsidRPr="14EE7DEF">
        <w:t>dMMR — deficient MisMatch Repair, дефицит в системе репараций неспаренных оснований</w:t>
      </w:r>
    </w:p>
    <w:p w14:paraId="00000039" w14:textId="77777777" w:rsidR="00DC0EE8" w:rsidRDefault="00DC0EE8" w:rsidP="14EE7DEF">
      <w:pPr>
        <w:pStyle w:val="1"/>
        <w:rPr>
          <w:bCs/>
        </w:rPr>
        <w:sectPr w:rsidR="00DC0EE8" w:rsidSect="00B22CE4">
          <w:headerReference w:type="default" r:id="rId7"/>
          <w:footerReference w:type="default" r:id="rId8"/>
          <w:headerReference w:type="first" r:id="rId9"/>
          <w:footerReference w:type="first" r:id="rId10"/>
          <w:pgSz w:w="11909" w:h="16834"/>
          <w:pgMar w:top="1134" w:right="851" w:bottom="1134" w:left="1701" w:header="720" w:footer="720" w:gutter="0"/>
          <w:pgNumType w:start="1"/>
          <w:cols w:space="720"/>
          <w:titlePg/>
        </w:sectPr>
      </w:pPr>
      <w:bookmarkStart w:id="1" w:name="_uy75kk41nv2l" w:colFirst="0" w:colLast="0"/>
      <w:bookmarkEnd w:id="1"/>
    </w:p>
    <w:p w14:paraId="0000003A" w14:textId="77777777" w:rsidR="00DC0EE8" w:rsidRDefault="099E6C14" w:rsidP="099E6C14">
      <w:pPr>
        <w:pStyle w:val="1"/>
        <w:rPr>
          <w:bCs/>
        </w:rPr>
      </w:pPr>
      <w:bookmarkStart w:id="2" w:name="_7tqz18ylstrd"/>
      <w:bookmarkEnd w:id="2"/>
      <w:r w:rsidRPr="099E6C14">
        <w:rPr>
          <w:bCs/>
        </w:rPr>
        <w:lastRenderedPageBreak/>
        <w:t>Оглавление</w:t>
      </w:r>
    </w:p>
    <w:sdt>
      <w:sdtPr>
        <w:id w:val="1270230304"/>
        <w:docPartObj>
          <w:docPartGallery w:val="Table of Contents"/>
          <w:docPartUnique/>
        </w:docPartObj>
      </w:sdtPr>
      <w:sdtContent>
        <w:p w14:paraId="0000003B" w14:textId="77777777" w:rsidR="00DC0EE8" w:rsidRDefault="00DF7D84">
          <w:pPr>
            <w:tabs>
              <w:tab w:val="right" w:pos="9025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8kpl1yj6e1mp">
            <w:r>
              <w:rPr>
                <w:b/>
                <w:color w:val="000000"/>
              </w:rPr>
              <w:t>Список сокращений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_8kpl1yj6e1mp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0000003C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7tqz18ylstrd">
            <w:r>
              <w:rPr>
                <w:b/>
                <w:color w:val="000000"/>
              </w:rPr>
              <w:t>Оглавление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_7tqz18ylstrd \h </w:instrText>
          </w:r>
          <w:r>
            <w:fldChar w:fldCharType="separate"/>
          </w:r>
          <w:r>
            <w:rPr>
              <w:b/>
              <w:color w:val="000000"/>
            </w:rPr>
            <w:t>5</w:t>
          </w:r>
          <w:r>
            <w:fldChar w:fldCharType="end"/>
          </w:r>
        </w:p>
        <w:p w14:paraId="0000003D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fayi2dvh0h1j">
            <w:r>
              <w:rPr>
                <w:b/>
                <w:color w:val="000000"/>
              </w:rPr>
              <w:t>Введение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_fayi2dvh0h1j \h </w:instrText>
          </w:r>
          <w:r>
            <w:fldChar w:fldCharType="separate"/>
          </w:r>
          <w:r>
            <w:rPr>
              <w:b/>
              <w:color w:val="000000"/>
            </w:rPr>
            <w:t>6</w:t>
          </w:r>
          <w:r>
            <w:fldChar w:fldCharType="end"/>
          </w:r>
        </w:p>
        <w:p w14:paraId="0000003E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24fyvlwbciy8">
            <w:r>
              <w:rPr>
                <w:b/>
                <w:color w:val="000000"/>
              </w:rPr>
              <w:t>Глава 1. Обзор литературы.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_24fyvlwbciy8 \h </w:instrText>
          </w:r>
          <w:r>
            <w:fldChar w:fldCharType="separate"/>
          </w:r>
          <w:r>
            <w:rPr>
              <w:b/>
              <w:color w:val="000000"/>
            </w:rPr>
            <w:t>10</w:t>
          </w:r>
          <w:r>
            <w:fldChar w:fldCharType="end"/>
          </w:r>
        </w:p>
        <w:p w14:paraId="0000003F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fg7vylkdzb9g">
            <w:r>
              <w:rPr>
                <w:color w:val="000000"/>
              </w:rPr>
              <w:t>1.1 История иммунотерапии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_fg7vylkdzb9g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14:paraId="00000040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qjrab4dekizx">
            <w:r>
              <w:rPr>
                <w:color w:val="000000"/>
              </w:rPr>
              <w:t>1.2 Иммунные контрольные точки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_qjrab4dekizx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</w:p>
        <w:p w14:paraId="00000041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6b1r8bvdqgj2">
            <w:r>
              <w:rPr>
                <w:color w:val="000000"/>
              </w:rPr>
              <w:t>1.3 Классификация ингибиторов контрольных точек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_6b1r8bvdqgj2 \h </w:instrText>
          </w:r>
          <w:r>
            <w:fldChar w:fldCharType="separate"/>
          </w:r>
          <w:r>
            <w:rPr>
              <w:color w:val="000000"/>
            </w:rPr>
            <w:t>13</w:t>
          </w:r>
          <w:r>
            <w:fldChar w:fldCharType="end"/>
          </w:r>
        </w:p>
        <w:p w14:paraId="00000042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4i66d034txok">
            <w:r>
              <w:rPr>
                <w:color w:val="000000"/>
              </w:rPr>
              <w:t>1.4 Токсичность ингибиторов иммунных контрольных точек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_4i66d034txok \h </w:instrText>
          </w:r>
          <w:r>
            <w:fldChar w:fldCharType="separate"/>
          </w:r>
          <w:r>
            <w:rPr>
              <w:color w:val="000000"/>
            </w:rPr>
            <w:t>19</w:t>
          </w:r>
          <w:r>
            <w:fldChar w:fldCharType="end"/>
          </w:r>
        </w:p>
        <w:p w14:paraId="00000043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uh5c9iocaho2">
            <w:r>
              <w:rPr>
                <w:color w:val="000000"/>
              </w:rPr>
              <w:t>1.5 Виды иммуноопосредованной токсичности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_uh5c9iocaho2 \h </w:instrText>
          </w:r>
          <w:r>
            <w:fldChar w:fldCharType="separate"/>
          </w:r>
          <w:r>
            <w:rPr>
              <w:color w:val="000000"/>
            </w:rPr>
            <w:t>26</w:t>
          </w:r>
          <w:r>
            <w:fldChar w:fldCharType="end"/>
          </w:r>
        </w:p>
        <w:p w14:paraId="00000044" w14:textId="77777777" w:rsidR="00DC0EE8" w:rsidRDefault="00DF7D84">
          <w:pPr>
            <w:tabs>
              <w:tab w:val="right" w:pos="9025"/>
            </w:tabs>
            <w:spacing w:before="60" w:line="240" w:lineRule="auto"/>
            <w:ind w:left="360"/>
            <w:rPr>
              <w:color w:val="000000"/>
            </w:rPr>
          </w:pPr>
          <w:hyperlink w:anchor="_79au9zc8cd5l">
            <w:r>
              <w:rPr>
                <w:color w:val="000000"/>
              </w:rPr>
              <w:t>1.6 Предиктивные маркеры токсичности иммунотерапии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_79au9zc8cd5l \h </w:instrText>
          </w:r>
          <w:r>
            <w:fldChar w:fldCharType="separate"/>
          </w:r>
          <w:r>
            <w:rPr>
              <w:color w:val="000000"/>
            </w:rPr>
            <w:t>33</w:t>
          </w:r>
          <w:r>
            <w:fldChar w:fldCharType="end"/>
          </w:r>
        </w:p>
        <w:p w14:paraId="00000045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d8cvmrbo5hw9">
            <w:r>
              <w:rPr>
                <w:b/>
                <w:color w:val="000000"/>
              </w:rPr>
              <w:t>Глава 2. Материалы и методы исследования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_d8cvmrbo5hw9 \h </w:instrText>
          </w:r>
          <w:r>
            <w:fldChar w:fldCharType="separate"/>
          </w:r>
          <w:r>
            <w:rPr>
              <w:b/>
              <w:color w:val="000000"/>
            </w:rPr>
            <w:t>39</w:t>
          </w:r>
          <w:r>
            <w:fldChar w:fldCharType="end"/>
          </w:r>
        </w:p>
        <w:p w14:paraId="00000046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b/>
              <w:color w:val="000000"/>
            </w:rPr>
          </w:pPr>
          <w:hyperlink w:anchor="_trip0pnypc7y">
            <w:r>
              <w:rPr>
                <w:b/>
                <w:color w:val="000000"/>
              </w:rPr>
              <w:t>Глава 3. Результаты исследования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_trip0pnypc7y \h </w:instrText>
          </w:r>
          <w:r>
            <w:fldChar w:fldCharType="separate"/>
          </w:r>
          <w:r>
            <w:rPr>
              <w:b/>
              <w:color w:val="000000"/>
            </w:rPr>
            <w:t>48</w:t>
          </w:r>
          <w:r>
            <w:fldChar w:fldCharType="end"/>
          </w:r>
        </w:p>
        <w:p w14:paraId="00000047" w14:textId="77777777" w:rsidR="00DC0EE8" w:rsidRDefault="00DF7D84">
          <w:pPr>
            <w:tabs>
              <w:tab w:val="right" w:pos="9025"/>
            </w:tabs>
            <w:spacing w:before="200" w:line="240" w:lineRule="auto"/>
          </w:pPr>
          <w:hyperlink w:anchor="_tuiclmbv8nkn">
            <w:r>
              <w:rPr>
                <w:b/>
              </w:rPr>
              <w:t>Глава 4. Обсуждение</w:t>
            </w:r>
          </w:hyperlink>
          <w:r>
            <w:rPr>
              <w:b/>
            </w:rPr>
            <w:tab/>
          </w:r>
          <w:r>
            <w:fldChar w:fldCharType="begin"/>
          </w:r>
          <w:r>
            <w:instrText xml:space="preserve"> PAGEREF _tuiclmbv8nkn \h </w:instrText>
          </w:r>
          <w:r>
            <w:fldChar w:fldCharType="separate"/>
          </w:r>
          <w:r>
            <w:rPr>
              <w:b/>
            </w:rPr>
            <w:t>63</w:t>
          </w:r>
          <w:r>
            <w:fldChar w:fldCharType="end"/>
          </w:r>
        </w:p>
        <w:p w14:paraId="00000048" w14:textId="77777777" w:rsidR="00DC0EE8" w:rsidRDefault="00DF7D84">
          <w:pPr>
            <w:tabs>
              <w:tab w:val="right" w:pos="9025"/>
            </w:tabs>
            <w:spacing w:before="200" w:line="240" w:lineRule="auto"/>
            <w:rPr>
              <w:color w:val="000000"/>
            </w:rPr>
          </w:pPr>
          <w:hyperlink w:anchor="_4lx90f1qjqe6">
            <w:r>
              <w:rPr>
                <w:color w:val="000000"/>
              </w:rPr>
              <w:t>Выводы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_4lx90f1qjqe6 \h </w:instrText>
          </w:r>
          <w:r>
            <w:fldChar w:fldCharType="separate"/>
          </w:r>
          <w:r>
            <w:rPr>
              <w:b/>
              <w:color w:val="000000"/>
            </w:rPr>
            <w:t>65</w:t>
          </w:r>
          <w:r>
            <w:fldChar w:fldCharType="end"/>
          </w:r>
        </w:p>
        <w:p w14:paraId="00000049" w14:textId="77777777" w:rsidR="00DC0EE8" w:rsidRDefault="00DF7D84">
          <w:pPr>
            <w:tabs>
              <w:tab w:val="right" w:pos="9025"/>
            </w:tabs>
            <w:spacing w:before="200" w:after="80" w:line="240" w:lineRule="auto"/>
            <w:rPr>
              <w:color w:val="000000"/>
            </w:rPr>
          </w:pPr>
          <w:hyperlink w:anchor="_4vt2ydwyfcmp">
            <w:r>
              <w:rPr>
                <w:color w:val="000000"/>
              </w:rPr>
              <w:t>Список литературы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_4vt2ydwyfcmp \h </w:instrText>
          </w:r>
          <w:r>
            <w:fldChar w:fldCharType="separate"/>
          </w:r>
          <w:r>
            <w:rPr>
              <w:b/>
              <w:color w:val="000000"/>
            </w:rPr>
            <w:t>66</w:t>
          </w:r>
          <w:r>
            <w:fldChar w:fldCharType="end"/>
          </w:r>
          <w:r>
            <w:fldChar w:fldCharType="end"/>
          </w:r>
        </w:p>
      </w:sdtContent>
    </w:sdt>
    <w:p w14:paraId="0000004A" w14:textId="77777777" w:rsidR="00DC0EE8" w:rsidRDefault="00DC0EE8"/>
    <w:p w14:paraId="0000004B" w14:textId="77777777" w:rsidR="00DC0EE8" w:rsidRDefault="00DC0EE8">
      <w:pPr>
        <w:pStyle w:val="3"/>
      </w:pPr>
      <w:bookmarkStart w:id="3" w:name="_gmpn5o1i36pp" w:colFirst="0" w:colLast="0"/>
      <w:bookmarkEnd w:id="3"/>
    </w:p>
    <w:p w14:paraId="0000004C" w14:textId="77777777" w:rsidR="00DC0EE8" w:rsidRDefault="00DC0EE8">
      <w:pPr>
        <w:pStyle w:val="1"/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  <w:bookmarkStart w:id="4" w:name="_h1j6ej5owot4" w:colFirst="0" w:colLast="0"/>
      <w:bookmarkEnd w:id="4"/>
    </w:p>
    <w:p w14:paraId="0000004D" w14:textId="77777777" w:rsidR="00DC0EE8" w:rsidRDefault="14EE7DEF" w:rsidP="14EE7DEF">
      <w:pPr>
        <w:pStyle w:val="1"/>
        <w:rPr>
          <w:bCs/>
        </w:rPr>
      </w:pPr>
      <w:bookmarkStart w:id="5" w:name="_fayi2dvh0h1j"/>
      <w:bookmarkEnd w:id="5"/>
      <w:r w:rsidRPr="14EE7DEF">
        <w:rPr>
          <w:bCs/>
        </w:rPr>
        <w:lastRenderedPageBreak/>
        <w:t>Введение</w:t>
      </w:r>
    </w:p>
    <w:p w14:paraId="0000004E" w14:textId="77777777" w:rsidR="00DC0EE8" w:rsidRDefault="14EE7DEF">
      <w:r w:rsidRPr="14EE7DEF">
        <w:t xml:space="preserve">Иммунотерапию можно назвать наиболее древним методом лечения злокачественных новообразований, поскольку первые сведения о спонтанном регрессе опухолей после перенесенных инфекционных заболеваний относятся к эпохе Древнего Египта. Существенный недостаток активно использующихся с середины прошлого века цитостатиков — отсутствие селективности (химиотерапевтические препараты поражают любую быстро делящуюся клетку, поэтому под их воздействие попадают не только злокачественно трансформированные клетки, но и многие здоровые), а также высокая степень токсичности лечения заставляли ученых объединять усилия в поиске препаратов более прицельного воздействия — так в 90-е годы впервые успешно показали себя таргетные препараты </w:t>
      </w:r>
      <w:hyperlink r:id="rId11">
        <w:r w:rsidRPr="14EE7DEF">
          <w:t>[1]</w:t>
        </w:r>
      </w:hyperlink>
      <w:r w:rsidRPr="14EE7DEF">
        <w:t xml:space="preserve">. Разработка молекул, нацеленных на определенные «мишени», расположенные на злокачественно трансформированных клетках, стала возможна благодаря исследованиям в области молекулярной биологии и генетики. </w:t>
      </w:r>
    </w:p>
    <w:p w14:paraId="0000004F" w14:textId="77777777" w:rsidR="00DC0EE8" w:rsidRDefault="00DC0EE8"/>
    <w:p w14:paraId="00000050" w14:textId="77777777" w:rsidR="00DC0EE8" w:rsidRDefault="14EE7DEF">
      <w:r w:rsidRPr="14EE7DEF">
        <w:t xml:space="preserve">Иммунотерапия совершила настоящую революцию в лечении злокачественных новообразований и в 2013 году была названа журналом Cancer Immunotherapy «прорывом года». Однако токсичность иммунопрепаратов стала новым вызовом для ученых и практикующих врачей, поскольку протекает по совершенно иным механизмам, нежели токсичность химиотерапевтических лекарственных препаратов. В некоторых случаях тяжелая токсичность может привести к летальному исходу.  В метаанализе Costa et al (2017) изучалась токсичность ингибиторов контрольных точек — анти-PD-1-антител. Было показано, что относительный риск смерти из-за токсичности, связанной с лечением, объединенный из 6 исследований, был оценен в 0,45 (95% ДИ 0,19–1,09; P = 0,076). Абсолютный риск смерти из-за связанной с лечением токсичности среди этих пациентов составил 0,25%. Тем не менее в том же исследовании было отмечено, что нежелательные явления </w:t>
      </w:r>
      <w:r w:rsidRPr="14EE7DEF">
        <w:lastRenderedPageBreak/>
        <w:t xml:space="preserve">3-4 степени реже встречались среди пациентов, получавших иммунотерапию, по сравнению со стандартным лечением. Относительный риск составил 0,39 (95% ДИ 0,29-0,53; P &lt;0,001) </w:t>
      </w:r>
      <w:hyperlink r:id="rId12">
        <w:r w:rsidRPr="14EE7DEF">
          <w:t>[2]</w:t>
        </w:r>
      </w:hyperlink>
      <w:r w:rsidRPr="14EE7DEF">
        <w:t>.</w:t>
      </w:r>
    </w:p>
    <w:p w14:paraId="00000051" w14:textId="77777777" w:rsidR="00DC0EE8" w:rsidRDefault="00DC0EE8"/>
    <w:p w14:paraId="00000052" w14:textId="77777777" w:rsidR="00DC0EE8" w:rsidRDefault="14EE7DEF">
      <w:r w:rsidRPr="14EE7DEF">
        <w:t xml:space="preserve">После одобрения первого CTLA-ингибитора, ипилимумаба, в 2011 году и выхода на рынок моноклональных антител к PD-1 и PD-L1 рецепторам в 2014 (ниволумаб, пембролизумаб) и 2016 (атезолизумаб) стало ясно, что для некоторых клинических ситуаций комбинация иммунопрепаратов показывает гораздо большую эффективность. Так, в исследовании Checkmate 067 изучалась пятилетняя выживаемость больных с метастатической меланомой </w:t>
      </w:r>
      <w:hyperlink r:id="rId13">
        <w:r w:rsidRPr="14EE7DEF">
          <w:t>[3]</w:t>
        </w:r>
      </w:hyperlink>
      <w:r w:rsidRPr="14EE7DEF">
        <w:t xml:space="preserve">. Группами сравнения были: пациенты, получающие комбинацию ниволумаба с ипилимумабом, пациенты, получающие только ниволумаб, и пациенты, получающие только ипилимумаб. Общая пятилетняя выживаемость составила 52% в группе ниволумаб плюс ипилимумаб, 44% в группе ниволумаба и 26% в группе ипилимумаба. Однако токсичность комбинации химиопрепаратов также оказалась более выраженной, чем токсичность монотерапии. Связанные с лечением нежелательные явления 3 или 4 степени наблюдались у 59%, 23% и 28% пациентов в группах ниволумаб плюс ипилимумаб, ниволумаб и ипилимумаб соответственно. Среднее время разрешения отдельных нежелательных явлений, связанных с лечением, в различных категориях, как правило, составляло менее 12 недель, за исключением кожных нежелательных явлений у пациентов, получавших ниволумаб, которые разрешались в среднем за 40,6 недели. Также некоторые иммуноопосредованные нежелательные явления на момент окончания исследования еще не разрешились. В первую </w:t>
      </w:r>
      <w:proofErr w:type="gramStart"/>
      <w:r w:rsidRPr="14EE7DEF">
        <w:t>очередь  это</w:t>
      </w:r>
      <w:proofErr w:type="gramEnd"/>
      <w:r w:rsidRPr="14EE7DEF">
        <w:t xml:space="preserve"> эндокринные явления, при которых может потребоваться длительная гормональная терапия. </w:t>
      </w:r>
    </w:p>
    <w:p w14:paraId="00000053" w14:textId="77777777" w:rsidR="00DC0EE8" w:rsidRDefault="00DC0EE8"/>
    <w:p w14:paraId="00000054" w14:textId="77777777" w:rsidR="00DC0EE8" w:rsidRDefault="14EE7DEF">
      <w:r w:rsidRPr="14EE7DEF">
        <w:t xml:space="preserve">Учитывая тот факт, что в случае развития серьезных иммуноопосредованных нежелательных явлений (степень 3-4 по CTCAE) многие международные организации рекомендуют прекратить использование иммунотерапевтических </w:t>
      </w:r>
      <w:r w:rsidRPr="14EE7DEF">
        <w:lastRenderedPageBreak/>
        <w:t xml:space="preserve">препаратов </w:t>
      </w:r>
      <w:hyperlink r:id="rId14">
        <w:r w:rsidRPr="14EE7DEF">
          <w:t>[4]</w:t>
        </w:r>
      </w:hyperlink>
      <w:r w:rsidRPr="14EE7DEF">
        <w:t xml:space="preserve"> </w:t>
      </w:r>
      <w:hyperlink r:id="rId15">
        <w:r w:rsidRPr="14EE7DEF">
          <w:t>[5]</w:t>
        </w:r>
      </w:hyperlink>
      <w:r w:rsidRPr="14EE7DEF">
        <w:t xml:space="preserve">, а также то, что тяжелые побочные явления могут значимо ухудшать качество жизни пациента и даже представлять опасность для жизни, важность их предотвращения становится очевидной. Более того, в метаанализе Hussaini et al. было показано, что, по-видимому, существует тесная связь между возникновением и выраженностью иммуноопосредованных явлений и  противоопухолевой эффективностью ингибиторов контрольных точек </w:t>
      </w:r>
      <w:hyperlink r:id="rId16">
        <w:r w:rsidRPr="14EE7DEF">
          <w:t>[6]</w:t>
        </w:r>
      </w:hyperlink>
      <w:r w:rsidRPr="14EE7DEF">
        <w:t xml:space="preserve">. Поскольку показания к назначению этих препаратов постоянно расширяются, поиск предикторов эффективности и токсичности становится первостепенной задачей. </w:t>
      </w:r>
    </w:p>
    <w:p w14:paraId="00000055" w14:textId="77777777" w:rsidR="00DC0EE8" w:rsidRDefault="00DC0EE8" w:rsidP="14EE7DEF"/>
    <w:p w14:paraId="00000056" w14:textId="77777777" w:rsidR="00DC0EE8" w:rsidRDefault="14EE7DEF" w:rsidP="14EE7DEF">
      <w:r w:rsidRPr="14EE7DEF">
        <w:rPr>
          <w:b/>
          <w:bCs/>
        </w:rPr>
        <w:t xml:space="preserve">Цель исследования: </w:t>
      </w:r>
      <w:r w:rsidRPr="14EE7DEF">
        <w:t xml:space="preserve">выявить клинические и лабораторные </w:t>
      </w:r>
      <w:proofErr w:type="gramStart"/>
      <w:r w:rsidRPr="14EE7DEF">
        <w:t>показатели,  потенциально</w:t>
      </w:r>
      <w:proofErr w:type="gramEnd"/>
      <w:r w:rsidRPr="14EE7DEF">
        <w:t xml:space="preserve"> способные быть предикторами токсичности терапии ингибиторами контрольных точек иммунного ответа у пациентов с солидными опухолями.</w:t>
      </w:r>
    </w:p>
    <w:p w14:paraId="00000057" w14:textId="77777777" w:rsidR="00DC0EE8" w:rsidRDefault="00DC0EE8" w:rsidP="14EE7DEF"/>
    <w:p w14:paraId="00000058" w14:textId="77777777" w:rsidR="00DC0EE8" w:rsidRDefault="14EE7DEF" w:rsidP="14EE7DEF">
      <w:pPr>
        <w:rPr>
          <w:b/>
          <w:bCs/>
        </w:rPr>
      </w:pPr>
      <w:r w:rsidRPr="14EE7DEF">
        <w:rPr>
          <w:b/>
          <w:bCs/>
        </w:rPr>
        <w:t>Задачи исследования:</w:t>
      </w:r>
    </w:p>
    <w:p w14:paraId="00000059" w14:textId="77777777" w:rsidR="00DC0EE8" w:rsidRDefault="14EE7DEF" w:rsidP="14EE7DEF">
      <w:pPr>
        <w:numPr>
          <w:ilvl w:val="0"/>
          <w:numId w:val="7"/>
        </w:numPr>
      </w:pPr>
      <w:r w:rsidRPr="14EE7DEF">
        <w:t>Изучить клинические характеристики пациентов с солидными опухолями, получающих терапию ингибиторами контрольных точек иммунного ответа.</w:t>
      </w:r>
    </w:p>
    <w:p w14:paraId="0000005A" w14:textId="77777777" w:rsidR="00DC0EE8" w:rsidRDefault="14EE7DEF" w:rsidP="14EE7DEF">
      <w:pPr>
        <w:numPr>
          <w:ilvl w:val="0"/>
          <w:numId w:val="7"/>
        </w:numPr>
      </w:pPr>
      <w:r w:rsidRPr="14EE7DEF">
        <w:t xml:space="preserve">Изучить лабораторные показатели пациентов с солидными опухолями, получающих </w:t>
      </w:r>
      <w:proofErr w:type="gramStart"/>
      <w:r w:rsidRPr="14EE7DEF">
        <w:t>терапию  ингибиторами</w:t>
      </w:r>
      <w:proofErr w:type="gramEnd"/>
      <w:r w:rsidRPr="14EE7DEF">
        <w:t xml:space="preserve"> контрольных точек иммунного ответа.</w:t>
      </w:r>
    </w:p>
    <w:p w14:paraId="0000005B" w14:textId="77777777" w:rsidR="00DC0EE8" w:rsidRDefault="14EE7DEF" w:rsidP="14EE7DEF">
      <w:pPr>
        <w:numPr>
          <w:ilvl w:val="0"/>
          <w:numId w:val="7"/>
        </w:numPr>
      </w:pPr>
      <w:r w:rsidRPr="14EE7DEF">
        <w:t>Определить возможную взаимосвязь между клиническими и лабораторными показателями и риском развития иммуноопосредованной токсичности.</w:t>
      </w:r>
    </w:p>
    <w:p w14:paraId="0000005C" w14:textId="77777777" w:rsidR="00DC0EE8" w:rsidRDefault="14EE7DEF" w:rsidP="14EE7DEF">
      <w:pPr>
        <w:numPr>
          <w:ilvl w:val="0"/>
          <w:numId w:val="7"/>
        </w:numPr>
      </w:pPr>
      <w:r w:rsidRPr="14EE7DEF">
        <w:t xml:space="preserve">Разработать модель, позволяющую предсказывать вероятность развития иммуноопосредованных осложнений у пациентов, получающих терапию ингибиторами контрольных точек иммунного ответа. </w:t>
      </w:r>
    </w:p>
    <w:p w14:paraId="0000005D" w14:textId="77777777" w:rsidR="00DC0EE8" w:rsidRDefault="00DC0EE8" w:rsidP="14EE7DEF">
      <w:pPr>
        <w:ind w:left="720"/>
      </w:pPr>
    </w:p>
    <w:p w14:paraId="325EEC2A" w14:textId="77777777" w:rsidR="00B22CE4" w:rsidRDefault="00B22CE4" w:rsidP="2D7A03AF">
      <w:pPr>
        <w:rPr>
          <w:b/>
          <w:bCs/>
        </w:rPr>
      </w:pPr>
    </w:p>
    <w:p w14:paraId="73737D61" w14:textId="0958E53C" w:rsidR="00DC0EE8" w:rsidRDefault="00DF7D84" w:rsidP="2D7A03AF">
      <w:r w:rsidRPr="14EE7DEF">
        <w:rPr>
          <w:b/>
          <w:bCs/>
        </w:rPr>
        <w:lastRenderedPageBreak/>
        <w:t xml:space="preserve">Практическое значение работы: </w:t>
      </w:r>
    </w:p>
    <w:p w14:paraId="0000005E" w14:textId="77777777" w:rsidR="00DC0EE8" w:rsidRDefault="00DF7D84">
      <w:r>
        <w:t xml:space="preserve">Предиктивные маркеры токсичности могут прояснить подход к стратификации пациентов, нуждающихся в иммунотерапии, позволить принимать более индивидуализированные клинические решения. </w:t>
      </w:r>
    </w:p>
    <w:p w14:paraId="0000005F" w14:textId="77777777" w:rsidR="00DC0EE8" w:rsidRDefault="00DC0EE8"/>
    <w:p w14:paraId="00000060" w14:textId="77777777" w:rsidR="00DC0EE8" w:rsidRDefault="00DC0EE8">
      <w:pPr>
        <w:ind w:left="720"/>
      </w:pPr>
    </w:p>
    <w:p w14:paraId="00000061" w14:textId="77777777" w:rsidR="00DC0EE8" w:rsidRDefault="00DC0EE8">
      <w:pPr>
        <w:pStyle w:val="1"/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  <w:bookmarkStart w:id="6" w:name="_hhpcsc4mktay" w:colFirst="0" w:colLast="0"/>
      <w:bookmarkEnd w:id="6"/>
    </w:p>
    <w:p w14:paraId="00000062" w14:textId="77777777" w:rsidR="00DC0EE8" w:rsidRDefault="14EE7DEF" w:rsidP="14EE7DEF">
      <w:pPr>
        <w:pStyle w:val="1"/>
      </w:pPr>
      <w:bookmarkStart w:id="7" w:name="_24fyvlwbciy8"/>
      <w:bookmarkEnd w:id="7"/>
      <w:r w:rsidRPr="14EE7DEF">
        <w:rPr>
          <w:bCs/>
        </w:rPr>
        <w:lastRenderedPageBreak/>
        <w:t>Глава 1. Обзор литературы</w:t>
      </w:r>
      <w:r w:rsidRPr="14EE7DEF">
        <w:t xml:space="preserve">. </w:t>
      </w:r>
    </w:p>
    <w:p w14:paraId="00000063" w14:textId="77777777" w:rsidR="00DC0EE8" w:rsidRDefault="14EE7DEF" w:rsidP="14EE7DEF">
      <w:pPr>
        <w:pStyle w:val="2"/>
        <w:ind w:left="720"/>
        <w:rPr>
          <w:iCs/>
        </w:rPr>
      </w:pPr>
      <w:bookmarkStart w:id="8" w:name="_fg7vylkdzb9g"/>
      <w:bookmarkEnd w:id="8"/>
      <w:r w:rsidRPr="14EE7DEF">
        <w:rPr>
          <w:iCs/>
        </w:rPr>
        <w:t>1.1 История иммунотерапии</w:t>
      </w:r>
    </w:p>
    <w:p w14:paraId="00000064" w14:textId="77777777" w:rsidR="00DC0EE8" w:rsidRDefault="14EE7DEF">
      <w:r w:rsidRPr="14EE7DEF">
        <w:t xml:space="preserve">Развитие иммунотерапии злокачественных новообразований, совершившей революцию в последнее десятилетие, началось еще в древности. Именно иммунотерапию можно назвать наиболее древним методом лечения онкологических заболеваний. О спонтанном регрессе опухолей после перенесенной инфекции, сопровождавшейся гипертермией, известно со времен Древнего Египта (ок. 3000 лет назад) </w:t>
      </w:r>
      <w:hyperlink r:id="rId17">
        <w:r w:rsidRPr="14EE7DEF">
          <w:t>[7]</w:t>
        </w:r>
      </w:hyperlink>
      <w:r w:rsidRPr="14EE7DEF">
        <w:t xml:space="preserve">. Важнейшее открытие было сделано Уильямом Брэдли Коли, которого называют отцом иммунотерапии. Коли впервые попытался использовать иммунный ответ для лечения рака в 1891 году </w:t>
      </w:r>
      <w:hyperlink r:id="rId18">
        <w:r w:rsidRPr="14EE7DEF">
          <w:t>[8]</w:t>
        </w:r>
      </w:hyperlink>
      <w:r w:rsidRPr="14EE7DEF">
        <w:t>. Он обнаружил 47 историй болезни пациентов с потенциально неизлечимым злокачественным новообразованием, у которых произошла спонтанная ремиссия опухоли после перенесенной рожи — острой стрептококковой инфекции. В 1891 году Коли впервые ввел смеси живых и инактивированных Streptococcus pyogenes и Serratia marcescens непосредственно в опухоли, таким образом став пионером в области иммуноонкологии. Однако в то время открытия Коли не вызвали интереса.</w:t>
      </w:r>
    </w:p>
    <w:p w14:paraId="00000065" w14:textId="77777777" w:rsidR="00DC0EE8" w:rsidRDefault="00DC0EE8"/>
    <w:p w14:paraId="00000066" w14:textId="77777777" w:rsidR="00DC0EE8" w:rsidRDefault="14EE7DEF">
      <w:r w:rsidRPr="14EE7DEF">
        <w:t xml:space="preserve">Идея использования бактерий для лечения опухолей вернулась в 1976 году, когда было предложено использовать противотуберкулезную вакцину на основе бациллы Кальметта-Герена (БЦЖ) в качестве способа предотвращения рецидива рака мочевого пузыря </w:t>
      </w:r>
      <w:hyperlink r:id="rId19">
        <w:r w:rsidRPr="14EE7DEF">
          <w:t>[7,9]</w:t>
        </w:r>
      </w:hyperlink>
      <w:r w:rsidRPr="14EE7DEF">
        <w:t xml:space="preserve">. Раствор БЦЖ вводили в мочевой пузырь онкологических больных, чтобы бактерии стимулировали иммунный ответ, а иммунные клетки в свою очередь атаковали злокачественно трансформированные клетки. Было доказано, что терапия БЦЖ эффективна, и ее продолжают использовать сегодня при немышечно-инвазивном раке мочевого пузыря </w:t>
      </w:r>
      <w:hyperlink r:id="rId20">
        <w:r w:rsidRPr="14EE7DEF">
          <w:t>[10]</w:t>
        </w:r>
      </w:hyperlink>
      <w:r w:rsidRPr="14EE7DEF">
        <w:t xml:space="preserve">. </w:t>
      </w:r>
    </w:p>
    <w:p w14:paraId="00000067" w14:textId="77777777" w:rsidR="00DC0EE8" w:rsidRDefault="00DC0EE8"/>
    <w:p w14:paraId="00000068" w14:textId="77777777" w:rsidR="00DC0EE8" w:rsidRDefault="14EE7DEF">
      <w:r w:rsidRPr="14EE7DEF">
        <w:lastRenderedPageBreak/>
        <w:t xml:space="preserve">Следующим этапом развития иммуноонкологии стало использование интерлейкина 2 (ИЛ-2), который был открыт в 1976 году. Высокие дозы ИЛ-2 продемонстрировали эффективность у пациентов с метастатическими опухолями. Механизм действия ИЛ-2 связывают с </w:t>
      </w:r>
      <w:proofErr w:type="gramStart"/>
      <w:r w:rsidRPr="14EE7DEF">
        <w:t>активацией  и</w:t>
      </w:r>
      <w:proofErr w:type="gramEnd"/>
      <w:r w:rsidRPr="14EE7DEF">
        <w:t xml:space="preserve"> пролиферацией Т-клеток. ИЛ-2 был одобрен FDA в 1991 году для лечения метастатического почечноклеточного рака, а затем в 1998 для метастатической меланомы. Однако терапия интерлейкином сопряжена с крайне высокой степенью токсичности </w:t>
      </w:r>
      <w:hyperlink r:id="rId21">
        <w:r w:rsidRPr="14EE7DEF">
          <w:t>[11]</w:t>
        </w:r>
      </w:hyperlink>
      <w:r w:rsidRPr="14EE7DEF">
        <w:t xml:space="preserve">. </w:t>
      </w:r>
    </w:p>
    <w:p w14:paraId="00000069" w14:textId="77777777" w:rsidR="00DC0EE8" w:rsidRDefault="00DC0EE8"/>
    <w:p w14:paraId="0000006A" w14:textId="77777777" w:rsidR="00DC0EE8" w:rsidRDefault="14EE7DEF">
      <w:r w:rsidRPr="14EE7DEF">
        <w:t xml:space="preserve">В 80-е годы также было совершено еще одно открытие, которое впоследствии позволило говорить о настоящем прорыве в лечении онкологических заболеваний. Это открытие цитотоксического лимфоцитарного антигена 4 (cytotoxic T lymphocyte antigen 4 — CTLA-4). Было показано, что CTLA-4 действует как своеобразный супрессор иммунной системы, не позволяя T-лимфоцитам реализовать иммунный ответ </w:t>
      </w:r>
      <w:hyperlink r:id="rId22">
        <w:r w:rsidRPr="14EE7DEF">
          <w:t>[12]</w:t>
        </w:r>
      </w:hyperlink>
      <w:r w:rsidRPr="14EE7DEF">
        <w:t xml:space="preserve">. Идея о том, что при блокаде CTLA-4 иммунные клетки снова смогут в полной мере реализовывать противоопухолевый иммунный ответ, подтвердилась в 1996 году. В 2011 году ипилимумаб, первый в мире ингибитор контрольных точек иммунного ответа, получил одобрение FDA для лечения метастатической меланомы. Чуть позже на рынок была выпущена и другая группа чек-поинт ингибиторов — анти-PD-1 и анти-PD-L1 препараты. Их механизм действия несколько отличается от фармакодинамики ипилимумаба и будет рассмотрен в следующих разделах. </w:t>
      </w:r>
    </w:p>
    <w:p w14:paraId="0000006B" w14:textId="77777777" w:rsidR="00DC0EE8" w:rsidRDefault="00DC0EE8"/>
    <w:p w14:paraId="0000006C" w14:textId="77777777" w:rsidR="00DC0EE8" w:rsidRDefault="14EE7DEF">
      <w:r w:rsidRPr="14EE7DEF">
        <w:t xml:space="preserve">Развитие иммуноонкологии набирает темпы в 21 столетии, догоняя бурное развитие фундаментальной науки и сложнейших молекулярных технологий. Не так давно начала применяться т. н. адоптивная иммунотерапия или технология CAR-T. Ее суть заключается в выделении аутолимфоцитов пациента и модификации их антигена (Chimeric Antigen Receptor — CAR, T — Т-лимфоцит) с целью запрограммировать его на «узнавание» злокачественно трансформированных клеток. Далее модифицированные Т-клетки </w:t>
      </w:r>
      <w:r w:rsidRPr="14EE7DEF">
        <w:lastRenderedPageBreak/>
        <w:t xml:space="preserve">возвращаются в организм больного и уничтожают опухолевые клетки </w:t>
      </w:r>
      <w:hyperlink r:id="rId23">
        <w:r w:rsidRPr="14EE7DEF">
          <w:t>[13]</w:t>
        </w:r>
      </w:hyperlink>
      <w:r w:rsidRPr="14EE7DEF">
        <w:t>. Адоптивная иммунотерапия — это перспективное и наукоемкое направление, в данный момент использующееся преимущественно в онкогематологии.</w:t>
      </w:r>
    </w:p>
    <w:p w14:paraId="0000006D" w14:textId="77777777" w:rsidR="00DC0EE8" w:rsidRDefault="00DC0EE8"/>
    <w:p w14:paraId="0000006E" w14:textId="77777777" w:rsidR="00DC0EE8" w:rsidRDefault="14EE7DEF" w:rsidP="14EE7DEF">
      <w:pPr>
        <w:pStyle w:val="2"/>
        <w:rPr>
          <w:iCs/>
        </w:rPr>
      </w:pPr>
      <w:bookmarkStart w:id="9" w:name="_qjrab4dekizx"/>
      <w:bookmarkEnd w:id="9"/>
      <w:r w:rsidRPr="14EE7DEF">
        <w:rPr>
          <w:iCs/>
        </w:rPr>
        <w:t>1.2 Иммунные контрольные точки</w:t>
      </w:r>
    </w:p>
    <w:p w14:paraId="0000006F" w14:textId="77777777" w:rsidR="00DC0EE8" w:rsidRDefault="14EE7DEF">
      <w:r w:rsidRPr="14EE7DEF">
        <w:t xml:space="preserve">Ингибирующие рецепторы, также известные как иммунные контрольные точки, и их лиганды обнаруживаются в различных типах клеток. Они необходимы для баланса между иммунологической агрессией и иммунологической толерантностью. Их действие направлено против одновременной активации сигналов через костимулирующие молекулы. Ингибирующие рецепторы функционируют не только во время активации иммунной системы. Наоборот, во время хронического воспаления Т-клетки истощаются и также запускают работу ингибирующих рецепторов, ограничивающих их эффективность, таких как PD-1, CTLA-4. Таким образом, истощение Т-клеток является одновременно физиологическим механизмом, который предохраняет от патологических иммунных реакций при хронической инфекции </w:t>
      </w:r>
      <w:hyperlink r:id="rId24">
        <w:r w:rsidRPr="14EE7DEF">
          <w:t>[14]</w:t>
        </w:r>
      </w:hyperlink>
      <w:r w:rsidRPr="14EE7DEF">
        <w:t>.</w:t>
      </w:r>
    </w:p>
    <w:p w14:paraId="00000070" w14:textId="77777777" w:rsidR="00DC0EE8" w:rsidRDefault="00DC0EE8"/>
    <w:p w14:paraId="00000071" w14:textId="77777777" w:rsidR="00DC0EE8" w:rsidRDefault="14EE7DEF">
      <w:r w:rsidRPr="14EE7DEF">
        <w:t xml:space="preserve">Однако опухолевые клетки обладают широкими возможностями избегания иммунного надзора. Эти механизмы относятся к ключевым признакам рака, описанным в культовой статье Р. Вайнберга “Hallmarks of cancer” </w:t>
      </w:r>
      <w:hyperlink r:id="rId25">
        <w:r w:rsidRPr="14EE7DEF">
          <w:t>[15]</w:t>
        </w:r>
      </w:hyperlink>
      <w:r w:rsidRPr="14EE7DEF">
        <w:t xml:space="preserve">.  Подавление иммунитета в микроокружении опухоли, опосредованное CD4 + CD25 + FoxP3 + регуляторными Т-клетками (T-regs) или другими типами супрессивных клеток, по-видимому, является основным механизмом иммунного ускользания опухоли и решающим препятствием для иммунотерапии опухоли. Ряд исследований показал, что T-regs, происходящие из опухоли, обладают сравнительно более высокой подавляющей активностью, чем T-regs, встречающиеся в природе </w:t>
      </w:r>
      <w:hyperlink r:id="rId26">
        <w:r w:rsidRPr="14EE7DEF">
          <w:t>[16]</w:t>
        </w:r>
      </w:hyperlink>
      <w:r w:rsidRPr="14EE7DEF">
        <w:t xml:space="preserve">. </w:t>
      </w:r>
    </w:p>
    <w:p w14:paraId="00000072" w14:textId="77777777" w:rsidR="00DC0EE8" w:rsidRDefault="14EE7DEF" w:rsidP="14EE7DEF">
      <w:pPr>
        <w:pStyle w:val="2"/>
        <w:rPr>
          <w:iCs/>
        </w:rPr>
      </w:pPr>
      <w:bookmarkStart w:id="10" w:name="_6b1r8bvdqgj2"/>
      <w:bookmarkEnd w:id="10"/>
      <w:r w:rsidRPr="14EE7DEF">
        <w:rPr>
          <w:iCs/>
        </w:rPr>
        <w:lastRenderedPageBreak/>
        <w:t>1.3 Классификация ингибиторов контрольных точек</w:t>
      </w:r>
    </w:p>
    <w:p w14:paraId="00000073" w14:textId="77777777" w:rsidR="00DC0EE8" w:rsidRDefault="00DF7D84" w:rsidP="14EE7DEF">
      <w:r>
        <w:t>Ингибиторы иммунных контрольных точек (immune check-point inhibitors, ICI) — современные препараты для иммунотерапии — принципиально подразделяются на нацеленные на PD-1 (programmed cell death protein-1, протеин программируемой клеточной смерти) или PD-L1 (лиганд programmed cell death protein-1) и на анти-CTLA-антитела (cytotoxic T-lymphocyte-associated protein-4, протеин, ассоциированный с цитотоксическими Т-лимфоцитами). Шесть препаратов, включая один блокатор CTLA-4 (ипилимумаб), два блокатора PD-1 (ниволумаб и пембролизумаб) и три блокатора PD-L1 (атезолизумаб, авелумаб и дурвалумаб), одобрены для лечения различных типов рака, включая как солидные опухоли, такие как как меланома, рак легких, рак головы и шеи, рак мочевого пузыря и рак из клеток Меркеля, так и гематологические опухоли, такие как классическая лимфома Ходжкина (табл. 1)</w:t>
      </w:r>
    </w:p>
    <w:p w14:paraId="00000074" w14:textId="77777777" w:rsidR="00DC0EE8" w:rsidRDefault="00DC0EE8" w:rsidP="14EE7DEF"/>
    <w:tbl>
      <w:tblPr>
        <w:tblStyle w:val="a5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485"/>
        <w:gridCol w:w="1269"/>
        <w:gridCol w:w="4786"/>
      </w:tblGrid>
      <w:tr w:rsidR="00DC0EE8" w14:paraId="47B03548" w14:textId="77777777" w:rsidTr="14EE7DEF">
        <w:trPr>
          <w:trHeight w:val="615"/>
        </w:trPr>
        <w:tc>
          <w:tcPr>
            <w:tcW w:w="14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5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Препарат</w:t>
            </w:r>
          </w:p>
        </w:tc>
        <w:tc>
          <w:tcPr>
            <w:tcW w:w="1485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6" w14:textId="77777777" w:rsidR="00DC0EE8" w:rsidRDefault="14EE7DEF" w:rsidP="14EE7DEF">
            <w:pPr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 w:rsidRPr="14EE7DEF">
              <w:rPr>
                <w:sz w:val="22"/>
                <w:szCs w:val="22"/>
              </w:rPr>
              <w:t>Год регистрации,</w:t>
            </w:r>
          </w:p>
          <w:p w14:paraId="00000077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США</w:t>
            </w:r>
          </w:p>
        </w:tc>
        <w:tc>
          <w:tcPr>
            <w:tcW w:w="1269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8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Мишень</w:t>
            </w:r>
          </w:p>
        </w:tc>
        <w:tc>
          <w:tcPr>
            <w:tcW w:w="4785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9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color w:val="444444"/>
                <w:sz w:val="22"/>
                <w:szCs w:val="22"/>
              </w:rPr>
              <w:t>Показания к применению</w:t>
            </w:r>
          </w:p>
        </w:tc>
      </w:tr>
      <w:tr w:rsidR="00DC0EE8" w14:paraId="3BD78033" w14:textId="77777777" w:rsidTr="14EE7DEF">
        <w:trPr>
          <w:trHeight w:val="345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A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Ипилимумаб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B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2011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C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CTLA-4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D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Меланома</w:t>
            </w:r>
          </w:p>
        </w:tc>
      </w:tr>
      <w:tr w:rsidR="00DC0EE8" w14:paraId="08D326AF" w14:textId="77777777" w:rsidTr="14EE7DEF">
        <w:trPr>
          <w:trHeight w:val="900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E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Ниволумаб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7F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2014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0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PD-1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1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Меланома, рак легкого, лимфома Ходжкина, рак головы и шеи, уротелиальная карцинома, ГЦК</w:t>
            </w:r>
          </w:p>
        </w:tc>
      </w:tr>
      <w:tr w:rsidR="00DC0EE8" w14:paraId="042D4EC2" w14:textId="77777777" w:rsidTr="14EE7DEF">
        <w:trPr>
          <w:trHeight w:val="1425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2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Пембролизумаб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3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2014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4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PD-1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5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Меланома, НМРЛ, МРЛ, лимфома Ходжкина, ОГиШ, уротелиальная карцинома, ГЦК, злокачественные новообразования с высоким уровнем микросателлитной нестабильности, рак желудка с экспрессией PD-L1, аденокарцинома желудка, РШМ, почерно-клеточный рак</w:t>
            </w:r>
          </w:p>
        </w:tc>
      </w:tr>
      <w:tr w:rsidR="00DC0EE8" w14:paraId="09E06BA6" w14:textId="77777777" w:rsidTr="14EE7DEF">
        <w:trPr>
          <w:trHeight w:val="555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6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Атезолизумаб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7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2016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8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PD-L1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9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Уротелиальная карцинома, НМРЛ, МРЛ, ТНРМЖ</w:t>
            </w:r>
          </w:p>
        </w:tc>
      </w:tr>
      <w:tr w:rsidR="00DC0EE8" w14:paraId="1A245BF3" w14:textId="77777777" w:rsidTr="14EE7DEF">
        <w:trPr>
          <w:trHeight w:val="345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A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Авелумаб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B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2017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C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PD-L1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D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Карцинома из клеток Меркеля, уротелиальная карцинома</w:t>
            </w:r>
          </w:p>
        </w:tc>
      </w:tr>
      <w:tr w:rsidR="00DC0EE8" w14:paraId="272BA5CC" w14:textId="77777777" w:rsidTr="14EE7DEF">
        <w:trPr>
          <w:trHeight w:val="345"/>
        </w:trPr>
        <w:tc>
          <w:tcPr>
            <w:tcW w:w="1485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E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Дурвалумаб</w:t>
            </w:r>
          </w:p>
        </w:tc>
        <w:tc>
          <w:tcPr>
            <w:tcW w:w="14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8F" w14:textId="77777777" w:rsidR="00DC0EE8" w:rsidRDefault="00DF7D84" w:rsidP="14EE7DE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2017</w:t>
            </w:r>
          </w:p>
        </w:tc>
        <w:tc>
          <w:tcPr>
            <w:tcW w:w="1269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90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PD,L1</w:t>
            </w:r>
          </w:p>
        </w:tc>
        <w:tc>
          <w:tcPr>
            <w:tcW w:w="4785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91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Уротелиальная карцинома, НМРЛ</w:t>
            </w:r>
          </w:p>
        </w:tc>
      </w:tr>
    </w:tbl>
    <w:p w14:paraId="00000092" w14:textId="77777777" w:rsidR="00DC0EE8" w:rsidRDefault="00DC0EE8" w:rsidP="14EE7DEF"/>
    <w:p w14:paraId="00000093" w14:textId="77777777" w:rsidR="00DC0EE8" w:rsidRDefault="14EE7DEF">
      <w:r w:rsidRPr="14EE7DEF">
        <w:lastRenderedPageBreak/>
        <w:t xml:space="preserve">Таблица 1. Применяющиеся на сегодняшний день препараты класса чекпоинт-ингибиторов </w:t>
      </w:r>
      <w:hyperlink r:id="rId27">
        <w:r w:rsidRPr="14EE7DEF">
          <w:t>[17]</w:t>
        </w:r>
      </w:hyperlink>
      <w:r w:rsidRPr="14EE7DEF">
        <w:t xml:space="preserve">. </w:t>
      </w:r>
    </w:p>
    <w:p w14:paraId="00000094" w14:textId="77777777" w:rsidR="00DC0EE8" w:rsidRDefault="00DC0EE8"/>
    <w:p w14:paraId="00000095" w14:textId="77777777" w:rsidR="00DC0EE8" w:rsidRDefault="14EE7DEF" w:rsidP="14EE7DEF">
      <w:pPr>
        <w:rPr>
          <w:u w:val="single"/>
        </w:rPr>
      </w:pPr>
      <w:r w:rsidRPr="14EE7DEF">
        <w:rPr>
          <w:u w:val="single"/>
        </w:rPr>
        <w:t>CTLA-ингибиторы</w:t>
      </w:r>
    </w:p>
    <w:p w14:paraId="00000096" w14:textId="77777777" w:rsidR="00DC0EE8" w:rsidRDefault="14EE7DEF">
      <w:r w:rsidRPr="14EE7DEF">
        <w:t>CTLA4 экспрессируется исключительно на Т-клетках, где он в первую очередь регулирует раннюю фазу активации Т-клеток. CTLA4 противодействует активности костимулирующего рецептора Т-клеток, CD28, косвенно уменьшая передачу сигналов через него. В отличие от CD28 связывание CTLA-4 с B7 не дает стимулирующего сигнала. Таким образом, конкурентное связывание может предотвращать костимулирующий сигнал, обычно обеспечиваемый связыванием CD28:B77. Отношение пар CD28:B7 по сравнению с парами CTLA-</w:t>
      </w:r>
      <w:proofErr w:type="gramStart"/>
      <w:r w:rsidRPr="14EE7DEF">
        <w:t>4:B</w:t>
      </w:r>
      <w:proofErr w:type="gramEnd"/>
      <w:r w:rsidRPr="14EE7DEF">
        <w:t>7 определяет либо активацию, либо анэргию Т-лимфоцита (рис. 1).</w:t>
      </w:r>
    </w:p>
    <w:p w14:paraId="00000097" w14:textId="77777777" w:rsidR="00DC0EE8" w:rsidRDefault="00DF7D84">
      <w:r>
        <w:rPr>
          <w:noProof/>
          <w:lang w:val="ru-RU"/>
        </w:rPr>
        <w:drawing>
          <wp:inline distT="114300" distB="114300" distL="114300" distR="114300" wp14:anchorId="57DEFF42" wp14:editId="07777777">
            <wp:extent cx="5731200" cy="458470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8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98" w14:textId="77777777" w:rsidR="00DC0EE8" w:rsidRDefault="14EE7DEF">
      <w:r w:rsidRPr="14EE7DEF">
        <w:t>Рисунок 1. Механизм действия CTLA-ингибиторов.</w:t>
      </w:r>
    </w:p>
    <w:p w14:paraId="00000099" w14:textId="77777777" w:rsidR="00DC0EE8" w:rsidRDefault="00DC0EE8"/>
    <w:p w14:paraId="0000009A" w14:textId="77777777" w:rsidR="00DC0EE8" w:rsidRDefault="14EE7DEF">
      <w:r w:rsidRPr="14EE7DEF">
        <w:t xml:space="preserve">Таким образом, ограничивая CD28-опосредованную передачу сигналов во время презентации антигена, CTLA-4 повышает порог активации Т-клеток, вследствие чего иммунный ответ на определенные антигены снижается. Этими антигенами могут быть и антигены опухоли. Роль, которую CTLA-4 играет в иммунологической толерантности, продемонстрирована в ходе экспериментов на мышах, у которых отсутствует ген CTLA-4. У этих животных развиваются лимфопролиферативные заболевания </w:t>
      </w:r>
      <w:hyperlink r:id="rId29">
        <w:r w:rsidRPr="14EE7DEF">
          <w:t>[18]</w:t>
        </w:r>
      </w:hyperlink>
      <w:r w:rsidRPr="14EE7DEF">
        <w:t xml:space="preserve">. В исследовании Gough et al. была выявлена связь полиморфизмов в гене CTLA-4 с аутоиммунными заболеваниями у людей </w:t>
      </w:r>
      <w:hyperlink r:id="rId30">
        <w:r w:rsidRPr="14EE7DEF">
          <w:t>[19]</w:t>
        </w:r>
      </w:hyperlink>
      <w:r w:rsidRPr="14EE7DEF">
        <w:t xml:space="preserve">. Также в работе Curran et al. было показано, что передача сигналов CTLA-4 ослабляет иммунный ответ против инфекций и опухолевых клеток </w:t>
      </w:r>
      <w:hyperlink r:id="rId31">
        <w:r w:rsidRPr="14EE7DEF">
          <w:t>[20]</w:t>
        </w:r>
      </w:hyperlink>
      <w:r w:rsidRPr="14EE7DEF">
        <w:t>.</w:t>
      </w:r>
    </w:p>
    <w:p w14:paraId="0000009B" w14:textId="77777777" w:rsidR="00DC0EE8" w:rsidRDefault="00DC0EE8"/>
    <w:p w14:paraId="0000009C" w14:textId="3A3E52CD" w:rsidR="00DC0EE8" w:rsidRDefault="14EE7DEF">
      <w:r w:rsidRPr="14EE7DEF">
        <w:t xml:space="preserve">Изначально идея о разработке препарата, блокирующего рецепторы CTLA, была неоднозначной, поскольку в исследованиях на животных, нокаутных по гену данного рецептора, была отмечена высокая частота тяжелых аутоиммунных реакций. Однако на доклинических моделях было показано, что частичное блокирование рецептора не приводит к серьезным последствиям. Так ипилимумаб стал первым препаратом, продемонстрировавшим преимущество в выживаемости пациентов с метастатической меланомой, и был одобрен Управлением по санитарному надзору за качеством пищевых продуктов и медикаментов США (FDA). В масштабном исследовании Hodi et al, опубликованном в New England Journal of Medicine, была отмечена интересная закономерность: доля пациентов с высокой выживаемостью была выше, чем доля пациентов с объективным ответом на лечение </w:t>
      </w:r>
      <w:hyperlink r:id="rId32">
        <w:r w:rsidRPr="14EE7DEF">
          <w:t>[21]</w:t>
        </w:r>
      </w:hyperlink>
      <w:r w:rsidRPr="14EE7DEF">
        <w:t>. Долго</w:t>
      </w:r>
      <w:r w:rsidR="00DF7D84">
        <w:t xml:space="preserve">временные эффекты и увеличение </w:t>
      </w:r>
      <w:r w:rsidRPr="14EE7DEF">
        <w:t xml:space="preserve">выживаемости спустя долгое время после завершения относительно короткого курса терапии (четыре дозы по 10 мг/кг в течение 3 месяцев) подтверждают концепцию о том, что иммунотерапия может «переучить» иммунную систему, </w:t>
      </w:r>
      <w:r w:rsidRPr="14EE7DEF">
        <w:lastRenderedPageBreak/>
        <w:t>чтобы иммунный ответ на опухоль сохранялся и после завершение терапевтического вмешательства.</w:t>
      </w:r>
    </w:p>
    <w:p w14:paraId="0000009D" w14:textId="77777777" w:rsidR="00DC0EE8" w:rsidRDefault="00DC0EE8" w:rsidP="14EE7DEF">
      <w:pPr>
        <w:pStyle w:val="2"/>
      </w:pPr>
      <w:bookmarkStart w:id="11" w:name="_g5s7xnsyvuq" w:colFirst="0" w:colLast="0"/>
      <w:bookmarkEnd w:id="11"/>
    </w:p>
    <w:p w14:paraId="0000009E" w14:textId="77777777" w:rsidR="00DC0EE8" w:rsidRDefault="14EE7DEF" w:rsidP="14EE7DEF">
      <w:pPr>
        <w:rPr>
          <w:u w:val="single"/>
        </w:rPr>
      </w:pPr>
      <w:r w:rsidRPr="14EE7DEF">
        <w:rPr>
          <w:u w:val="single"/>
        </w:rPr>
        <w:t>Блокаторы PD-1 и PD-L1</w:t>
      </w:r>
    </w:p>
    <w:p w14:paraId="0000009F" w14:textId="77777777" w:rsidR="00DC0EE8" w:rsidRDefault="14EE7DEF">
      <w:r w:rsidRPr="14EE7DEF">
        <w:t xml:space="preserve">В отличие от CTLA-4 основная роль PD-1 заключается в ограничении активности Т-клеток в периферических тканях во время воспалительного ответа на инфекцию и в ограничении аутоиммунных реакций. Именно это делает взаимодействия с PD-1 основным механизмом иммунной резистентности в микроокружении опухоли. Экспрессия PD-1 индуцируется, когда активируются Т-клетки. При взаимодействии с одним из своих лигандов PD-1 ингибирует киназы, которые участвуют в активации Т-клеток через фосфатазу SHP2. Кроме того, поскольку взаимодействие PD1 ингибирует «стоп-сигнал» рецептора Т-лимфоцита, этот путь может изменять продолжительность контакта Т-лимфоцитов с антигенпрезентирующими клетками или с клетками-мишенями. Подобно CTLA-4, PD-1 экспрессируется на T-регуляторных клетках. Он может усиливать их пролиферацию в присутствии лиганда. Многие опухоли инфильтрированы именно T-regs, поэтому блокада пути PD-1 может усиливать противоопухолевый иммунный ответ за счет уменьшения количества и / или ингибирующей активности внутриопухолевых T-регуляторных клеток </w:t>
      </w:r>
      <w:hyperlink r:id="rId33">
        <w:r w:rsidRPr="14EE7DEF">
          <w:t>[22]</w:t>
        </w:r>
      </w:hyperlink>
      <w:r w:rsidRPr="14EE7DEF">
        <w:t xml:space="preserve">. Основная роль пути программируемой клеточной смерти (PD) заключается не в начальной активации Т-клеток, а в регулировании воспалительных реакций в тканях эффекторными Т-клетками, распознающими антиген в периферических тканях. Активированные Т-клетки активируют PD-1 и продолжают экспрессировать его. Воспалительные сигналы в тканях индуцируют экспрессию лигандов PD-1, которые подавляют активность Т-клеток и таким образом ограничивают иммуноопосредованное повреждение тканей. Лиганд PD-1 лучше всего индуцируется интерфероном-γ (IFNγ), который </w:t>
      </w:r>
      <w:r w:rsidRPr="14EE7DEF">
        <w:lastRenderedPageBreak/>
        <w:t>продуцируется Т-хелперами 1 типа (TH1). Механизм блокады PD-1 рецептора подробно отражен на рис. 2.</w:t>
      </w:r>
    </w:p>
    <w:p w14:paraId="000000A0" w14:textId="77777777" w:rsidR="00DC0EE8" w:rsidRDefault="00DF7D84">
      <w:r>
        <w:rPr>
          <w:noProof/>
          <w:lang w:val="ru-RU"/>
        </w:rPr>
        <w:drawing>
          <wp:inline distT="114300" distB="114300" distL="114300" distR="114300" wp14:anchorId="3CA22AE0" wp14:editId="07777777">
            <wp:extent cx="2438400" cy="3771900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 wp14:anchorId="03D45C8C" wp14:editId="07777777">
            <wp:extent cx="2390775" cy="37433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743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1" w14:textId="77777777" w:rsidR="00DC0EE8" w:rsidRDefault="14EE7DEF">
      <w:r w:rsidRPr="14EE7DEF">
        <w:t>Рисунок 2. Механизм действия PD(L)-1 ингибиторов.</w:t>
      </w:r>
    </w:p>
    <w:p w14:paraId="000000A2" w14:textId="77777777" w:rsidR="00DC0EE8" w:rsidRDefault="00DC0EE8"/>
    <w:p w14:paraId="000000A3" w14:textId="77777777" w:rsidR="00DC0EE8" w:rsidRDefault="14EE7DEF">
      <w:r w:rsidRPr="14EE7DEF">
        <w:t xml:space="preserve">Необходимо отметить, что персистирующее воздействие антигена, например, как при хронической вирусной инфекции и злокачественном процессе, может привести </w:t>
      </w:r>
      <w:proofErr w:type="gramStart"/>
      <w:r w:rsidRPr="14EE7DEF">
        <w:t>к стойкой</w:t>
      </w:r>
      <w:proofErr w:type="gramEnd"/>
      <w:r w:rsidRPr="14EE7DEF">
        <w:t xml:space="preserve"> экспрессии PD-1, что вызывает состояние истощения или анергии Т-лимфоцитов. Это состояние, которое было продемонстрировано в исследованиях при хронических вирусных инфекциях у мышей и людей, по-видимому, частично обратимо с помощью блокады пути PD-1 </w:t>
      </w:r>
      <w:hyperlink r:id="rId36">
        <w:r w:rsidRPr="14EE7DEF">
          <w:t>[23]</w:t>
        </w:r>
      </w:hyperlink>
      <w:r w:rsidRPr="14EE7DEF">
        <w:t>. Хотя основная роль пути PD-1 заключается в ограничении иммунных эффекторных реакций в тканях, он также может сдвигать к иммунотолерантности Т-клеточные ответы на антигены во вторичных лимфоидных тканях.</w:t>
      </w:r>
    </w:p>
    <w:p w14:paraId="000000A4" w14:textId="77777777" w:rsidR="00DC0EE8" w:rsidRDefault="00DC0EE8"/>
    <w:p w14:paraId="000000A5" w14:textId="77777777" w:rsidR="00DC0EE8" w:rsidRDefault="14EE7DEF" w:rsidP="14EE7DEF">
      <w:pPr>
        <w:pStyle w:val="2"/>
      </w:pPr>
      <w:bookmarkStart w:id="12" w:name="_4i66d034txok"/>
      <w:bookmarkEnd w:id="12"/>
      <w:r w:rsidRPr="14EE7DEF">
        <w:lastRenderedPageBreak/>
        <w:t>1.4 Токсичность ингибиторов иммунных контрольных точек</w:t>
      </w:r>
    </w:p>
    <w:p w14:paraId="000000A6" w14:textId="77777777" w:rsidR="00DC0EE8" w:rsidRDefault="14EE7DEF">
      <w:r w:rsidRPr="14EE7DEF">
        <w:t xml:space="preserve">Профиль токсичности нового класса препаратов — чекпоинт ингибиторов — сильно отличается от более привычных побочных эффектов химиотерапии. В отличие от химиотерапевтических препаратов, которые действуют на быстро делящиеся клетки и напрямую повреждают их, действие иммунотерапевтических агентов реализуется опосредованно — через «нацеливание» клеток иммунной системы на клетки опухоли. Вследствие этого их использование сопряжено </w:t>
      </w:r>
      <w:proofErr w:type="gramStart"/>
      <w:r w:rsidRPr="14EE7DEF">
        <w:t>с принципиально иным типов</w:t>
      </w:r>
      <w:proofErr w:type="gramEnd"/>
      <w:r w:rsidRPr="14EE7DEF">
        <w:t xml:space="preserve"> токсичности — иммуноопосредованными нежелательными явлениями (ИОНЯ). ИОНЯ связаны с неспецифической активацией иммунной системы и могут вовлекать практически любую систему органов. Особенностью иммуноопосредованных побочных явлений является то, что они могут иметь отсроченное начало и большую продолжительность по сравнению с нежелательными явлениями, возникающими в результате химиотерапии </w:t>
      </w:r>
      <w:hyperlink r:id="rId37">
        <w:r w:rsidRPr="14EE7DEF">
          <w:t>[24]</w:t>
        </w:r>
      </w:hyperlink>
      <w:r w:rsidRPr="14EE7DEF">
        <w:t>. Это связано с различиями в фармакодинамике. Более того, еще не выяснены механизмы дозозависомости ИОНЯ, их предстоит установить.</w:t>
      </w:r>
    </w:p>
    <w:p w14:paraId="000000A8" w14:textId="2079A811" w:rsidR="00DC0EE8" w:rsidRDefault="14EE7DEF" w:rsidP="14EE7DEF">
      <w:r w:rsidRPr="14EE7DEF">
        <w:t>В таблице 2 суммированы органы-мишени иммуноопосредованных нежелательных эффектов и проявления на уровне этих органов и систем.</w:t>
      </w:r>
    </w:p>
    <w:tbl>
      <w:tblPr>
        <w:tblStyle w:val="a6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9"/>
        <w:gridCol w:w="6246"/>
      </w:tblGrid>
      <w:tr w:rsidR="00DC0EE8" w14:paraId="3598D2F9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9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b/>
                <w:bCs/>
                <w:sz w:val="22"/>
                <w:szCs w:val="22"/>
              </w:rPr>
              <w:t>Система органов</w:t>
            </w:r>
          </w:p>
        </w:tc>
        <w:tc>
          <w:tcPr>
            <w:tcW w:w="6246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A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b/>
                <w:bCs/>
                <w:sz w:val="22"/>
                <w:szCs w:val="22"/>
              </w:rPr>
              <w:t>Иммуноопосредованные нежелательные реакции</w:t>
            </w:r>
          </w:p>
        </w:tc>
      </w:tr>
      <w:tr w:rsidR="00DC0EE8" w14:paraId="2DA4CB97" w14:textId="77777777" w:rsidTr="14EE7DEF">
        <w:trPr>
          <w:trHeight w:val="9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B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Кожа и подкожные ткани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C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Сыпь, витилиго, буллезные дерматозы, тяжелые кожные нежелательные реакции (синдром Стивенса—Джонсона, токсический эпидермальный некролиз, DRESS-синдром)</w:t>
            </w:r>
          </w:p>
        </w:tc>
      </w:tr>
      <w:tr w:rsidR="00DC0EE8" w14:paraId="1008C599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D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Пищеварительная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E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Диарея, колит, гастрит, энтерит, панкреатит</w:t>
            </w:r>
          </w:p>
        </w:tc>
      </w:tr>
      <w:tr w:rsidR="00DC0EE8" w14:paraId="33305FA3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AF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Дыхательная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0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Пневмонит, плеврит, саркоидоз</w:t>
            </w:r>
          </w:p>
        </w:tc>
      </w:tr>
      <w:tr w:rsidR="00DC0EE8" w14:paraId="0F56D056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1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Эндокринная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2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Тиреоидит, гипофизит, аутоиммунный диабет 1 типа</w:t>
            </w:r>
          </w:p>
        </w:tc>
      </w:tr>
      <w:tr w:rsidR="00DC0EE8" w14:paraId="0A70BE36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3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Гепатобилиарная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4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Трансаминиты, гепатит</w:t>
            </w:r>
          </w:p>
        </w:tc>
      </w:tr>
      <w:tr w:rsidR="00DC0EE8" w14:paraId="576D49AB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5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Костно-мышечная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6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Артрит, миозит, синдром полимиалгии</w:t>
            </w:r>
          </w:p>
        </w:tc>
      </w:tr>
      <w:tr w:rsidR="00DC0EE8" w14:paraId="09C874E1" w14:textId="77777777" w:rsidTr="14EE7DEF">
        <w:trPr>
          <w:trHeight w:val="3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7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Мочевыделительная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8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Нефрит</w:t>
            </w:r>
          </w:p>
        </w:tc>
      </w:tr>
      <w:tr w:rsidR="00DC0EE8" w14:paraId="4AECF04D" w14:textId="77777777" w:rsidTr="14EE7DEF">
        <w:trPr>
          <w:trHeight w:val="9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9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Нервная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A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Миастения, синдром Гийена—Барре, периферическая невропатия, вегетативная невропатия, асептический менингит, энцефалит, поперечный миелит</w:t>
            </w:r>
          </w:p>
        </w:tc>
      </w:tr>
      <w:tr w:rsidR="00DC0EE8" w14:paraId="68241C79" w14:textId="77777777" w:rsidTr="14EE7DEF">
        <w:trPr>
          <w:trHeight w:val="124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B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lastRenderedPageBreak/>
              <w:t>Система кроветворения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C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Аутоиммунная гемолитическая анемия, тромбоцитопеническая пурпура, гемолитический уремический синдром, апластическая анемия, лимфопения, иммунная тромбоцитопения, приобретенная гемофилия</w:t>
            </w:r>
          </w:p>
        </w:tc>
      </w:tr>
      <w:tr w:rsidR="00DC0EE8" w14:paraId="3E5C3A85" w14:textId="77777777" w:rsidTr="14EE7DEF">
        <w:trPr>
          <w:trHeight w:val="1050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D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Сердечно-сосудистая система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E" w14:textId="77777777" w:rsidR="00DC0EE8" w:rsidRDefault="00DF7D84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2"/>
                <w:szCs w:val="22"/>
              </w:rPr>
              <w:t>Миокардит, перикардит, кардиомиопатия, аритмии, нарушение желудочковой функции с сердечной недостаточностью и васкулитом, венозная тромбоэмболия</w:t>
            </w:r>
          </w:p>
        </w:tc>
      </w:tr>
      <w:tr w:rsidR="00DC0EE8" w14:paraId="165BDFD4" w14:textId="77777777" w:rsidTr="14EE7DEF">
        <w:trPr>
          <w:trHeight w:val="315"/>
        </w:trPr>
        <w:tc>
          <w:tcPr>
            <w:tcW w:w="2779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BF" w14:textId="77777777" w:rsidR="00DC0EE8" w:rsidRDefault="14EE7DEF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0"/>
                <w:szCs w:val="20"/>
              </w:rPr>
              <w:t>Органы зрения</w:t>
            </w:r>
          </w:p>
        </w:tc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0C0" w14:textId="77777777" w:rsidR="00DC0EE8" w:rsidRDefault="14EE7DEF" w:rsidP="14EE7DEF">
            <w:pPr>
              <w:widowControl w:val="0"/>
              <w:spacing w:line="276" w:lineRule="auto"/>
              <w:jc w:val="left"/>
              <w:rPr>
                <w:sz w:val="20"/>
                <w:szCs w:val="20"/>
              </w:rPr>
            </w:pPr>
            <w:r w:rsidRPr="14EE7DEF">
              <w:rPr>
                <w:sz w:val="20"/>
                <w:szCs w:val="20"/>
              </w:rPr>
              <w:t>Увеит/ирит, конъюнктивит, склерит, эписклерит, блефарит</w:t>
            </w:r>
          </w:p>
        </w:tc>
      </w:tr>
    </w:tbl>
    <w:p w14:paraId="000000C1" w14:textId="77777777" w:rsidR="00DC0EE8" w:rsidRDefault="00DF7D84">
      <w:r>
        <w:br/>
        <w:t xml:space="preserve">Таблица 2. Органы-мишени для развития иммуноопосредованных нежелательных реакций, связанных с применением ингибиторов контрольных точек </w:t>
      </w:r>
      <w:hyperlink r:id="rId38">
        <w:r>
          <w:t>[17]</w:t>
        </w:r>
      </w:hyperlink>
      <w:r>
        <w:t xml:space="preserve">. </w:t>
      </w:r>
    </w:p>
    <w:p w14:paraId="000000C2" w14:textId="77777777" w:rsidR="00DC0EE8" w:rsidRDefault="00DC0EE8"/>
    <w:p w14:paraId="000000C3" w14:textId="77777777" w:rsidR="00DC0EE8" w:rsidRDefault="14EE7DEF">
      <w:pPr>
        <w:rPr>
          <w:u w:val="single"/>
        </w:rPr>
      </w:pPr>
      <w:r w:rsidRPr="14EE7DEF">
        <w:rPr>
          <w:u w:val="single"/>
        </w:rPr>
        <w:t>Ингибиторы CTLA-4</w:t>
      </w:r>
    </w:p>
    <w:p w14:paraId="000000C4" w14:textId="77777777" w:rsidR="00DC0EE8" w:rsidRDefault="14EE7DEF">
      <w:r w:rsidRPr="14EE7DEF">
        <w:t xml:space="preserve">В нормальных физиологических условиях CTLA-4 действует как отрицательный костимуляторный сигнал Т-клеток, поддерживая гомеостаз периферических Т-клеток и толерантность к собственным антигенам или антигенам окружающей среды. Экспрессия рецептора на активированных Т-клетках индуцируется после взаимодействия с Т-клеточным рецептором, в то время как на Т-регуляторных клетках (CD4 + FoxP3+) он экспрессируется конститутивно. Таким образом, если блокада CTLA-4 увеличивает соотношение внутриопухолевых Т-эффекторных / Т-регуляторных клеток у онкологических больных, истощая Т-регуляторные клетки, иммунотерапия, модулирующая CTLA-4 (например, абатацепт), улучшает тормозящую функцию регуляторных Т-клеток у больных ревматоидным артритом </w:t>
      </w:r>
      <w:hyperlink r:id="rId39">
        <w:r w:rsidRPr="14EE7DEF">
          <w:t>[25]</w:t>
        </w:r>
      </w:hyperlink>
      <w:r w:rsidRPr="14EE7DEF">
        <w:t>. Этот пример подчеркивает противоположность терапевтических стратегий для пациентов с онкологическими и аутоиммунными заболеваниями.</w:t>
      </w:r>
    </w:p>
    <w:p w14:paraId="000000C5" w14:textId="77777777" w:rsidR="00DC0EE8" w:rsidRDefault="00DC0EE8"/>
    <w:p w14:paraId="000000C6" w14:textId="77777777" w:rsidR="00DC0EE8" w:rsidRDefault="14EE7DEF">
      <w:r w:rsidRPr="14EE7DEF">
        <w:t xml:space="preserve">Согласно данным метаанализа Bertrand et al., общая частота встречаемости иммуннопосредованных нежелательных явления при лечении анти-CTLA-4 составила 72% (95% ДИ, 65–79;) для всех степеней и 24% (95% ДИ, 18–30;) для токсичности высокой степени (3-4 по CTCAE) </w:t>
      </w:r>
      <w:hyperlink r:id="rId40">
        <w:r w:rsidRPr="14EE7DEF">
          <w:t>[26]</w:t>
        </w:r>
      </w:hyperlink>
      <w:r w:rsidRPr="14EE7DEF">
        <w:t xml:space="preserve">. Частота ИОНЯ любой </w:t>
      </w:r>
      <w:r w:rsidRPr="14EE7DEF">
        <w:lastRenderedPageBreak/>
        <w:t>степени варьировала в зависимости от дозировки препарата: от 61% (95% ДИ, 56–66) у пациентов, получавших ипилимумаб в дозе 3 мг / кг, до 79% (95% ДИ, 69 –89) у пациентов, получавших ипилимумаб в дозе 10 мг / кг. Этот дозозависимый эффект наблюдался и при ИОНЯ высокой степени и составил 17% (95% ДИ, 10–23) с ипилимумабом в дозе 3 мг / кг и 31% (95% ДИ, 22–39) с ипилимумабом 10 мг / кг. Отношение рисков (ОР) развития ИОНЯ при применении ипилимумаба в дозе 10 мг / кг по сравнению с 3 мг / кг составило 3,10 (1,59–6,03; P = 0,0008) для ИОНЯ высокой степени. Отношение рисков общего уровня заболеваемости ИОНЯ для всех степеней не достигло статистически значимой разницы (ОР 1,16 (0,97–1,38); P = 0,10).</w:t>
      </w:r>
    </w:p>
    <w:p w14:paraId="000000C7" w14:textId="77777777" w:rsidR="00DC0EE8" w:rsidRDefault="14EE7DEF">
      <w:r w:rsidRPr="14EE7DEF">
        <w:t>Смертельные иммуноопосредованные нежелательные явления были зарегистрированы у 11 пациентов (0,86%). Чаще всего они были сопряжены с перфорацией кишечника у пациентов с колитом.</w:t>
      </w:r>
    </w:p>
    <w:p w14:paraId="000000C8" w14:textId="77777777" w:rsidR="00DC0EE8" w:rsidRDefault="00DC0EE8">
      <w:pPr>
        <w:rPr>
          <w:u w:val="single"/>
        </w:rPr>
      </w:pPr>
    </w:p>
    <w:p w14:paraId="000000C9" w14:textId="77777777" w:rsidR="00DC0EE8" w:rsidRDefault="14EE7DEF">
      <w:pPr>
        <w:rPr>
          <w:u w:val="single"/>
        </w:rPr>
      </w:pPr>
      <w:r w:rsidRPr="14EE7DEF">
        <w:rPr>
          <w:u w:val="single"/>
        </w:rPr>
        <w:t>Анти PD(L)-1 препараты</w:t>
      </w:r>
    </w:p>
    <w:p w14:paraId="000000CA" w14:textId="77777777" w:rsidR="00DC0EE8" w:rsidRDefault="14EE7DEF">
      <w:r w:rsidRPr="14EE7DEF">
        <w:t xml:space="preserve">Токсичность моноклональных антител против PD-1 / PD-L1, по-видимому, встречается реже и, как правило, менее серьезна по сравнению с анти-CTLA-4. Тяжелые иммунооопосредованные реакции (3-4 степень по CTCAE) наблюдались у от 7% до 12% пациентов, получавших монотерапию анти-PD(L)-1, в отличие от 10–18% пациентов, которые получали монотерапию анти-CTLA-4, в исследованиях III фазы </w:t>
      </w:r>
      <w:hyperlink r:id="rId41">
        <w:r w:rsidRPr="14EE7DEF">
          <w:t>[27]</w:t>
        </w:r>
      </w:hyperlink>
      <w:r w:rsidRPr="14EE7DEF">
        <w:t xml:space="preserve">, </w:t>
      </w:r>
      <w:hyperlink r:id="rId42">
        <w:r w:rsidRPr="14EE7DEF">
          <w:t>[28]</w:t>
        </w:r>
      </w:hyperlink>
      <w:r w:rsidRPr="14EE7DEF">
        <w:t xml:space="preserve">. </w:t>
      </w:r>
    </w:p>
    <w:p w14:paraId="000000CB" w14:textId="77777777" w:rsidR="00DC0EE8" w:rsidRDefault="00DC0EE8"/>
    <w:p w14:paraId="000000CC" w14:textId="77777777" w:rsidR="00DC0EE8" w:rsidRDefault="14EE7DEF">
      <w:r w:rsidRPr="14EE7DEF">
        <w:t xml:space="preserve">Наиболее частым нежелательным явлением в исследованиях </w:t>
      </w:r>
      <w:proofErr w:type="gramStart"/>
      <w:r w:rsidRPr="14EE7DEF">
        <w:t>препаратов  анти</w:t>
      </w:r>
      <w:proofErr w:type="gramEnd"/>
      <w:r w:rsidRPr="14EE7DEF">
        <w:t>-PD-1 / PD-L1 является утомляемость. Как правило, утомляемость бывает легкой и не связана с другими системными симптомами. Конкретный механизм, с помощью которого ингибиторы контрольных точек могут вызывать утомляемость, в настоящее время неизвестен, но судя по всему, этот эффект не является дозозависимым.</w:t>
      </w:r>
    </w:p>
    <w:p w14:paraId="000000CD" w14:textId="77777777" w:rsidR="00DC0EE8" w:rsidRDefault="00DC0EE8"/>
    <w:p w14:paraId="000000CE" w14:textId="77777777" w:rsidR="00DC0EE8" w:rsidRDefault="14EE7DEF">
      <w:r w:rsidRPr="14EE7DEF">
        <w:lastRenderedPageBreak/>
        <w:t xml:space="preserve">Лихорадка, озноб и инфузионные реакции являются нередкими осложнениям иммунотерапи с примененением различных агентов, в том числе чекпоинт-ингибиторов. Предполагается, что механизм, лежащий в основе развития этой токсичности, связан с высвобождением цитокинов и неспецифической активацией иммунного ответа. Однако инфузионные реакции, связанные с анти-PD-1 / PD-L1, очень редки и составляют &lt;1% НЯ в исследованиях фазы III </w:t>
      </w:r>
      <w:hyperlink r:id="rId43">
        <w:r w:rsidRPr="14EE7DEF">
          <w:t>[4]</w:t>
        </w:r>
      </w:hyperlink>
      <w:r w:rsidRPr="14EE7DEF">
        <w:t>.</w:t>
      </w:r>
    </w:p>
    <w:p w14:paraId="000000CF" w14:textId="77777777" w:rsidR="00DC0EE8" w:rsidRDefault="00DC0EE8">
      <w:pPr>
        <w:rPr>
          <w:u w:val="single"/>
        </w:rPr>
      </w:pPr>
    </w:p>
    <w:p w14:paraId="000000D0" w14:textId="77777777" w:rsidR="00DC0EE8" w:rsidRDefault="14EE7DEF">
      <w:pPr>
        <w:rPr>
          <w:u w:val="single"/>
        </w:rPr>
      </w:pPr>
      <w:r w:rsidRPr="14EE7DEF">
        <w:rPr>
          <w:u w:val="single"/>
        </w:rPr>
        <w:t>Комбинация иммунопрепаратов в сравнении с монотерапией</w:t>
      </w:r>
    </w:p>
    <w:p w14:paraId="000000D1" w14:textId="77777777" w:rsidR="00DC0EE8" w:rsidRDefault="14EE7DEF">
      <w:r w:rsidRPr="14EE7DEF">
        <w:t xml:space="preserve">Согласно имеющимся данным, комбинация иммунопрепаратов показывает не только более высокую эффективность, но и более выраженную токсичность от лечения. Это было продемонстрировано, в частности, </w:t>
      </w:r>
      <w:proofErr w:type="gramStart"/>
      <w:r w:rsidRPr="14EE7DEF">
        <w:t>в  исследовании</w:t>
      </w:r>
      <w:proofErr w:type="gramEnd"/>
      <w:r w:rsidRPr="14EE7DEF">
        <w:t xml:space="preserve"> Checkmate 067, в котором сравнивали ипилимумаб, ниволумаб и их комбинацию. Были получены следующие результаты: в случае использования комбинированной схемы лечения токсичность любой степени развивалась у 96</w:t>
      </w:r>
      <w:proofErr w:type="gramStart"/>
      <w:r w:rsidRPr="14EE7DEF">
        <w:t>%  пациентов</w:t>
      </w:r>
      <w:proofErr w:type="gramEnd"/>
      <w:r w:rsidRPr="14EE7DEF">
        <w:t xml:space="preserve">, тогда как в обоих режимах монотерапии была продемонстрирована токсичность в 86% случаев. Также ИОНЯ чаще приводили к прекращению лечения в группе комбинации, чем в группах монотерапии. Иммуноопосредованные явления 3 или 4 степени встречались у 59% пациентов, получавших двойную терапию, по сравнению с 21 и 28% пациентов, получавших только ниволумаб или ипилимумаб соответственно. Чаще всего эти нежелательные реакции регистрировались со стороны желудочно-кишечного тракта </w:t>
      </w:r>
      <w:hyperlink r:id="rId44">
        <w:r w:rsidRPr="14EE7DEF">
          <w:t>[29]</w:t>
        </w:r>
      </w:hyperlink>
      <w:r w:rsidRPr="14EE7DEF">
        <w:t xml:space="preserve">. </w:t>
      </w:r>
    </w:p>
    <w:p w14:paraId="000000D2" w14:textId="77777777" w:rsidR="00DC0EE8" w:rsidRDefault="00DC0EE8"/>
    <w:p w14:paraId="000000D3" w14:textId="77777777" w:rsidR="00DC0EE8" w:rsidRDefault="14EE7DEF">
      <w:r w:rsidRPr="14EE7DEF">
        <w:t xml:space="preserve">В исследовании Motzer et al. выявлена следующая закономерность: снижение дозы ипилимумаба в комбинации с PD-1-ингибитором приводит к снижению токсичности комбинированной терапии. Ниволумаб с низкими дозами ипилимумаба (1 мг/кг) был одобрен для лечения почечно-клеточного рака, поскольку уровень токсичности, как сообщается, был ниже, по сравнению с комбинированной терапией с более высокими дозами ипилимумаба </w:t>
      </w:r>
      <w:hyperlink r:id="rId45">
        <w:r w:rsidRPr="14EE7DEF">
          <w:t>[30]</w:t>
        </w:r>
      </w:hyperlink>
      <w:r w:rsidRPr="14EE7DEF">
        <w:t xml:space="preserve">. </w:t>
      </w:r>
      <w:r w:rsidRPr="14EE7DEF">
        <w:lastRenderedPageBreak/>
        <w:t>Кроме того, в исследовании KEYNOTE-029 изучался пембролизумаб в качестве альтернативы ниволумабу (в комбинации с ипилимумабом). Было показано, что при использовании пембролизумаба токсичность схемы была более переносимой.</w:t>
      </w:r>
    </w:p>
    <w:p w14:paraId="000000D4" w14:textId="77777777" w:rsidR="00DC0EE8" w:rsidRDefault="00DC0EE8"/>
    <w:p w14:paraId="000000D5" w14:textId="77777777" w:rsidR="00DC0EE8" w:rsidRDefault="14EE7DEF">
      <w:r w:rsidRPr="14EE7DEF">
        <w:t xml:space="preserve">На рис. 3 показана частота встречаемости различных иммуноопосредованных нежелательных явлений в зависимости от фармакологической группы препарата. </w:t>
      </w:r>
    </w:p>
    <w:p w14:paraId="000000D6" w14:textId="77777777" w:rsidR="00DC0EE8" w:rsidRDefault="00DC0EE8"/>
    <w:p w14:paraId="000000D7" w14:textId="77777777" w:rsidR="00DC0EE8" w:rsidRDefault="00DF7D84">
      <w:r>
        <w:rPr>
          <w:noProof/>
          <w:lang w:val="ru-RU"/>
        </w:rPr>
        <w:drawing>
          <wp:inline distT="114300" distB="114300" distL="114300" distR="114300" wp14:anchorId="34CF7950" wp14:editId="07777777">
            <wp:extent cx="5731200" cy="20955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8" w14:textId="77777777" w:rsidR="00DC0EE8" w:rsidRDefault="00DC0EE8"/>
    <w:p w14:paraId="000000D9" w14:textId="77777777" w:rsidR="00DC0EE8" w:rsidRDefault="14EE7DEF">
      <w:r w:rsidRPr="14EE7DEF">
        <w:t xml:space="preserve">Рисунок 3. Частота встречаемости ИОНЯ в зависимости от фармакологической группы препарата </w:t>
      </w:r>
      <w:hyperlink r:id="rId47">
        <w:r w:rsidRPr="14EE7DEF">
          <w:t>[4]</w:t>
        </w:r>
      </w:hyperlink>
      <w:r w:rsidRPr="14EE7DEF">
        <w:t>.</w:t>
      </w:r>
    </w:p>
    <w:p w14:paraId="000000DA" w14:textId="77777777" w:rsidR="00DC0EE8" w:rsidRDefault="14EE7DEF">
      <w:pPr>
        <w:rPr>
          <w:u w:val="single"/>
        </w:rPr>
      </w:pPr>
      <w:r w:rsidRPr="14EE7DEF">
        <w:rPr>
          <w:u w:val="single"/>
        </w:rPr>
        <w:t>Токсичность и эффективность иммунотерапии</w:t>
      </w:r>
    </w:p>
    <w:p w14:paraId="000000DB" w14:textId="77777777" w:rsidR="00DC0EE8" w:rsidRDefault="14EE7DEF">
      <w:r w:rsidRPr="14EE7DEF">
        <w:t xml:space="preserve">С накоплением клинического опыта использования иммунопрепаратов многими авторами начала отмечаться неожиданная закономерность: пациенты, у которых развивалась более выраженная токсичность от лечения, показывали лучшие результаты в отношении эффективности терапии. Клинические наблюдения фиксировали связь между развитием ИОНЯ и такими улучшение таких показателей, как частота объективного ответа (ЧОО) и общая и безрецидивная выживаемость (БРВ) </w:t>
      </w:r>
      <w:hyperlink r:id="rId48">
        <w:r w:rsidRPr="14EE7DEF">
          <w:t>[31]</w:t>
        </w:r>
      </w:hyperlink>
      <w:r w:rsidRPr="14EE7DEF">
        <w:t xml:space="preserve"> </w:t>
      </w:r>
      <w:hyperlink r:id="rId49">
        <w:r w:rsidRPr="14EE7DEF">
          <w:t>[32]</w:t>
        </w:r>
      </w:hyperlink>
      <w:r w:rsidRPr="14EE7DEF">
        <w:t xml:space="preserve">. </w:t>
      </w:r>
    </w:p>
    <w:p w14:paraId="000000DC" w14:textId="77777777" w:rsidR="00DC0EE8" w:rsidRDefault="00DC0EE8"/>
    <w:p w14:paraId="000000DD" w14:textId="77777777" w:rsidR="00DC0EE8" w:rsidRDefault="14EE7DEF">
      <w:r w:rsidRPr="14EE7DEF">
        <w:t>Сходство между антигенами опухолевых здоровых клеток — одна из ведущих гипотез развития ИОНЯ у пациентов, получавших чекпоинт-ингибиторы. К</w:t>
      </w:r>
      <w:r w:rsidRPr="00DF7D84">
        <w:rPr>
          <w:lang w:val="en-US"/>
        </w:rPr>
        <w:t xml:space="preserve"> </w:t>
      </w:r>
      <w:r w:rsidRPr="14EE7DEF">
        <w:lastRenderedPageBreak/>
        <w:t>такому</w:t>
      </w:r>
      <w:r w:rsidRPr="00DF7D84">
        <w:rPr>
          <w:lang w:val="en-US"/>
        </w:rPr>
        <w:t xml:space="preserve"> </w:t>
      </w:r>
      <w:r w:rsidRPr="14EE7DEF">
        <w:t>выводу</w:t>
      </w:r>
      <w:r w:rsidRPr="00DF7D84">
        <w:rPr>
          <w:lang w:val="en-US"/>
        </w:rPr>
        <w:t xml:space="preserve"> </w:t>
      </w:r>
      <w:r w:rsidRPr="14EE7DEF">
        <w:t>приходят</w:t>
      </w:r>
      <w:r w:rsidRPr="00DF7D84">
        <w:rPr>
          <w:lang w:val="en-US"/>
        </w:rPr>
        <w:t xml:space="preserve"> </w:t>
      </w:r>
      <w:r w:rsidRPr="14EE7DEF">
        <w:t>авторы</w:t>
      </w:r>
      <w:r w:rsidRPr="00DF7D84">
        <w:rPr>
          <w:lang w:val="en-US"/>
        </w:rPr>
        <w:t xml:space="preserve"> </w:t>
      </w:r>
      <w:r w:rsidRPr="14EE7DEF">
        <w:t>работы</w:t>
      </w:r>
      <w:r w:rsidRPr="00DF7D84">
        <w:rPr>
          <w:lang w:val="en-US"/>
        </w:rPr>
        <w:t xml:space="preserve"> «Characterization of nivolumab-associated skin reactions in patients with metastatic non-small cell lung cancer» </w:t>
      </w:r>
      <w:hyperlink r:id="rId50">
        <w:r w:rsidRPr="00DF7D84">
          <w:rPr>
            <w:lang w:val="en-US"/>
          </w:rPr>
          <w:t>[33]</w:t>
        </w:r>
      </w:hyperlink>
      <w:r w:rsidRPr="00DF7D84">
        <w:rPr>
          <w:lang w:val="en-US"/>
        </w:rPr>
        <w:t xml:space="preserve">. </w:t>
      </w:r>
      <w:r w:rsidRPr="14EE7DEF">
        <w:t xml:space="preserve">В коже пациентов, получавших ниволумаб, у которых развилась кожная токсичность, были обнаружены Т-клетки, которые активировались и атаковали здоровые кератиноциты. Кроме того, есть вероятность, что опухолеспецифические Т-клетки, активированные анти-PD-1, мигрировали в кожу. Возможно, кератиноциты экспрессируют антигены, которые идентичны антигенам опухоли или очень похожи на них. Это явление называется молекулярной мимикрией </w:t>
      </w:r>
      <w:hyperlink r:id="rId51">
        <w:r w:rsidRPr="14EE7DEF">
          <w:t>[34]</w:t>
        </w:r>
      </w:hyperlink>
      <w:r w:rsidRPr="14EE7DEF">
        <w:t>.</w:t>
      </w:r>
    </w:p>
    <w:p w14:paraId="000000DE" w14:textId="77777777" w:rsidR="00DC0EE8" w:rsidRDefault="00DC0EE8"/>
    <w:p w14:paraId="000000DF" w14:textId="77777777" w:rsidR="00DC0EE8" w:rsidRDefault="14EE7DEF">
      <w:r w:rsidRPr="14EE7DEF">
        <w:t xml:space="preserve">В метаанализе Hussaini et al. были собраны исследования, в которых так или иначе описывалась корреляция между эффективностью терапии чекпоинт-ингибиторами и токсичностью. Большая часть исследований, представленных в данном обзоре, относится к использованию иммунопрепаратов в лечении метастатической меланомы и немелкоклеточного рака легких (НМРЛ) — двух заболеваний, для которых иммунотерапия была одобрена в первую очередь. В работе было показано, что по-видимому, существует тесная связь между иммуноопосредованными явлениями и  противоопухолевой эффективностью ингибиторов контрольных точек </w:t>
      </w:r>
      <w:hyperlink r:id="rId52">
        <w:r w:rsidRPr="14EE7DEF">
          <w:t>[6]</w:t>
        </w:r>
      </w:hyperlink>
      <w:r w:rsidRPr="14EE7DEF">
        <w:t>. Поскольку показания к назначению этих препаратов постоянно расширяются, поиск предикторов эффективности и токсичности становится первостепенной задачей.</w:t>
      </w:r>
    </w:p>
    <w:p w14:paraId="000000E0" w14:textId="77777777" w:rsidR="00DC0EE8" w:rsidRDefault="00DC0EE8"/>
    <w:p w14:paraId="000000E1" w14:textId="77777777" w:rsidR="00DC0EE8" w:rsidRDefault="14EE7DEF">
      <w:r w:rsidRPr="14EE7DEF">
        <w:t>В исследованиях, посвященных меланоме, в которых оценивалась ЧОО, были получены следующие результаты: средневзвешенное значение ЧОО для пациентов, у которых развивались ИОНЯ, составило 37,67% (95% ДИ от 32,8 до 42,5), тогда как у пациентов без токсичности — 23,44% (95% ДИ от 17,8 до 42,5).</w:t>
      </w:r>
    </w:p>
    <w:p w14:paraId="000000E2" w14:textId="77777777" w:rsidR="00DC0EE8" w:rsidRDefault="14EE7DEF">
      <w:r w:rsidRPr="14EE7DEF">
        <w:t xml:space="preserve">Средневзвешенная общая выживаемость (ОВ) составила 15,24 месяца (95% ДИ от 9,95 до 20,5) у пациентов с ИОНЯ любой степени тяжести, по сравнению </w:t>
      </w:r>
      <w:r w:rsidRPr="14EE7DEF">
        <w:lastRenderedPageBreak/>
        <w:t xml:space="preserve">с 8,94 месяца (95% ДИ от 7,76 до 10,1) для пациентов без нежелательных явлений </w:t>
      </w:r>
      <w:hyperlink r:id="rId53">
        <w:r w:rsidRPr="14EE7DEF">
          <w:t>[6]</w:t>
        </w:r>
      </w:hyperlink>
      <w:r w:rsidRPr="14EE7DEF">
        <w:t xml:space="preserve">. </w:t>
      </w:r>
    </w:p>
    <w:p w14:paraId="000000E3" w14:textId="77777777" w:rsidR="00DC0EE8" w:rsidRDefault="00DC0EE8"/>
    <w:p w14:paraId="000000E4" w14:textId="77777777" w:rsidR="00DC0EE8" w:rsidRDefault="00DF7D84">
      <w:r>
        <w:t>В исследованиях НМРЛ данные были такими: средневзвешенная ЧОО составила 41,49% (95% ДИ от 36,5 до 46,5) для пациентов с ИОНЯ по сравнению с 18,01% (95% ДИ от 13,5 до 22,6) для пациентов, перенесших лечение без побочных явлений.</w:t>
      </w:r>
      <w:r>
        <w:br/>
        <w:t xml:space="preserve">Средневзвешенная ОВ у пациентов с токсичностью любого типа и степени составила 19,07 мес. (95% ДИ от 14,3 до 23,8) по сравнению с 7,45 месяцев (95% ДИ от 5,34 до 9,56) для пациентов без иммуноопосредованной токсичности </w:t>
      </w:r>
      <w:hyperlink r:id="rId54">
        <w:r>
          <w:t>[6]</w:t>
        </w:r>
      </w:hyperlink>
      <w:r>
        <w:t xml:space="preserve">. </w:t>
      </w:r>
    </w:p>
    <w:p w14:paraId="000000E5" w14:textId="77777777" w:rsidR="00DC0EE8" w:rsidRDefault="00DC0EE8"/>
    <w:p w14:paraId="000000E6" w14:textId="77777777" w:rsidR="00DC0EE8" w:rsidRDefault="14EE7DEF">
      <w:r w:rsidRPr="14EE7DEF">
        <w:t xml:space="preserve">Некоторые работы также были посвящены поиску корреляции между степенью токсичности и показателями эффективности лечения.  Так, ретроспективное исследование 290 пациентов с метастатическим заболеванием, получавших ингибиторы контрольных точек, показало, что пациенты с токсичностью 3 степени и выше имели более высокую частоту объективных ответов (25 против 6%; p = 0,039), а также большее среднее время до прогрессирования (30 недель против 10 недель; p = 0,0040), по сравнению с пациентами с токсичностью менее 3 степени </w:t>
      </w:r>
      <w:hyperlink r:id="rId55">
        <w:r w:rsidRPr="14EE7DEF">
          <w:t>[35]</w:t>
        </w:r>
      </w:hyperlink>
      <w:r w:rsidRPr="14EE7DEF">
        <w:t>.</w:t>
      </w:r>
    </w:p>
    <w:p w14:paraId="000000E8" w14:textId="7555FC4B" w:rsidR="00DC0EE8" w:rsidRDefault="00DF7D84" w:rsidP="00B22CE4">
      <w:r>
        <w:t xml:space="preserve">В небольшом ретроспективном исследованим Farolfi et al. сравнивалось время до прогрессирования (ВДП) и исходы общей выживаемости у пациентов с 1 или 2 степенью иммуноопосредованной токсичности, по сравнению с пациентами с токсичностью 3 или 4 степени после лечения ипилимумабом метастатической меланомы. Пациенты с токсичностью 3 или 4 степени имели значительно лучшую ВБП (9 месяцев по сравнению с 3 месяцами, p = 0,02) и ОВ (31 месяцев по сравнению с 4 месяцами, p = 0,010) </w:t>
      </w:r>
      <w:hyperlink r:id="rId56">
        <w:r w:rsidRPr="14EE7DEF">
          <w:t>[36]</w:t>
        </w:r>
      </w:hyperlink>
      <w:r w:rsidRPr="14EE7DEF">
        <w:t>.</w:t>
      </w:r>
      <w:bookmarkStart w:id="13" w:name="_lcdnieb6mdkp" w:colFirst="0" w:colLast="0"/>
      <w:bookmarkEnd w:id="13"/>
    </w:p>
    <w:p w14:paraId="000000E9" w14:textId="77777777" w:rsidR="00DC0EE8" w:rsidRDefault="14EE7DEF" w:rsidP="14EE7DEF">
      <w:pPr>
        <w:pStyle w:val="2"/>
        <w:rPr>
          <w:iCs/>
        </w:rPr>
      </w:pPr>
      <w:bookmarkStart w:id="14" w:name="_uh5c9iocaho2"/>
      <w:bookmarkEnd w:id="14"/>
      <w:r w:rsidRPr="14EE7DEF">
        <w:rPr>
          <w:iCs/>
        </w:rPr>
        <w:lastRenderedPageBreak/>
        <w:t>1.5 Виды иммуноопосредованной токсичности</w:t>
      </w:r>
    </w:p>
    <w:p w14:paraId="000000EA" w14:textId="77777777" w:rsidR="00DC0EE8" w:rsidRDefault="00DF7D84">
      <w:r>
        <w:t xml:space="preserve">Терапия чекпоинт-ингибиторами может поражать практически любой орган  и систему, отмечается разная частота и степень тяжести ИОНЯ </w:t>
      </w:r>
      <w:hyperlink r:id="rId57">
        <w:r>
          <w:t>[24]</w:t>
        </w:r>
      </w:hyperlink>
      <w:r>
        <w:t>.</w:t>
      </w:r>
      <w:r>
        <w:br/>
      </w:r>
    </w:p>
    <w:p w14:paraId="000000EB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Кожная токсичность</w:t>
      </w:r>
    </w:p>
    <w:p w14:paraId="000000EC" w14:textId="77777777" w:rsidR="00DC0EE8" w:rsidRDefault="14EE7DEF">
      <w:r w:rsidRPr="14EE7DEF">
        <w:t xml:space="preserve">Кожные ИОНЯ возникают у от одной трети до более чем половины всех пациентов, получающих иммунотерапию </w:t>
      </w:r>
      <w:hyperlink r:id="rId58">
        <w:r w:rsidRPr="14EE7DEF">
          <w:t>[37]</w:t>
        </w:r>
      </w:hyperlink>
      <w:r w:rsidRPr="14EE7DEF">
        <w:t xml:space="preserve">. Сыпь, зуд и витилиго являются наиболее часто встречающимися кожными нежелательными явлениями и протекают схоже у пациентов, получающих антитела против CTLA-4, и у пациентов, получающих антитела против PD-1 </w:t>
      </w:r>
      <w:hyperlink r:id="rId59">
        <w:r w:rsidRPr="14EE7DEF">
          <w:t>[38]</w:t>
        </w:r>
      </w:hyperlink>
      <w:r w:rsidRPr="14EE7DEF">
        <w:t xml:space="preserve">. </w:t>
      </w:r>
    </w:p>
    <w:p w14:paraId="000000ED" w14:textId="77777777" w:rsidR="00DC0EE8" w:rsidRDefault="00DC0EE8"/>
    <w:p w14:paraId="000000EE" w14:textId="77777777" w:rsidR="00DC0EE8" w:rsidRDefault="14EE7DEF">
      <w:r w:rsidRPr="14EE7DEF">
        <w:t xml:space="preserve">Пациенты, получающие антитела против PD-1 или PD-L1, по-видимому, имеют более широкое разнообразие проявлений кожной токсичности, чем пациенты, получающие антитела против CTLA-4 в качестве монотерапии, однако это может быть связано с тем, что антитела против PD-1 и анти-PD-L1 в принципе более часто используются в клинической практике. Кожные реакции, вызванные антителами к PD-1 или PD-L1, также имеют тенденцию к отсроченному началу по сравнению с токсичностью, вызванной монотерапией ингибиторами CTLA-4 </w:t>
      </w:r>
      <w:hyperlink r:id="rId60">
        <w:r w:rsidRPr="14EE7DEF">
          <w:t>[39]</w:t>
        </w:r>
      </w:hyperlink>
      <w:r w:rsidRPr="14EE7DEF">
        <w:t>.</w:t>
      </w:r>
    </w:p>
    <w:p w14:paraId="000000EF" w14:textId="77777777" w:rsidR="00DC0EE8" w:rsidRDefault="00DC0EE8"/>
    <w:p w14:paraId="000000F0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Гастроинтестинальная токсичность</w:t>
      </w:r>
    </w:p>
    <w:p w14:paraId="000000F1" w14:textId="77777777" w:rsidR="00DC0EE8" w:rsidRDefault="14EE7DEF">
      <w:r w:rsidRPr="14EE7DEF">
        <w:t xml:space="preserve">Колит является наиболее часто встречающимся ИОНЯ у пациентов, получающих ипилимумаб, и встречается у 10–20% пациентов </w:t>
      </w:r>
      <w:hyperlink r:id="rId61">
        <w:r w:rsidRPr="14EE7DEF">
          <w:t>[40]</w:t>
        </w:r>
      </w:hyperlink>
      <w:r w:rsidRPr="14EE7DEF">
        <w:t xml:space="preserve">. Эндоскопически иммуноопосредованный колит, как правило, выглядит как диффузные изъязвления и отек слизистой оболочки, которые могут поражать всю толстую кишку, а не отдельные ее сегменты. Сопутствующий диффузный энтерит также присутствует у четверти пациентов и может возникать при отсутствии колита </w:t>
      </w:r>
      <w:hyperlink r:id="rId62">
        <w:r w:rsidRPr="14EE7DEF">
          <w:t>[41]</w:t>
        </w:r>
      </w:hyperlink>
      <w:r w:rsidRPr="14EE7DEF">
        <w:t xml:space="preserve">. Следует подозревать энтерит у пациентов с диареей с </w:t>
      </w:r>
      <w:r w:rsidRPr="14EE7DEF">
        <w:lastRenderedPageBreak/>
        <w:t>необъяснимой потерей веса, если при эндоскопическом исследовании отсутствуют видимые изменения слизистой оболочки толстой кишки.</w:t>
      </w:r>
    </w:p>
    <w:p w14:paraId="000000F2" w14:textId="77777777" w:rsidR="00DC0EE8" w:rsidRDefault="00DC0EE8" w:rsidP="14EE7DEF">
      <w:pPr>
        <w:rPr>
          <w:i/>
          <w:iCs/>
        </w:rPr>
      </w:pPr>
    </w:p>
    <w:p w14:paraId="000000F3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Легочная токсичность</w:t>
      </w:r>
    </w:p>
    <w:p w14:paraId="000000F4" w14:textId="77777777" w:rsidR="00DC0EE8" w:rsidRDefault="14EE7DEF">
      <w:r w:rsidRPr="14EE7DEF">
        <w:t xml:space="preserve">У пациентов, получающих антитела против PD-1, с большей вероятностью может развиться аутоиммунный пневмонит любой степени, чем у пациентов, получающих антитела против CTLA-4 (1–5% против &lt;1%) </w:t>
      </w:r>
      <w:hyperlink r:id="rId63">
        <w:r w:rsidRPr="14EE7DEF">
          <w:t>[42]</w:t>
        </w:r>
      </w:hyperlink>
      <w:r w:rsidRPr="14EE7DEF">
        <w:t xml:space="preserve">. Это осложнение потенциально летально, однако существуют определенные трудности в его диагностике, особенно среди пациентов с раком легких. Рентгенологическая картина аутоиммунного пневмонита определяется как криптогенная организующая пневмония (КОП) </w:t>
      </w:r>
      <w:proofErr w:type="gramStart"/>
      <w:r w:rsidRPr="14EE7DEF">
        <w:t>и  чаще</w:t>
      </w:r>
      <w:proofErr w:type="gramEnd"/>
      <w:r w:rsidRPr="14EE7DEF">
        <w:t xml:space="preserve"> всего представляет собой неспецифическую интерстициальную пневмонию, гиперчувствительный пневмонит, острую интерстициальную пневмонию, реакции саркоидного типа и острый респираторный дистресс-синдром. Такие рентгенологические проявления чаще встречаются у пациентов с НМРЛ и являются потенциальным предиктором необходимости иммуносупрессии на ранних этапах лечения </w:t>
      </w:r>
      <w:hyperlink r:id="rId64">
        <w:r w:rsidRPr="14EE7DEF">
          <w:t>[43]</w:t>
        </w:r>
      </w:hyperlink>
      <w:r w:rsidRPr="14EE7DEF">
        <w:t>.</w:t>
      </w:r>
    </w:p>
    <w:p w14:paraId="000000F5" w14:textId="77777777" w:rsidR="00DC0EE8" w:rsidRDefault="00DC0EE8"/>
    <w:p w14:paraId="000000F6" w14:textId="77777777" w:rsidR="00DC0EE8" w:rsidRDefault="14EE7DEF">
      <w:r w:rsidRPr="14EE7DEF">
        <w:t xml:space="preserve">Данные пациентов с пневмонитом позволяют сделать предположения о патогенезе этого ИОНЯ. Пневмонит, индуцированный анти-PD-1 или анти-PD-L1 антителами, чаще встречается у пациентов, получающих лечение в  первой линии, и имеет более высокую частоту и тяжесть у пациентов с НМРЛ, чем у пациентов с меланомой </w:t>
      </w:r>
      <w:hyperlink r:id="rId65">
        <w:r w:rsidRPr="14EE7DEF">
          <w:t>[44]</w:t>
        </w:r>
      </w:hyperlink>
      <w:r w:rsidRPr="14EE7DEF">
        <w:t xml:space="preserve"> </w:t>
      </w:r>
      <w:hyperlink r:id="rId66">
        <w:r w:rsidRPr="14EE7DEF">
          <w:t>[45]</w:t>
        </w:r>
      </w:hyperlink>
      <w:r w:rsidRPr="14EE7DEF">
        <w:t xml:space="preserve">. Наблюдения показывают, что вызванное химиотерапией воспаление легких, предшествующая лучевая терапия, ранее существовавшие заболевания легких и курение — все это является факторами риска, которые не только способствуют возникновению, но и ухудшают течение и прогноз данного осложнения. Снижение распространенности пневмонита, вызванного чекпоинт-ингибиторами, в условиях лечения второй линии можно объяснить тем, что у большего числа предлеченых пациентов функция иммунной системы нарушена из-за </w:t>
      </w:r>
      <w:r w:rsidRPr="14EE7DEF">
        <w:lastRenderedPageBreak/>
        <w:t>увеличения опухолевой нагрузки и непосредственно предшествующего лечения химиотерапией.</w:t>
      </w:r>
    </w:p>
    <w:p w14:paraId="000000F7" w14:textId="77777777" w:rsidR="00DC0EE8" w:rsidRDefault="00DC0EE8"/>
    <w:p w14:paraId="000000F8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Иммуноопосредованный гипофизит</w:t>
      </w:r>
    </w:p>
    <w:p w14:paraId="000000F9" w14:textId="77777777" w:rsidR="00DC0EE8" w:rsidRDefault="00DC0EE8"/>
    <w:p w14:paraId="000000FA" w14:textId="77777777" w:rsidR="00DC0EE8" w:rsidRDefault="14EE7DEF">
      <w:r w:rsidRPr="14EE7DEF">
        <w:t xml:space="preserve">Гипофизит редко встречается у пациентов, получающих антитела против PD-1, но гораздо чаще встречается у пациентов, получающих ипилимумаб, с частотой 12,0–13,3% </w:t>
      </w:r>
      <w:hyperlink r:id="rId67">
        <w:r w:rsidRPr="14EE7DEF">
          <w:t>[46]</w:t>
        </w:r>
      </w:hyperlink>
      <w:r w:rsidRPr="14EE7DEF">
        <w:t xml:space="preserve">. Утомляемость, слабость, головная боль, нарушения зрения, артериальная гипотензия и тошнота у пациентов, получающих ингибиторы контрольных точек, является типичной клинической картиной гипофизита и требует немедленной оценки функционального статуса гипофиза. МРТ гипофиза позволяет исключить метастазы в гипофиз и оценить степень увеличения гипофиза. Увеличение ножки гипофиза, как правило, проходит самостоятельно в течение 6 недель у большинства пациентов </w:t>
      </w:r>
      <w:hyperlink r:id="rId68">
        <w:r w:rsidRPr="14EE7DEF">
          <w:t>[47]</w:t>
        </w:r>
      </w:hyperlink>
      <w:r w:rsidRPr="14EE7DEF">
        <w:t xml:space="preserve">. Тем не менее надпочечниковая недостаточность центрального (гипофизарного) происхождения обычно сохраняется даже после регресса воспаления гипофиза </w:t>
      </w:r>
      <w:hyperlink r:id="rId69">
        <w:r w:rsidRPr="14EE7DEF">
          <w:t>[48]</w:t>
        </w:r>
      </w:hyperlink>
      <w:r w:rsidRPr="14EE7DEF">
        <w:t xml:space="preserve">. Однако при правильном лечении примерно от одной трети до половины всех пациентов восстанавливает функцию оси гипофиз — щитовидная железа, а гонадная ось восстанавливается у половины всех мужчин с этим ИОНЯ. </w:t>
      </w:r>
    </w:p>
    <w:p w14:paraId="000000FB" w14:textId="77777777" w:rsidR="00DC0EE8" w:rsidRDefault="00DC0EE8"/>
    <w:p w14:paraId="000000FC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Иммуноопосредованный тиреоидит</w:t>
      </w:r>
    </w:p>
    <w:p w14:paraId="000000FD" w14:textId="77777777" w:rsidR="00DC0EE8" w:rsidRDefault="14EE7DEF">
      <w:r w:rsidRPr="14EE7DEF">
        <w:t xml:space="preserve">В отличие от гипофизита, дисфункция щитовидной железы, по-видимому, чаще связана с антителами, нацеленными на PD-1, в отличие от анти-CTLA-4 </w:t>
      </w:r>
      <w:hyperlink r:id="rId70">
        <w:r w:rsidRPr="14EE7DEF">
          <w:t>[49]</w:t>
        </w:r>
      </w:hyperlink>
      <w:r w:rsidRPr="14EE7DEF">
        <w:t xml:space="preserve">. На сегодняшний день дисфункция щитовидной железы — единственное эндокринное осложнение, которое связано с антителами против PD-L1. В клинической практике почти у 20% пациентов, получающих антитела к PD-1, наблюдается дисфункция щитовидной железы, которая обычно возникает в начале курса лечения (в среднем через 6 недель после первой инфузии) </w:t>
      </w:r>
      <w:hyperlink r:id="rId71">
        <w:r w:rsidRPr="14EE7DEF">
          <w:t>[50]</w:t>
        </w:r>
      </w:hyperlink>
      <w:r w:rsidRPr="14EE7DEF">
        <w:t xml:space="preserve">. Большинство нежелательных явлений, связанных с щитовидной железой, </w:t>
      </w:r>
      <w:r w:rsidRPr="14EE7DEF">
        <w:lastRenderedPageBreak/>
        <w:t xml:space="preserve">протекают бессимптомно, проявляясь умеренным тиреотоксикозом или первичным гипотиреозом, </w:t>
      </w:r>
      <w:proofErr w:type="gramStart"/>
      <w:r w:rsidRPr="14EE7DEF">
        <w:t>опосредованным  деструктивным</w:t>
      </w:r>
      <w:proofErr w:type="gramEnd"/>
      <w:r w:rsidRPr="14EE7DEF">
        <w:t xml:space="preserve"> тиреоидитом, или (реже) тиреотоксикозом, опосредованным аутоиммунной дисфункцией щитовидной железы (болезнью Грейвса). В проспективном исследовании Filette et al, в котором отслеживалась функция щитовидной железы у пациентов с меланомой, получавших пембролизумаб, у большинства пациентов с гипертиреозом в течение 1-3 месяцев развился гипотиреоз </w:t>
      </w:r>
      <w:hyperlink r:id="rId72">
        <w:r w:rsidRPr="14EE7DEF">
          <w:t>[51]</w:t>
        </w:r>
      </w:hyperlink>
      <w:r w:rsidRPr="14EE7DEF">
        <w:t>.</w:t>
      </w:r>
    </w:p>
    <w:p w14:paraId="000000FE" w14:textId="77777777" w:rsidR="00DC0EE8" w:rsidRDefault="00DC0EE8"/>
    <w:p w14:paraId="000000FF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Иммуноопосредованный гепатит</w:t>
      </w:r>
    </w:p>
    <w:p w14:paraId="00000100" w14:textId="77777777" w:rsidR="00DC0EE8" w:rsidRDefault="14EE7DEF">
      <w:r w:rsidRPr="14EE7DEF">
        <w:t xml:space="preserve">Иммуноопосредованные поражения печени, по-видимому, с практически равной частотой ( 5–10% случаев) встречаются у пациентов, получающих ипилимумаб, и у пациентов, получающих антитела против PD-1 в качестве монотерапии, хотя отмечается тенденция к большей тяжести ИОНЯ у пациентов, получающих ипилимумаб </w:t>
      </w:r>
      <w:hyperlink r:id="rId73">
        <w:r w:rsidRPr="14EE7DEF">
          <w:t>[27]</w:t>
        </w:r>
      </w:hyperlink>
      <w:r w:rsidRPr="14EE7DEF">
        <w:t xml:space="preserve">. У пациентов с гепатитом, вызванным ингибиторами контрольных точек, чаще всего наблюдается изолированное повышение уровня печеночных трансаминаз, и эти симптомы часто сглаживаются после прекращения лечения. Тем не менее появляется все больше сообщений о тяжелых случаях иммуноопосредованного гепатита с выраженной дисфункцией печени (гипербилирубинемией и коагулопатией), а также случаев потенциально летальных форм, утяжелившихся до острой печеночной недостаточности </w:t>
      </w:r>
      <w:hyperlink r:id="rId74">
        <w:r w:rsidRPr="14EE7DEF">
          <w:t>[52]</w:t>
        </w:r>
      </w:hyperlink>
      <w:r w:rsidRPr="14EE7DEF">
        <w:t>. Согласно рекомендациям, иммунотерапию следует приостановить у пациентов со 2-й степенью повышения уровня печеночных трансаминаз (2–5-кратное повышение от верхней границы нормы) и навсегда прекратить, если уровни трансаминаз превышают это значение.</w:t>
      </w:r>
    </w:p>
    <w:p w14:paraId="00000101" w14:textId="77777777" w:rsidR="00DC0EE8" w:rsidRDefault="00DC0EE8"/>
    <w:p w14:paraId="00000102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Иммуноопосредованная кардиотоксичность</w:t>
      </w:r>
    </w:p>
    <w:p w14:paraId="00000103" w14:textId="77777777" w:rsidR="00DC0EE8" w:rsidRDefault="14EE7DEF">
      <w:r w:rsidRPr="14EE7DEF">
        <w:t xml:space="preserve">В ретроспективном исследовании Mahmood et al. частота миокардита, индуцированного ингибиторами контрольных точек, была оценена в 1,14% </w:t>
      </w:r>
      <w:hyperlink r:id="rId75">
        <w:r w:rsidRPr="14EE7DEF">
          <w:t>[53]</w:t>
        </w:r>
      </w:hyperlink>
      <w:r w:rsidRPr="14EE7DEF">
        <w:t xml:space="preserve">. Исследование баз данных фармаконадзора компании Bristol-Myers Squibb </w:t>
      </w:r>
      <w:r w:rsidRPr="14EE7DEF">
        <w:lastRenderedPageBreak/>
        <w:t xml:space="preserve">(производитель ниволумаба и ипилимумаба) выявило 18 случаев тяжелого миокардита, связанного с ИКТ, среди 20 594 пациентов (0,09%) </w:t>
      </w:r>
      <w:hyperlink r:id="rId76">
        <w:r w:rsidRPr="14EE7DEF">
          <w:t>[54]</w:t>
        </w:r>
      </w:hyperlink>
      <w:r w:rsidRPr="14EE7DEF">
        <w:t xml:space="preserve">. При этом частота тяжелого миокардита была выше у пациентов, получавших комбинацию ниволумаба и ипилимумаба (0,27%), чем у пациентов, получавших только ниволумаб (0,06%). Летальный миокардит также более вероятен у пациентов, получавших комбинированную терапию ИКТ (5 смертельных случаев против 1 летального исхода или 0,27% против 0,06%; P &lt;0,001). В обзоре базы данных ВОЗ, опубликованном в 2018 году, смертность составила 46% у 101 пациента с индуцированным чекпоинт-ингибиторами миокардитом (67% при комбинированной терапии по сравнению с 36% при лечении анти-PD-1 или анти-PD-L1 в монотерапии) </w:t>
      </w:r>
      <w:hyperlink r:id="rId77">
        <w:r w:rsidRPr="14EE7DEF">
          <w:t>[55]</w:t>
        </w:r>
      </w:hyperlink>
      <w:r w:rsidRPr="14EE7DEF">
        <w:t>.</w:t>
      </w:r>
    </w:p>
    <w:p w14:paraId="00000104" w14:textId="77777777" w:rsidR="00DC0EE8" w:rsidRDefault="00DC0EE8"/>
    <w:p w14:paraId="00000105" w14:textId="77777777" w:rsidR="00DC0EE8" w:rsidRDefault="14EE7DEF">
      <w:r w:rsidRPr="14EE7DEF">
        <w:t xml:space="preserve">Клинические проявления иммуноопосредованного миокардита неоднородны: от боли в груди до острой одышки и / или острой недостаточности кровообращения </w:t>
      </w:r>
      <w:hyperlink r:id="rId78">
        <w:r w:rsidRPr="14EE7DEF">
          <w:t>[56]</w:t>
        </w:r>
      </w:hyperlink>
      <w:r w:rsidRPr="14EE7DEF">
        <w:t xml:space="preserve">. Сообщалось о летальных случаях миокардита после однократного приема ипилимумаба в дозе 3 мг / </w:t>
      </w:r>
      <w:proofErr w:type="gramStart"/>
      <w:r w:rsidRPr="14EE7DEF">
        <w:t>кг  в</w:t>
      </w:r>
      <w:proofErr w:type="gramEnd"/>
      <w:r w:rsidRPr="14EE7DEF">
        <w:t xml:space="preserve"> сочетании с ниволумабом в дозе 1 мг / кг. Имеющиеся данные позволяют предположить, что миокардит обычно возникает на ранних этапах лечения: 81% событий происходит в течение первых 4 циклов иммунотерапии (в среднем 34 дня от начала лечения) </w:t>
      </w:r>
      <w:hyperlink r:id="rId79">
        <w:r w:rsidRPr="14EE7DEF">
          <w:t>[57]</w:t>
        </w:r>
      </w:hyperlink>
      <w:r w:rsidRPr="14EE7DEF">
        <w:t>.</w:t>
      </w:r>
    </w:p>
    <w:p w14:paraId="00000106" w14:textId="77777777" w:rsidR="00DC0EE8" w:rsidRDefault="00DC0EE8"/>
    <w:p w14:paraId="00000107" w14:textId="77777777" w:rsidR="00DC0EE8" w:rsidRDefault="14EE7DEF" w:rsidP="14EE7DEF">
      <w:pPr>
        <w:rPr>
          <w:i/>
          <w:iCs/>
          <w:u w:val="single"/>
        </w:rPr>
      </w:pPr>
      <w:r w:rsidRPr="14EE7DEF">
        <w:rPr>
          <w:i/>
          <w:iCs/>
          <w:u w:val="single"/>
        </w:rPr>
        <w:t>Иммуноопосредованная нейротоксичность</w:t>
      </w:r>
    </w:p>
    <w:p w14:paraId="00000108" w14:textId="77777777" w:rsidR="00DC0EE8" w:rsidRDefault="14EE7DEF">
      <w:r w:rsidRPr="14EE7DEF">
        <w:t xml:space="preserve">Неврологические ИОНЯ могут затрагивать центральную или периферическую нервную систему и имеют широкое разнообразие клинических проявлений </w:t>
      </w:r>
      <w:hyperlink r:id="rId80">
        <w:r w:rsidRPr="14EE7DEF">
          <w:t>[58]</w:t>
        </w:r>
      </w:hyperlink>
      <w:r w:rsidRPr="14EE7DEF">
        <w:t xml:space="preserve">. В 2017 году было опубликовано ретроспективное когортное исследование, описывающее развитие неврологических осложнений с частотой 2,9% (10/347) у пациентов, получающих антитела против PD-1 </w:t>
      </w:r>
      <w:hyperlink r:id="rId81">
        <w:r w:rsidRPr="14EE7DEF">
          <w:t>[59]</w:t>
        </w:r>
      </w:hyperlink>
      <w:r w:rsidRPr="14EE7DEF">
        <w:t xml:space="preserve">. У половины пациентов наблюдались также нежелательные явления, поражающие другие органы, например, гипотиреоз, колит и гепатит. Неврологические и нервно-мышечные осложнения иммунотерапии включают </w:t>
      </w:r>
      <w:r w:rsidRPr="14EE7DEF">
        <w:lastRenderedPageBreak/>
        <w:t xml:space="preserve">миопатии, расстройства нервно-мышечного соединения, периферические невропатии (ПНП; включая аксональные и демиелинизирующие полирадикулоневропатии), зависящие от длины и не зависящие от длины нейропатии, асимметричный мультиплексный мононеврит, атаксию мозжечка, двустороннюю ретинопатию. межъядерную офтальмоплегию и головную боль </w:t>
      </w:r>
      <w:hyperlink r:id="rId82">
        <w:r w:rsidRPr="14EE7DEF">
          <w:t>[60]</w:t>
        </w:r>
      </w:hyperlink>
      <w:r w:rsidRPr="14EE7DEF">
        <w:t xml:space="preserve">. </w:t>
      </w:r>
    </w:p>
    <w:p w14:paraId="00000109" w14:textId="77777777" w:rsidR="00DC0EE8" w:rsidRDefault="00DC0EE8"/>
    <w:p w14:paraId="0000010A" w14:textId="77777777" w:rsidR="00DC0EE8" w:rsidRDefault="00DF7D84" w:rsidP="14EE7DEF">
      <w:r w:rsidRPr="14EE7DEF">
        <w:rPr>
          <w:u w:val="single"/>
        </w:rPr>
        <w:t xml:space="preserve">Сопроводительная терапия </w:t>
      </w:r>
    </w:p>
    <w:p w14:paraId="0000010B" w14:textId="77777777" w:rsidR="00DC0EE8" w:rsidRDefault="14EE7DEF">
      <w:r w:rsidRPr="14EE7DEF">
        <w:t>Как правило, иммуноопосредованные нежелательные явления возникают довольно рано, в основном в интервал от недель до 3 месяцев после начала применения блокаторов иммунных контрольных точек. Однако также были зарегистрированы ИОНЯ, манифестировавшие в течение 1 года после прекращения лечения.</w:t>
      </w:r>
    </w:p>
    <w:p w14:paraId="0000010C" w14:textId="77777777" w:rsidR="00DC0EE8" w:rsidRDefault="00DC0EE8"/>
    <w:p w14:paraId="0000010D" w14:textId="77777777" w:rsidR="00DC0EE8" w:rsidRDefault="14EE7DEF">
      <w:r w:rsidRPr="14EE7DEF">
        <w:t xml:space="preserve">Согласно руководству ESMO (European Society of Medical Oncology, Европейское Общество Медицинской Онкологии), после развития ИОНЯ необходимо немедленно обследовать пациента и принять меры для предотвращения дальнейшего обострения НЯ. Во многих случаях, особенно в самых тяжелых, следует прекратить иммунотерапию и назначить иммуносупрессивные или иммуномодулирующие препараты. В общем случае используются высокие дозы кортикостероидов, но также иногда применяются антагонисты фактора некроза опухоли альфа (TNFα), микофенолат или такролимус </w:t>
      </w:r>
      <w:hyperlink r:id="rId83">
        <w:r w:rsidRPr="14EE7DEF">
          <w:t>[5]</w:t>
        </w:r>
      </w:hyperlink>
      <w:r w:rsidRPr="14EE7DEF">
        <w:t xml:space="preserve">. После разрешения явлений токсичности </w:t>
      </w:r>
      <w:proofErr w:type="gramStart"/>
      <w:r w:rsidRPr="14EE7DEF">
        <w:t>следует  осторожное</w:t>
      </w:r>
      <w:proofErr w:type="gramEnd"/>
      <w:r w:rsidRPr="14EE7DEF">
        <w:t xml:space="preserve"> снижение иммуносупрессии. Длительное (&gt; 6 недель) лечение иммунодепрессантами или использование инфликсимаба увеличивает вероятность оппортунистических инфекций, поэтому следует рассмотреть вопрос о профилактике пневмоцистной пневмонии в соответствии с региональными правилами </w:t>
      </w:r>
      <w:hyperlink r:id="rId84">
        <w:r w:rsidRPr="14EE7DEF">
          <w:t>[32]</w:t>
        </w:r>
      </w:hyperlink>
      <w:r w:rsidRPr="14EE7DEF">
        <w:t>. Важно отметить, что до сих пор нет доказательств того, что на клинические исходы пациентов, получающих ИКТ, влияет использование иммуносупрессивных агентов.</w:t>
      </w:r>
    </w:p>
    <w:p w14:paraId="0000010E" w14:textId="77777777" w:rsidR="00DC0EE8" w:rsidRDefault="00DC0EE8"/>
    <w:p w14:paraId="0000010F" w14:textId="77777777" w:rsidR="00DC0EE8" w:rsidRDefault="14EE7DEF">
      <w:r w:rsidRPr="14EE7DEF">
        <w:t xml:space="preserve">Общие терминологические критерии нежелательных явлений (CTCAE,  Common Terminology Criteria for Adverse Events) были разработаны Национальным институтом рака (NCI) с целью стандартизации нежелательных явлений терапии </w:t>
      </w:r>
      <w:hyperlink r:id="rId85">
        <w:r w:rsidRPr="14EE7DEF">
          <w:t>[61]</w:t>
        </w:r>
      </w:hyperlink>
      <w:r w:rsidRPr="14EE7DEF">
        <w:t>. Тем не менее все более широкое использование иммунотерапии выявило некоторые ограничения текущей классификации CTCAE, а также других баз, таких как Медицинский словарь нормативной деятельности (MedDRA). Необходимость в формальных способах сообщения о подозреваемых ИОНЯ позволяет отметить тенденцию недооценивать или переоценивать истинную частоту и / или тяжесть нежелательных явлений. В определенных условиях, например, при ревматологических ИОНЯ, критерии CTCAE трудно применять. Кроме того, они не позволяют достаточно точно определять тяжесть состояний, особенно если они могут стать хроническими.</w:t>
      </w:r>
    </w:p>
    <w:p w14:paraId="00000110" w14:textId="77777777" w:rsidR="00DC0EE8" w:rsidRDefault="00DC0EE8" w:rsidP="14EE7DEF"/>
    <w:p w14:paraId="00000111" w14:textId="77777777" w:rsidR="00DC0EE8" w:rsidRDefault="14EE7DEF" w:rsidP="14EE7DEF">
      <w:pPr>
        <w:pStyle w:val="2"/>
      </w:pPr>
      <w:bookmarkStart w:id="15" w:name="_79au9zc8cd5l"/>
      <w:bookmarkEnd w:id="15"/>
      <w:r w:rsidRPr="14EE7DEF">
        <w:t>1.6 Предиктивные маркеры токсичности иммунотерапии</w:t>
      </w:r>
    </w:p>
    <w:p w14:paraId="00000112" w14:textId="77777777" w:rsidR="00DC0EE8" w:rsidRDefault="14EE7DEF">
      <w:r w:rsidRPr="14EE7DEF">
        <w:t xml:space="preserve">С увеличением количества локализаций и клинических ситуаций, при которых одобрено применение иммунотерапии, нарастает необходимость в определении предикторов эффективности и токсичности ИКТ, поскольку только грамотная стратификация пациентов и определение факторов риска может позволить получить максимальную клиническую пользу от лечения и предотвратить тяжелые осложнения. Было доказано, что прогностическими факторами противоопухолевой эффективности являются несколько биомаркеров, например, экспрессия лиганда рецептора программируемой клеточной смерти 1 (PD-L1), нагрузка опухолевых мутаций (TMB) и высокий уровень микросателлитной нестабильности (MSI-H) / нарушения в системе репарации ДНК (дефицит MMR, dMMR). Тем не менее существует потребность в определении в эффективных биомаркеров, которые предсказывают токсичность лечения.  </w:t>
      </w:r>
    </w:p>
    <w:p w14:paraId="00000113" w14:textId="77777777" w:rsidR="00DC0EE8" w:rsidRDefault="00DC0EE8"/>
    <w:p w14:paraId="00000114" w14:textId="77777777" w:rsidR="00DC0EE8" w:rsidRDefault="14EE7DEF">
      <w:r w:rsidRPr="14EE7DEF">
        <w:t xml:space="preserve">В обзоре Xu et al., опубликованном в 2020 году, были суммированы существующие данные о показателях и состояниях, которые потенциально могли бы сыграть роль предиктивных маркеров токсичности </w:t>
      </w:r>
      <w:hyperlink r:id="rId86">
        <w:r w:rsidRPr="14EE7DEF">
          <w:t>[62]</w:t>
        </w:r>
      </w:hyperlink>
      <w:r w:rsidRPr="14EE7DEF">
        <w:t xml:space="preserve">. </w:t>
      </w:r>
    </w:p>
    <w:p w14:paraId="00000115" w14:textId="77777777" w:rsidR="00DC0EE8" w:rsidRDefault="00DC0EE8"/>
    <w:p w14:paraId="00000116" w14:textId="77777777" w:rsidR="00DC0EE8" w:rsidRDefault="14EE7DEF" w:rsidP="14EE7DEF">
      <w:pPr>
        <w:rPr>
          <w:u w:val="single"/>
        </w:rPr>
      </w:pPr>
      <w:r w:rsidRPr="14EE7DEF">
        <w:rPr>
          <w:u w:val="single"/>
        </w:rPr>
        <w:t>Токсичность, связанная с терапией анти-CTLA-4</w:t>
      </w:r>
    </w:p>
    <w:p w14:paraId="00000117" w14:textId="77777777" w:rsidR="00DC0EE8" w:rsidRDefault="14EE7DEF">
      <w:r w:rsidRPr="14EE7DEF">
        <w:t xml:space="preserve">Ретроспективный анализ показал, что рост числа циркулирующих </w:t>
      </w:r>
      <w:r w:rsidRPr="14EE7DEF">
        <w:rPr>
          <w:b/>
          <w:bCs/>
        </w:rPr>
        <w:t xml:space="preserve">эозинофилов </w:t>
      </w:r>
      <w:r w:rsidRPr="14EE7DEF">
        <w:t xml:space="preserve">во время лечения ипилимумабом был ассоциирован с возникновением иммуноопосредованной токсичности </w:t>
      </w:r>
      <w:hyperlink r:id="rId87">
        <w:r w:rsidRPr="14EE7DEF">
          <w:t>[63]</w:t>
        </w:r>
      </w:hyperlink>
      <w:r w:rsidRPr="14EE7DEF">
        <w:t xml:space="preserve">. Биопсия ткани пациентов с ипилимумаб-ассоциированным гепатитом, </w:t>
      </w:r>
      <w:proofErr w:type="gramStart"/>
      <w:r w:rsidRPr="14EE7DEF">
        <w:t>сыпью  и</w:t>
      </w:r>
      <w:proofErr w:type="gramEnd"/>
      <w:r w:rsidRPr="14EE7DEF">
        <w:t xml:space="preserve"> колитом показала, что воспалительный инфильтрат содержал эозинофилы.</w:t>
      </w:r>
    </w:p>
    <w:p w14:paraId="00000118" w14:textId="77777777" w:rsidR="00DC0EE8" w:rsidRDefault="00DC0EE8"/>
    <w:p w14:paraId="00000119" w14:textId="77777777" w:rsidR="00DC0EE8" w:rsidRDefault="14EE7DEF">
      <w:r w:rsidRPr="14EE7DEF">
        <w:rPr>
          <w:b/>
          <w:bCs/>
        </w:rPr>
        <w:t>Интерлейкин 6 (ИЛ-6)</w:t>
      </w:r>
      <w:r w:rsidRPr="14EE7DEF">
        <w:t xml:space="preserve">, плейотропный воспалительный цитокин, действующий как ключевой фактор при инфекции, злокачественном процессе и воспалении, также может выступать в роли предиктора токсичности. Блокирование иммунных контрольных точек увеличивает выброс цитокинов, включая ИЛ-6. Примечательно, что низкий исходный уровень ИЛ-6 в сыворотке крови был независимым фактором риска токсичности, связанной с ИКТ </w:t>
      </w:r>
      <w:hyperlink r:id="rId88">
        <w:r w:rsidRPr="14EE7DEF">
          <w:t>[64]</w:t>
        </w:r>
      </w:hyperlink>
      <w:r w:rsidRPr="14EE7DEF">
        <w:t>.</w:t>
      </w:r>
    </w:p>
    <w:p w14:paraId="0000011A" w14:textId="77777777" w:rsidR="00DC0EE8" w:rsidRDefault="00DC0EE8"/>
    <w:p w14:paraId="0000011B" w14:textId="77777777" w:rsidR="00DC0EE8" w:rsidRDefault="14EE7DEF">
      <w:r w:rsidRPr="14EE7DEF">
        <w:t xml:space="preserve">Уровень </w:t>
      </w:r>
      <w:r w:rsidRPr="14EE7DEF">
        <w:rPr>
          <w:b/>
          <w:bCs/>
        </w:rPr>
        <w:t>Интерлейкина 17 (ИЛ-17)</w:t>
      </w:r>
      <w:r w:rsidRPr="14EE7DEF">
        <w:t xml:space="preserve"> в сыворотке был значительно выше у пациентов с колитом, связанным с CTLA-4, чем у пациента без колита. Кроме того, рост и падение уровней ИЛ-17 в крови напрямую коррелировали с развитием и исчезновением симптомов колита </w:t>
      </w:r>
      <w:hyperlink r:id="rId89">
        <w:r w:rsidRPr="14EE7DEF">
          <w:t>[65]</w:t>
        </w:r>
      </w:hyperlink>
      <w:r w:rsidRPr="14EE7DEF">
        <w:t xml:space="preserve">. В исследовании Tarhini et al. была продемонстрирована связь между исходным уровнем циркулирующего ИЛ-17 и более поздним прогрессированием диареи / колита 3 степени после неоадъювантного лечения ипилимумабом </w:t>
      </w:r>
      <w:hyperlink r:id="rId90">
        <w:r w:rsidRPr="14EE7DEF">
          <w:t>[66]</w:t>
        </w:r>
      </w:hyperlink>
      <w:r w:rsidRPr="14EE7DEF">
        <w:t>. Данные можно интерпретировать как положительную корреляцию между уровнями ИЛ-17 и токсичностью, связанной с CTLA-4.</w:t>
      </w:r>
    </w:p>
    <w:p w14:paraId="0000011C" w14:textId="77777777" w:rsidR="00DC0EE8" w:rsidRDefault="00DC0EE8"/>
    <w:p w14:paraId="0000011D" w14:textId="77777777" w:rsidR="00DC0EE8" w:rsidRDefault="14EE7DEF">
      <w:r w:rsidRPr="14EE7DEF">
        <w:rPr>
          <w:b/>
          <w:bCs/>
        </w:rPr>
        <w:lastRenderedPageBreak/>
        <w:t>Саркопения</w:t>
      </w:r>
      <w:r w:rsidRPr="14EE7DEF">
        <w:t xml:space="preserve">, верифицированная на компьютерной томографии (КТ), также является независимым фактором, значимо связанным с токсичностью высокой степени при метастатической меланоме. К такому выводу пришли авторы исследования, опубликованного в British Journal of Cancer </w:t>
      </w:r>
      <w:hyperlink r:id="rId91">
        <w:r w:rsidRPr="14EE7DEF">
          <w:t>[67]</w:t>
        </w:r>
      </w:hyperlink>
      <w:r w:rsidRPr="14EE7DEF">
        <w:t>.</w:t>
      </w:r>
    </w:p>
    <w:p w14:paraId="0000011E" w14:textId="77777777" w:rsidR="00DC0EE8" w:rsidRDefault="00DC0EE8"/>
    <w:p w14:paraId="0000011F" w14:textId="77777777" w:rsidR="00DC0EE8" w:rsidRDefault="14EE7DEF">
      <w:r w:rsidRPr="14EE7DEF">
        <w:t xml:space="preserve">В работе Valpione et al. была показана связь </w:t>
      </w:r>
      <w:r w:rsidRPr="14EE7DEF">
        <w:rPr>
          <w:b/>
          <w:bCs/>
        </w:rPr>
        <w:t xml:space="preserve">пола </w:t>
      </w:r>
      <w:r w:rsidRPr="14EE7DEF">
        <w:t xml:space="preserve">с возникновением иммуноопосредованной токсичности. У пациентов женского пола отмечалось большее количество иммуноопосредованных побочных эффектов (OR = 1.5, 95% CI 1.06-2.16 P = 0.022) </w:t>
      </w:r>
      <w:hyperlink r:id="rId92">
        <w:r w:rsidRPr="14EE7DEF">
          <w:t>[64]</w:t>
        </w:r>
      </w:hyperlink>
      <w:r w:rsidRPr="14EE7DEF">
        <w:t>.</w:t>
      </w:r>
    </w:p>
    <w:p w14:paraId="00000120" w14:textId="77777777" w:rsidR="00DC0EE8" w:rsidRDefault="00DC0EE8"/>
    <w:p w14:paraId="00000121" w14:textId="77777777" w:rsidR="00DC0EE8" w:rsidRDefault="14EE7DEF" w:rsidP="14EE7DEF">
      <w:pPr>
        <w:rPr>
          <w:u w:val="single"/>
        </w:rPr>
      </w:pPr>
      <w:r w:rsidRPr="14EE7DEF">
        <w:rPr>
          <w:u w:val="single"/>
        </w:rPr>
        <w:t>Токсичность, связанная с терапией анти-PD(L)-1</w:t>
      </w:r>
    </w:p>
    <w:p w14:paraId="00000122" w14:textId="77777777" w:rsidR="00DC0EE8" w:rsidRDefault="14EE7DEF">
      <w:r w:rsidRPr="14EE7DEF">
        <w:t xml:space="preserve">В работе Fujisawa et al. проводился однофакторный и многофакторный анализ показателей крови. Отмечено, что увеличение </w:t>
      </w:r>
      <w:r w:rsidRPr="14EE7DEF">
        <w:rPr>
          <w:b/>
          <w:bCs/>
        </w:rPr>
        <w:t>количества лейкоцитов</w:t>
      </w:r>
      <w:r w:rsidRPr="14EE7DEF">
        <w:t xml:space="preserve"> (WBC) и снижение </w:t>
      </w:r>
      <w:r w:rsidRPr="14EE7DEF">
        <w:rPr>
          <w:b/>
          <w:bCs/>
        </w:rPr>
        <w:t>относительного количества лимфоцитов</w:t>
      </w:r>
      <w:r w:rsidRPr="14EE7DEF">
        <w:t xml:space="preserve"> (RLC) являются независимыми факторами легочной или гастроинтестинальной токсичности </w:t>
      </w:r>
      <w:hyperlink r:id="rId93">
        <w:r w:rsidRPr="14EE7DEF">
          <w:t>[68]</w:t>
        </w:r>
      </w:hyperlink>
      <w:r w:rsidRPr="14EE7DEF">
        <w:t xml:space="preserve">. Кроме того, абсолютное количество </w:t>
      </w:r>
      <w:r w:rsidRPr="14EE7DEF">
        <w:rPr>
          <w:b/>
          <w:bCs/>
        </w:rPr>
        <w:t xml:space="preserve">эозинофилов </w:t>
      </w:r>
      <w:r w:rsidRPr="14EE7DEF">
        <w:t xml:space="preserve">&gt; 240 / мкл или относительное количество эозинофилов до начала терапии могут позволить прогнозировать эндокринную токсичность, связанную с анти-PD-1 </w:t>
      </w:r>
      <w:hyperlink r:id="rId94">
        <w:r w:rsidRPr="14EE7DEF">
          <w:t>[69]</w:t>
        </w:r>
      </w:hyperlink>
      <w:r w:rsidRPr="14EE7DEF">
        <w:t>.</w:t>
      </w:r>
    </w:p>
    <w:p w14:paraId="00000123" w14:textId="77777777" w:rsidR="00DC0EE8" w:rsidRDefault="00DC0EE8" w:rsidP="14EE7DEF"/>
    <w:p w14:paraId="00000124" w14:textId="77777777" w:rsidR="00DC0EE8" w:rsidRDefault="00DF7D84" w:rsidP="14EE7DEF">
      <w:r w:rsidRPr="14EE7DEF">
        <w:t xml:space="preserve">Также предиктивная роль таких показателей, как число лимфоцитов, эозинофилов и отношение нейтрофилов к лимфоцитам, описывается в работе Жуковой Н.В., Орловой Р.В. и др. </w:t>
      </w:r>
      <w:hyperlink r:id="rId95">
        <w:r w:rsidRPr="14EE7DEF">
          <w:t>[70]</w:t>
        </w:r>
      </w:hyperlink>
      <w:r w:rsidRPr="14EE7DEF">
        <w:t>.</w:t>
      </w:r>
    </w:p>
    <w:p w14:paraId="00000125" w14:textId="77777777" w:rsidR="00DC0EE8" w:rsidRDefault="00DC0EE8"/>
    <w:p w14:paraId="00000126" w14:textId="77777777" w:rsidR="00DC0EE8" w:rsidRDefault="14EE7DEF" w:rsidP="14EE7DEF">
      <w:pPr>
        <w:pBdr>
          <w:top w:val="nil"/>
          <w:left w:val="nil"/>
          <w:bottom w:val="nil"/>
          <w:right w:val="nil"/>
          <w:between w:val="nil"/>
        </w:pBdr>
      </w:pPr>
      <w:r w:rsidRPr="14EE7DEF">
        <w:t xml:space="preserve">Гипотиреоз как наиболее частое осложнение терапии ниволумабом оценивался в исследовании Toi et al. Анализировалась взаимосвязь между безопасностью и эффективностью лечения анти-PD-1 и существовавшими ранее аутоиммунными маркерами. Было показано, что клинические исходы, включая ВБП, ЧОО и уровень контроля заболевания, были значительно лучше у пациентов с предшествующим терапии положительным уровнем антител. </w:t>
      </w:r>
      <w:r w:rsidRPr="14EE7DEF">
        <w:lastRenderedPageBreak/>
        <w:t xml:space="preserve">Более того, дисфункция щитовидной железы чаще встречалась у пациентов с уже существовавшими аутоантителами к ткани щитовидной железы (антитела к тиреглобулину и пероксидазе) (20% против 1%, P &lt;0,001), а кожная токсичность чаще развивалась у пациентов с определяемыми до терапии ревматоидными факторами (47% против 24%, P = 0,02). Уровень аутоантител к ЩЖ до терапии и его раннее повышение (≤4 недели)  в сыворотке было связаны с иммуноопосредованными нежелательными явлениями, затрагивающими щитовидную железу </w:t>
      </w:r>
      <w:hyperlink r:id="rId96">
        <w:r w:rsidRPr="14EE7DEF">
          <w:t>[71]</w:t>
        </w:r>
      </w:hyperlink>
      <w:r w:rsidRPr="14EE7DEF">
        <w:t>.</w:t>
      </w:r>
    </w:p>
    <w:p w14:paraId="00000127" w14:textId="77777777" w:rsidR="00DC0EE8" w:rsidRDefault="00DC0EE8"/>
    <w:p w14:paraId="00000128" w14:textId="77777777" w:rsidR="00DC0EE8" w:rsidRDefault="14EE7DEF">
      <w:r w:rsidRPr="14EE7DEF">
        <w:t xml:space="preserve">Как и в случае терапии анти-CTLA-4, у </w:t>
      </w:r>
      <w:r w:rsidRPr="14EE7DEF">
        <w:rPr>
          <w:b/>
          <w:bCs/>
        </w:rPr>
        <w:t xml:space="preserve">женщин </w:t>
      </w:r>
      <w:r w:rsidRPr="14EE7DEF">
        <w:t xml:space="preserve">наблюдалась более высокая вероятность развития всех степеней токсичности, связанных с PD-1 (в основном пневмонита и эндокринной токсичности). Интересно, что эндокринопатии чаще встречались у женщин в пременопаузе, чем у женщин в постменопаузе или мужчин (67% против 60% против 46%) </w:t>
      </w:r>
      <w:hyperlink r:id="rId97">
        <w:r w:rsidRPr="14EE7DEF">
          <w:t>[72]</w:t>
        </w:r>
      </w:hyperlink>
      <w:r w:rsidRPr="14EE7DEF">
        <w:t xml:space="preserve">. Женский пол известен как один из факторов риска аутоиммунных заболеваний, что позволяет сделать предположение о том, что различие в уровнях половых гормонов у пациентов могут быть ассоциированы с частотой развития ИОНЯ. </w:t>
      </w:r>
    </w:p>
    <w:p w14:paraId="00000129" w14:textId="77777777" w:rsidR="00DC0EE8" w:rsidRDefault="00DC0EE8"/>
    <w:p w14:paraId="0000012A" w14:textId="77777777" w:rsidR="00DC0EE8" w:rsidRDefault="14EE7DEF" w:rsidP="14EE7DEF">
      <w:pPr>
        <w:rPr>
          <w:u w:val="single"/>
        </w:rPr>
      </w:pPr>
      <w:r w:rsidRPr="14EE7DEF">
        <w:rPr>
          <w:u w:val="single"/>
        </w:rPr>
        <w:t>Общие предикторы иммуноопосредованной токсичности</w:t>
      </w:r>
    </w:p>
    <w:p w14:paraId="0000012B" w14:textId="77777777" w:rsidR="00DC0EE8" w:rsidRDefault="14EE7DEF">
      <w:r w:rsidRPr="14EE7DEF">
        <w:t xml:space="preserve">Хорошим потенциалом предикторов токсичности лечения иммунотерапевтическими препаратами как из группы анти-CTLA-4, так и из группы анти-PD(L)-1 обладают изолированные показатели крови либо индексы, рассчитанные на их основе. Поскольку повышенное отношение нейтрофилов к лимфоцитам (NLR) и абсолютное количество нейтрофилов до терапии значительно коррелировали со сниженной эффективностью иммунотерапии, индекс на основе нейтрофилов был предложен для стратификации групп риска </w:t>
      </w:r>
      <w:hyperlink r:id="rId98">
        <w:r w:rsidRPr="14EE7DEF">
          <w:t>[73]</w:t>
        </w:r>
      </w:hyperlink>
      <w:r w:rsidRPr="14EE7DEF">
        <w:t xml:space="preserve">. </w:t>
      </w:r>
    </w:p>
    <w:p w14:paraId="0000012C" w14:textId="77777777" w:rsidR="00DC0EE8" w:rsidRDefault="00DC0EE8"/>
    <w:p w14:paraId="0000012D" w14:textId="77777777" w:rsidR="00DC0EE8" w:rsidRDefault="14EE7DEF">
      <w:r w:rsidRPr="14EE7DEF">
        <w:t xml:space="preserve">Биохимические показатели крови, такие как </w:t>
      </w:r>
      <w:r w:rsidRPr="14EE7DEF">
        <w:rPr>
          <w:b/>
          <w:bCs/>
        </w:rPr>
        <w:t xml:space="preserve">повышенные уровни лактатдегидрогеназы (ЛДГ) и С-реактивного белка (СРБ) </w:t>
      </w:r>
      <w:r w:rsidRPr="14EE7DEF">
        <w:t xml:space="preserve">в сыворотке, в </w:t>
      </w:r>
      <w:r w:rsidRPr="14EE7DEF">
        <w:lastRenderedPageBreak/>
        <w:t xml:space="preserve">исследовании Heppt et al. определены как факторы риска плохой выживаемости у пациентов на иммунотерапии </w:t>
      </w:r>
      <w:hyperlink r:id="rId99">
        <w:r w:rsidRPr="14EE7DEF">
          <w:t>[74]</w:t>
        </w:r>
      </w:hyperlink>
      <w:r w:rsidRPr="14EE7DEF">
        <w:t xml:space="preserve">. А в работе Su et al. были выявлены 11 цитокинов (включая провоспалительные цитокины, такие как ИЛ-1α, ИЛ-2 и IFN-α2), уровень которых до терапии был ассоциирован с тяжелой токсичностью. Эти показатели были объединены в единый индекс оценки токсичности, доказана их роль для прогнозирования  иммуноопосредованной токсичности высокой степени у пациентов, получающих комбинированную иммунотерапию </w:t>
      </w:r>
      <w:hyperlink r:id="rId100">
        <w:r w:rsidRPr="14EE7DEF">
          <w:t>[75]</w:t>
        </w:r>
      </w:hyperlink>
      <w:r w:rsidRPr="14EE7DEF">
        <w:t>.</w:t>
      </w:r>
    </w:p>
    <w:p w14:paraId="0000012E" w14:textId="77777777" w:rsidR="00DC0EE8" w:rsidRDefault="00DC0EE8"/>
    <w:p w14:paraId="0000012F" w14:textId="77777777" w:rsidR="00DC0EE8" w:rsidRDefault="14EE7DEF">
      <w:r w:rsidRPr="14EE7DEF">
        <w:t xml:space="preserve">Кроме того, отмечается, что пациенты с </w:t>
      </w:r>
      <w:r w:rsidRPr="14EE7DEF">
        <w:rPr>
          <w:b/>
          <w:bCs/>
        </w:rPr>
        <w:t>аутоиммунным заболеванием в анамнезе</w:t>
      </w:r>
      <w:r w:rsidRPr="14EE7DEF">
        <w:t xml:space="preserve"> или пациенты, которые активно лечатся от аутоиммунного заболевания, подвержены риску обострения на терапии ингибиторами иммунных контрольных точек </w:t>
      </w:r>
      <w:hyperlink r:id="rId101">
        <w:r w:rsidRPr="14EE7DEF">
          <w:t>[76]</w:t>
        </w:r>
      </w:hyperlink>
      <w:r w:rsidRPr="14EE7DEF">
        <w:t xml:space="preserve">. Аналогично пациенты, у которых развивались ИОНЯ во время лечения ипилимумабом, подвержены риску развития нежелательных явлений после лечения анти-PD-1 и наоборот </w:t>
      </w:r>
      <w:hyperlink r:id="rId102">
        <w:r w:rsidRPr="14EE7DEF">
          <w:t>[77]</w:t>
        </w:r>
      </w:hyperlink>
      <w:r w:rsidRPr="14EE7DEF">
        <w:t xml:space="preserve">. Результаты наблюдений показали более высокий уровень токсичности 3-4 степени у пациентов, получавших ипилимумаб после анти-PD-1 (до 35%). А пациенты с токсичностью 3-4 степени, получавшие ипилимумаб с последующим введением анти-PD-1, развивали побочные явления 3-4 степени </w:t>
      </w:r>
      <w:proofErr w:type="gramStart"/>
      <w:r w:rsidRPr="14EE7DEF">
        <w:t>в &gt;</w:t>
      </w:r>
      <w:proofErr w:type="gramEnd"/>
      <w:r w:rsidRPr="14EE7DEF">
        <w:t xml:space="preserve"> 20% случаев. Существует предположение, что имеет значение время между последней дозой первого лекарства и началом приема второго лекарства, поскольку период полураспада этих лекарственных средств довольно длинный. </w:t>
      </w:r>
    </w:p>
    <w:p w14:paraId="00000130" w14:textId="77777777" w:rsidR="00DC0EE8" w:rsidRDefault="00DC0EE8"/>
    <w:p w14:paraId="00000131" w14:textId="77777777" w:rsidR="00DC0EE8" w:rsidRDefault="14EE7DEF">
      <w:r w:rsidRPr="14EE7DEF">
        <w:t>Таким образом, накопленные на сегодняшний день данные позволяют выявить некоторые предикторы токсичности иммунотерапии, однако не все из них рутинно определяются в клинической практике, а также обладают достаточной точностью. Поэтому изучение клинико-биохимических и молекулярно-генетических маркеров, позволяющих лучше стратифицировать пациентов, по-прежнему остается критически важной задачей.</w:t>
      </w:r>
    </w:p>
    <w:p w14:paraId="00000133" w14:textId="55D31BBB" w:rsidR="00DC0EE8" w:rsidRDefault="00DC0EE8">
      <w:pPr>
        <w:pStyle w:val="1"/>
        <w:rPr>
          <w:sz w:val="28"/>
          <w:szCs w:val="28"/>
        </w:rPr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  <w:bookmarkStart w:id="16" w:name="_o5a1o5uxq42c" w:colFirst="0" w:colLast="0"/>
      <w:bookmarkEnd w:id="16"/>
    </w:p>
    <w:p w14:paraId="00000134" w14:textId="77777777" w:rsidR="00DC0EE8" w:rsidRDefault="14EE7DEF" w:rsidP="14EE7DEF">
      <w:pPr>
        <w:pStyle w:val="1"/>
        <w:rPr>
          <w:bCs/>
        </w:rPr>
      </w:pPr>
      <w:bookmarkStart w:id="17" w:name="_d8cvmrbo5hw9"/>
      <w:bookmarkEnd w:id="17"/>
      <w:r w:rsidRPr="14EE7DEF">
        <w:rPr>
          <w:bCs/>
        </w:rPr>
        <w:lastRenderedPageBreak/>
        <w:t>Глава 2. Матер</w:t>
      </w:r>
      <w:bookmarkStart w:id="18" w:name="_GoBack"/>
      <w:bookmarkEnd w:id="18"/>
      <w:r w:rsidRPr="14EE7DEF">
        <w:rPr>
          <w:bCs/>
        </w:rPr>
        <w:t>иалы и методы исследования</w:t>
      </w:r>
    </w:p>
    <w:p w14:paraId="00000135" w14:textId="77777777" w:rsidR="00DC0EE8" w:rsidRDefault="14EE7DEF">
      <w:r w:rsidRPr="14EE7DEF">
        <w:t xml:space="preserve">Работа выполнена на основе ретроспективного анализа данных 60 пациентов, проходивших лечение </w:t>
      </w:r>
      <w:proofErr w:type="gramStart"/>
      <w:r w:rsidRPr="14EE7DEF">
        <w:t>в  СПБГБУЗ</w:t>
      </w:r>
      <w:proofErr w:type="gramEnd"/>
      <w:r w:rsidRPr="14EE7DEF">
        <w:t xml:space="preserve"> ГКОД. Среди них 41 больных (65%) с меланомой кожи, 1 больной (1,6%) с меланомой слизистых оболочек, 3 (5%) больных с метастазами меланомы без верифицированного первичного очага, 7 больных (13,3%) с немелкоклеточным раком легкого, 1 больной (1,6%) с мелкоклеточным раком легкого, 2 больных (3,3%) с раком ободочной кишки, 1 больной (1,6%) с раком мочевого пузыря, 3 больных (5%) с раком желудка. </w:t>
      </w:r>
    </w:p>
    <w:p w14:paraId="00000136" w14:textId="77777777" w:rsidR="00DC0EE8" w:rsidRDefault="00DF7D84" w:rsidP="14EE7DEF">
      <w:r>
        <w:rPr>
          <w:noProof/>
          <w:lang w:val="ru-RU"/>
        </w:rPr>
        <w:drawing>
          <wp:inline distT="114300" distB="114300" distL="114300" distR="114300" wp14:anchorId="0B97C155" wp14:editId="07777777">
            <wp:extent cx="5731200" cy="3543300"/>
            <wp:effectExtent l="0" t="0" r="0" b="0"/>
            <wp:docPr id="12" name="image10.png" descr="Диаграм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14EE7DEF">
        <w:t>Рисунок 4. Структура диагнозов пациентов, получающих иммунотерапию.</w:t>
      </w:r>
    </w:p>
    <w:p w14:paraId="00000137" w14:textId="77777777" w:rsidR="00DC0EE8" w:rsidRDefault="00DC0EE8" w:rsidP="14EE7DEF"/>
    <w:p w14:paraId="61727B36" w14:textId="77777777" w:rsidR="00DC0EE8" w:rsidRDefault="00DF7D84" w:rsidP="14EE7DEF">
      <w:r w:rsidRPr="14EE7DEF">
        <w:t>Средний возраст пациентов составил 61,053 土11,767 лет, среди них мужчин было 29 (48,3%), женщин было 31 (51,6%). Во всех 60</w:t>
      </w:r>
      <w:r>
        <w:t xml:space="preserve"> наблюдениях диагноз злокачественного новообразования желудка был верифицирован морфологическим способом (гистологически). Материал для исследования получали при помощи биопсии или в процессе проведения диагностической операции. </w:t>
      </w:r>
    </w:p>
    <w:p w14:paraId="5521CE14" w14:textId="100C0C09" w:rsidR="00DC0EE8" w:rsidRDefault="00DC0EE8" w:rsidP="14EE7DEF"/>
    <w:p w14:paraId="00000138" w14:textId="09EA58C0" w:rsidR="00DC0EE8" w:rsidRDefault="00DF7D84">
      <w:r>
        <w:lastRenderedPageBreak/>
        <w:t xml:space="preserve">Проведен ретроспективный анализ историй болезни 303 пациентов Городского Клинического Онкологического Диспансера, получавших лечение чекпоинт-ингибиторами в период с 2018 по 2021 года.  Из данных пациентов было выбрано 60 человек, у которых оказалось возможным установить необходимый для исследования набор клинико-лабораторных параметров. На основе клинических данных пациентов была составлена база данных. </w:t>
      </w:r>
    </w:p>
    <w:p w14:paraId="00000139" w14:textId="77777777" w:rsidR="00DC0EE8" w:rsidRDefault="00DF7D84" w:rsidP="14EE7DEF">
      <w:pPr>
        <w:ind w:left="720"/>
      </w:pPr>
      <w:r>
        <w:t>Анализируемые параметры включали:</w:t>
      </w:r>
    </w:p>
    <w:p w14:paraId="0000013A" w14:textId="77777777" w:rsidR="00DC0EE8" w:rsidRDefault="00DF7D84" w:rsidP="14EE7DEF">
      <w:pPr>
        <w:numPr>
          <w:ilvl w:val="0"/>
          <w:numId w:val="10"/>
        </w:numPr>
      </w:pPr>
      <w:r w:rsidRPr="14EE7DEF">
        <w:t>В</w:t>
      </w:r>
      <w:r>
        <w:t>озраст,</w:t>
      </w:r>
    </w:p>
    <w:p w14:paraId="0000013B" w14:textId="77777777" w:rsidR="00DC0EE8" w:rsidRDefault="00DF7D84" w:rsidP="14EE7DEF">
      <w:pPr>
        <w:numPr>
          <w:ilvl w:val="0"/>
          <w:numId w:val="10"/>
        </w:numPr>
      </w:pPr>
      <w:r w:rsidRPr="14EE7DEF">
        <w:t>П</w:t>
      </w:r>
      <w:r>
        <w:t>ол,</w:t>
      </w:r>
    </w:p>
    <w:p w14:paraId="0000013C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ИМТ, </w:t>
      </w:r>
    </w:p>
    <w:p w14:paraId="0000013D" w14:textId="77777777" w:rsidR="00DC0EE8" w:rsidRDefault="14EE7DEF">
      <w:pPr>
        <w:numPr>
          <w:ilvl w:val="0"/>
          <w:numId w:val="10"/>
        </w:numPr>
      </w:pPr>
      <w:r w:rsidRPr="14EE7DEF">
        <w:t xml:space="preserve">ECOG до начала терапии, </w:t>
      </w:r>
    </w:p>
    <w:p w14:paraId="0000013E" w14:textId="77777777" w:rsidR="00DC0EE8" w:rsidRDefault="00DF7D84" w:rsidP="14EE7DEF">
      <w:pPr>
        <w:numPr>
          <w:ilvl w:val="0"/>
          <w:numId w:val="10"/>
        </w:numPr>
      </w:pPr>
      <w:r>
        <w:t xml:space="preserve">CPS, </w:t>
      </w:r>
    </w:p>
    <w:p w14:paraId="0000013F" w14:textId="77777777" w:rsidR="00DC0EE8" w:rsidRDefault="14EE7DEF" w:rsidP="14EE7DEF">
      <w:pPr>
        <w:numPr>
          <w:ilvl w:val="0"/>
          <w:numId w:val="10"/>
        </w:numPr>
      </w:pPr>
      <w:r w:rsidRPr="14EE7DEF">
        <w:t>PD-L (на иммунных клетках),</w:t>
      </w:r>
    </w:p>
    <w:p w14:paraId="00000140" w14:textId="77777777" w:rsidR="00DC0EE8" w:rsidRDefault="14EE7DEF" w:rsidP="14EE7DEF">
      <w:pPr>
        <w:numPr>
          <w:ilvl w:val="0"/>
          <w:numId w:val="10"/>
        </w:numPr>
      </w:pPr>
      <w:r w:rsidRPr="14EE7DEF">
        <w:t>PD-L (на опухолевых клетках),</w:t>
      </w:r>
    </w:p>
    <w:p w14:paraId="00000141" w14:textId="77777777" w:rsidR="00DC0EE8" w:rsidRDefault="14EE7DEF" w:rsidP="14EE7DEF">
      <w:pPr>
        <w:numPr>
          <w:ilvl w:val="0"/>
          <w:numId w:val="10"/>
        </w:numPr>
      </w:pPr>
      <w:r w:rsidRPr="14EE7DEF">
        <w:t>Препарат (монотерапия ингибиторами PD(L)-1 или комбинация ингибитора PD(L)-1 с анти-CTLA-препаратом),</w:t>
      </w:r>
    </w:p>
    <w:p w14:paraId="00000142" w14:textId="77777777" w:rsidR="00DC0EE8" w:rsidRDefault="14EE7DEF" w:rsidP="14EE7DEF">
      <w:pPr>
        <w:numPr>
          <w:ilvl w:val="0"/>
          <w:numId w:val="10"/>
        </w:numPr>
      </w:pPr>
      <w:r w:rsidRPr="14EE7DEF">
        <w:t>Сопутствующие заболевания (наличие или отсутствие сопутствующей сердечно-сосудистой патологии),</w:t>
      </w:r>
    </w:p>
    <w:p w14:paraId="00000143" w14:textId="77777777" w:rsidR="00DC0EE8" w:rsidRDefault="14EE7DEF" w:rsidP="14EE7DEF">
      <w:pPr>
        <w:numPr>
          <w:ilvl w:val="0"/>
          <w:numId w:val="10"/>
        </w:numPr>
      </w:pPr>
      <w:r w:rsidRPr="14EE7DEF">
        <w:t>Линия терапии,</w:t>
      </w:r>
    </w:p>
    <w:p w14:paraId="00000144" w14:textId="77777777" w:rsidR="00DC0EE8" w:rsidRDefault="00DF7D84" w:rsidP="14EE7DEF">
      <w:pPr>
        <w:numPr>
          <w:ilvl w:val="0"/>
          <w:numId w:val="10"/>
        </w:numPr>
      </w:pPr>
      <w:r w:rsidRPr="14EE7DEF">
        <w:t>К</w:t>
      </w:r>
      <w:r>
        <w:t xml:space="preserve">оличество лейкоцитов (тыс/мкл), </w:t>
      </w:r>
    </w:p>
    <w:p w14:paraId="00000145" w14:textId="77777777" w:rsidR="00DC0EE8" w:rsidRDefault="00DF7D84" w:rsidP="14EE7DEF">
      <w:pPr>
        <w:numPr>
          <w:ilvl w:val="0"/>
          <w:numId w:val="10"/>
        </w:numPr>
      </w:pPr>
      <w:r w:rsidRPr="14EE7DEF">
        <w:t>К</w:t>
      </w:r>
      <w:r>
        <w:t xml:space="preserve">оличество нейтрофилов (тыс/мкл), </w:t>
      </w:r>
    </w:p>
    <w:p w14:paraId="00000146" w14:textId="77777777" w:rsidR="00DC0EE8" w:rsidRDefault="00DF7D84" w:rsidP="14EE7DEF">
      <w:pPr>
        <w:numPr>
          <w:ilvl w:val="0"/>
          <w:numId w:val="10"/>
        </w:numPr>
      </w:pPr>
      <w:r w:rsidRPr="14EE7DEF">
        <w:t>К</w:t>
      </w:r>
      <w:r>
        <w:t xml:space="preserve">оличество лимфоцитов (тыс/мкл), </w:t>
      </w:r>
    </w:p>
    <w:p w14:paraId="00000147" w14:textId="77777777" w:rsidR="00DC0EE8" w:rsidRDefault="00DF7D84" w:rsidP="14EE7DEF">
      <w:pPr>
        <w:numPr>
          <w:ilvl w:val="0"/>
          <w:numId w:val="10"/>
        </w:numPr>
      </w:pPr>
      <w:r w:rsidRPr="14EE7DEF">
        <w:t>С</w:t>
      </w:r>
      <w:r>
        <w:t xml:space="preserve">оотношение нейтрофилов к лимфоцитам, </w:t>
      </w:r>
    </w:p>
    <w:p w14:paraId="00000148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Количество пораженных опухолью и/или метастазами органов. </w:t>
      </w:r>
    </w:p>
    <w:p w14:paraId="00000149" w14:textId="77777777" w:rsidR="00DC0EE8" w:rsidRDefault="00DC0EE8" w:rsidP="14EE7DEF"/>
    <w:p w14:paraId="5DB1747D" w14:textId="77777777" w:rsidR="00DC0EE8" w:rsidRDefault="00DF7D84" w:rsidP="14EE7DEF">
      <w:r>
        <w:t xml:space="preserve">Данные параметры выбраны на основе литературных данных о возможных клинико-лабораторных предикторах токсичности иммунотерапии. </w:t>
      </w:r>
    </w:p>
    <w:p w14:paraId="3BAB2D26" w14:textId="46D1C4B8" w:rsidR="00DC0EE8" w:rsidRDefault="00DC0EE8" w:rsidP="14EE7DEF"/>
    <w:p w14:paraId="73ABC05A" w14:textId="77777777" w:rsidR="00B22CE4" w:rsidRDefault="00B22CE4" w:rsidP="14EE7DEF">
      <w:pPr>
        <w:rPr>
          <w:b/>
          <w:bCs/>
        </w:rPr>
      </w:pPr>
    </w:p>
    <w:p w14:paraId="2A3F11DB" w14:textId="77777777" w:rsidR="00B22CE4" w:rsidRDefault="00B22CE4" w:rsidP="14EE7DEF">
      <w:pPr>
        <w:rPr>
          <w:b/>
          <w:bCs/>
        </w:rPr>
      </w:pPr>
    </w:p>
    <w:p w14:paraId="59918900" w14:textId="1A7F8C89" w:rsidR="00DC0EE8" w:rsidRDefault="00DF7D84" w:rsidP="14EE7DEF">
      <w:r w:rsidRPr="14EE7DEF">
        <w:rPr>
          <w:b/>
          <w:bCs/>
        </w:rPr>
        <w:lastRenderedPageBreak/>
        <w:t>Критерии включения в анализ:</w:t>
      </w:r>
    </w:p>
    <w:p w14:paraId="483B05CA" w14:textId="77777777" w:rsidR="00DC0EE8" w:rsidRDefault="00DF7D84" w:rsidP="14EE7DEF">
      <w:pPr>
        <w:pStyle w:val="a9"/>
        <w:numPr>
          <w:ilvl w:val="0"/>
          <w:numId w:val="2"/>
        </w:numPr>
      </w:pPr>
      <w:r>
        <w:t>Верифицированный гистологически диагноз онкологического заболевания.</w:t>
      </w:r>
    </w:p>
    <w:p w14:paraId="0C90E139" w14:textId="5D8FA6DB" w:rsidR="00DC0EE8" w:rsidRDefault="00DF7D84" w:rsidP="14EE7DEF">
      <w:pPr>
        <w:pStyle w:val="a9"/>
        <w:numPr>
          <w:ilvl w:val="0"/>
          <w:numId w:val="2"/>
        </w:numPr>
      </w:pPr>
      <w:r>
        <w:t>Получение лечения иммунотерапевтическими препаратами в адьювантном режиме.</w:t>
      </w:r>
    </w:p>
    <w:p w14:paraId="2A888109" w14:textId="75E491D8" w:rsidR="00DC0EE8" w:rsidRDefault="00DF7D84" w:rsidP="14EE7DEF">
      <w:pPr>
        <w:pStyle w:val="a9"/>
        <w:numPr>
          <w:ilvl w:val="0"/>
          <w:numId w:val="2"/>
        </w:numPr>
      </w:pPr>
      <w:r>
        <w:t xml:space="preserve">Получение лечения иммунотерапевтическими препаратами </w:t>
      </w:r>
      <w:r w:rsidRPr="14EE7DEF">
        <w:t xml:space="preserve">при </w:t>
      </w:r>
      <w:r>
        <w:t>метастатическо</w:t>
      </w:r>
      <w:r w:rsidRPr="14EE7DEF">
        <w:t>м</w:t>
      </w:r>
      <w:r>
        <w:t xml:space="preserve"> заболевани</w:t>
      </w:r>
      <w:r w:rsidRPr="14EE7DEF">
        <w:t>и</w:t>
      </w:r>
      <w:r>
        <w:t xml:space="preserve"> или рецидив</w:t>
      </w:r>
      <w:r w:rsidRPr="14EE7DEF">
        <w:t>е</w:t>
      </w:r>
      <w:r>
        <w:t xml:space="preserve">. </w:t>
      </w:r>
    </w:p>
    <w:p w14:paraId="0000014A" w14:textId="77777777" w:rsidR="00DC0EE8" w:rsidRDefault="00DF7D84" w:rsidP="14EE7DEF">
      <w:pPr>
        <w:pStyle w:val="a9"/>
        <w:numPr>
          <w:ilvl w:val="0"/>
          <w:numId w:val="2"/>
        </w:numPr>
      </w:pPr>
      <w:r>
        <w:t xml:space="preserve">Возраст от 18 </w:t>
      </w:r>
      <w:r w:rsidRPr="14EE7DEF">
        <w:t>лет.</w:t>
      </w:r>
    </w:p>
    <w:p w14:paraId="0000014B" w14:textId="77777777" w:rsidR="00DC0EE8" w:rsidRDefault="00DC0EE8"/>
    <w:p w14:paraId="27460A3D" w14:textId="77777777" w:rsidR="00DC0EE8" w:rsidRDefault="00DF7D84" w:rsidP="14EE7DEF">
      <w:pPr>
        <w:rPr>
          <w:b/>
          <w:bCs/>
        </w:rPr>
      </w:pPr>
      <w:r w:rsidRPr="14EE7DEF">
        <w:rPr>
          <w:b/>
          <w:bCs/>
        </w:rPr>
        <w:t>Критерии исключения из анализа:</w:t>
      </w:r>
    </w:p>
    <w:p w14:paraId="70693648" w14:textId="77777777" w:rsidR="00DC0EE8" w:rsidRDefault="00DF7D84" w:rsidP="14EE7DEF">
      <w:pPr>
        <w:pStyle w:val="a9"/>
        <w:numPr>
          <w:ilvl w:val="0"/>
          <w:numId w:val="1"/>
        </w:numPr>
      </w:pPr>
      <w:r>
        <w:t>Отсутствие гистологической верификации онкологического заболевания</w:t>
      </w:r>
    </w:p>
    <w:p w14:paraId="256C52C7" w14:textId="77777777" w:rsidR="00DC0EE8" w:rsidRDefault="00DF7D84" w:rsidP="14EE7DEF">
      <w:pPr>
        <w:pStyle w:val="a9"/>
        <w:numPr>
          <w:ilvl w:val="0"/>
          <w:numId w:val="1"/>
        </w:numPr>
      </w:pPr>
      <w:r>
        <w:t>Беременность и лактация</w:t>
      </w:r>
    </w:p>
    <w:p w14:paraId="557ECC7D" w14:textId="77777777" w:rsidR="00DC0EE8" w:rsidRDefault="00DF7D84" w:rsidP="14EE7DEF">
      <w:pPr>
        <w:pStyle w:val="a9"/>
        <w:numPr>
          <w:ilvl w:val="0"/>
          <w:numId w:val="1"/>
        </w:numPr>
      </w:pPr>
      <w:r>
        <w:t>Тяжелые сопутствующие заболевания, препятствующие использованию ингибиторов контрольных точек иммунного ответа в качестве терапии.</w:t>
      </w:r>
    </w:p>
    <w:p w14:paraId="6BA658F8" w14:textId="5396EFF6" w:rsidR="00DC0EE8" w:rsidRDefault="00DC0EE8" w:rsidP="14EE7DEF"/>
    <w:p w14:paraId="0000014C" w14:textId="77777777" w:rsidR="00DC0EE8" w:rsidRDefault="00DF7D84" w:rsidP="14EE7DEF">
      <w:pPr>
        <w:rPr>
          <w:b/>
          <w:bCs/>
        </w:rPr>
      </w:pPr>
      <w:r w:rsidRPr="14EE7DEF">
        <w:rPr>
          <w:b/>
          <w:bCs/>
        </w:rPr>
        <w:t>Методы исследования</w:t>
      </w:r>
    </w:p>
    <w:p w14:paraId="5159C198" w14:textId="01F063EC" w:rsidR="14EE7DEF" w:rsidRDefault="14EE7DEF" w:rsidP="14EE7DEF">
      <w:pPr>
        <w:rPr>
          <w:b/>
          <w:bCs/>
        </w:rPr>
      </w:pPr>
    </w:p>
    <w:p w14:paraId="6DC059F7" w14:textId="77777777" w:rsidR="00DC0EE8" w:rsidRDefault="00DF7D84" w:rsidP="14EE7DEF">
      <w:pPr>
        <w:rPr>
          <w:u w:val="single"/>
        </w:rPr>
      </w:pPr>
      <w:r>
        <w:rPr>
          <w:u w:val="single"/>
        </w:rPr>
        <w:t>Сбор данных</w:t>
      </w:r>
    </w:p>
    <w:p w14:paraId="0000014D" w14:textId="5F359D1E" w:rsidR="00DC0EE8" w:rsidRDefault="00DF7D84">
      <w:r>
        <w:t xml:space="preserve">Ретроспективно изучались данные историй болезни пациентов, на основе которых была составлена сводная таблица в программе Microsoft Excel. Далее велся поиск корреляций выбранных клинико-лабораторных параметров с развитием аутоиммунных осложнений иммунотерапии. </w:t>
      </w:r>
      <w:r w:rsidRPr="14EE7DEF">
        <w:t xml:space="preserve">Анализируемые параметры включали возраст, пол, ИМТ, ECOG до начала терапии, CPS, количество лейкоцитов (тыс/мкл), количество нейтрофилов (тыс/мкл), количество лимфоцитов (тыс/мкл), соотношение нейтрофилов к лимфоцитам, количество пораженных опухолью и/или метастазами органов. Данные параметры выбраны на основе литературных данных о возможных клинико-лабораторных предикторах токсичности иммунотерапии. </w:t>
      </w:r>
    </w:p>
    <w:p w14:paraId="0000014E" w14:textId="77777777" w:rsidR="00DC0EE8" w:rsidRDefault="00DC0EE8"/>
    <w:p w14:paraId="0000014F" w14:textId="77777777" w:rsidR="00DC0EE8" w:rsidRDefault="14EE7DEF">
      <w:r w:rsidRPr="14EE7DEF">
        <w:rPr>
          <w:u w:val="single"/>
        </w:rPr>
        <w:t>Общее состояние больных</w:t>
      </w:r>
      <w:r w:rsidRPr="14EE7DEF">
        <w:t xml:space="preserve"> оценивалось по 5-бальной шкале ECOG (Eastern Cooperative Oncology Group – Восточная объединенная группа онкологов):</w:t>
      </w:r>
    </w:p>
    <w:p w14:paraId="00000150" w14:textId="77777777" w:rsidR="00DC0EE8" w:rsidRDefault="14EE7DEF">
      <w:r w:rsidRPr="14EE7DEF">
        <w:t>0 - Полностью активен, способен выполнять работу, которую осуществлял до болезни, без ограничений.</w:t>
      </w:r>
    </w:p>
    <w:p w14:paraId="00000151" w14:textId="77777777" w:rsidR="00DC0EE8" w:rsidRDefault="14EE7DEF">
      <w:r w:rsidRPr="14EE7DEF">
        <w:t>1 - Испытывает трудности при выполнении физической работы. Способен выполнять легкую или сидячую работу.</w:t>
      </w:r>
    </w:p>
    <w:p w14:paraId="00000152" w14:textId="77777777" w:rsidR="00DC0EE8" w:rsidRDefault="14EE7DEF">
      <w:r w:rsidRPr="14EE7DEF">
        <w:t>2 - Обслуживает себя полностью, но не способен выполнять работу. Большую часть дневного времени проводит вне постели.</w:t>
      </w:r>
    </w:p>
    <w:p w14:paraId="00000153" w14:textId="77777777" w:rsidR="00DC0EE8" w:rsidRDefault="14EE7DEF">
      <w:r w:rsidRPr="14EE7DEF">
        <w:t>3 - Обслуживает себя с ограничениями.</w:t>
      </w:r>
    </w:p>
    <w:p w14:paraId="00000154" w14:textId="77777777" w:rsidR="00DC0EE8" w:rsidRDefault="14EE7DEF">
      <w:r w:rsidRPr="14EE7DEF">
        <w:t>4 - Более 50% времени проводит лежа; полная инвалидность. Не способен обслуживать себя, прикован к постели.</w:t>
      </w:r>
    </w:p>
    <w:p w14:paraId="00000155" w14:textId="77777777" w:rsidR="00DC0EE8" w:rsidRDefault="00DC0EE8"/>
    <w:p w14:paraId="00000156" w14:textId="77777777" w:rsidR="00DC0EE8" w:rsidRDefault="14EE7DEF">
      <w:r w:rsidRPr="14EE7DEF">
        <w:t xml:space="preserve">Для оценки </w:t>
      </w:r>
      <w:r w:rsidRPr="14EE7DEF">
        <w:rPr>
          <w:u w:val="single"/>
        </w:rPr>
        <w:t>показателей массы тела</w:t>
      </w:r>
      <w:r w:rsidRPr="14EE7DEF">
        <w:t xml:space="preserve"> использовался индекс массы тела (индекс Кетле). Он рассчитывается индивидуально по формуле: </w:t>
      </w:r>
    </w:p>
    <w:p w14:paraId="00000157" w14:textId="77777777" w:rsidR="00DC0EE8" w:rsidRDefault="00DF7D84">
      <w:r>
        <w:t>Индекс Кетле (кг/</w:t>
      </w:r>
      <m:oMath>
        <m:sSup>
          <m:sSupPr>
            <m:ctrlPr/>
          </m:sSupPr>
          <m:e>
            <m:r>
              <m:t>м</m:t>
            </m:r>
          </m:e>
          <m:sup>
            <m:r>
              <m:t>2</m:t>
            </m:r>
          </m:sup>
        </m:sSup>
      </m:oMath>
      <w:r>
        <w:t xml:space="preserve"> ) = вес (кг) : </w:t>
      </w:r>
      <m:oMath>
        <m:sSup>
          <m:sSupPr>
            <m:ctrlPr/>
          </m:sSupPr>
          <m:e>
            <m:r>
              <m:t>рост</m:t>
            </m:r>
          </m:e>
          <m:sup>
            <m:r>
              <m:t>2</m:t>
            </m:r>
          </m:sup>
        </m:sSup>
      </m:oMath>
      <w:r>
        <w:t xml:space="preserve"> (</w:t>
      </w:r>
      <m:oMath>
        <m:sSup>
          <m:sSupPr>
            <m:ctrlPr/>
          </m:sSupPr>
          <m:e>
            <m:r>
              <m:t>м</m:t>
            </m:r>
          </m:e>
          <m:sup>
            <m:r>
              <m:t>2</m:t>
            </m:r>
          </m:sup>
        </m:sSup>
      </m:oMath>
      <w:r>
        <w:t xml:space="preserve"> ).</w:t>
      </w:r>
    </w:p>
    <w:p w14:paraId="00000159" w14:textId="65505E5A" w:rsidR="00DC0EE8" w:rsidRPr="00DF7D84" w:rsidRDefault="00DF7D84" w:rsidP="00DF7D84">
      <w:pPr>
        <w:ind w:firstLine="709"/>
        <w:jc w:val="center"/>
        <w:rPr>
          <w:b/>
        </w:rPr>
      </w:pPr>
      <w:r>
        <w:rPr>
          <w:b/>
        </w:rPr>
        <w:t>Интерпретация значений индекса массы тела в соответствии с классификацией ВОЗ</w:t>
      </w:r>
    </w:p>
    <w:tbl>
      <w:tblPr>
        <w:tblStyle w:val="a7"/>
        <w:tblW w:w="9494" w:type="dxa"/>
        <w:tblLayout w:type="fixed"/>
        <w:tblLook w:val="0400" w:firstRow="0" w:lastRow="0" w:firstColumn="0" w:lastColumn="0" w:noHBand="0" w:noVBand="1"/>
      </w:tblPr>
      <w:tblGrid>
        <w:gridCol w:w="3205"/>
        <w:gridCol w:w="6289"/>
      </w:tblGrid>
      <w:tr w:rsidR="00DC0EE8" w14:paraId="2D4FE476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A" w14:textId="77777777" w:rsidR="00DC0EE8" w:rsidRDefault="00DF7D84">
            <w:pPr>
              <w:jc w:val="center"/>
            </w:pPr>
            <w:r>
              <w:t>Индекс массы тела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B" w14:textId="77777777" w:rsidR="00DC0EE8" w:rsidRDefault="00DF7D84">
            <w:pPr>
              <w:jc w:val="center"/>
            </w:pPr>
            <w:r>
              <w:t>Тип массы тела</w:t>
            </w:r>
          </w:p>
        </w:tc>
      </w:tr>
      <w:tr w:rsidR="00DC0EE8" w14:paraId="61D78CB4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C" w14:textId="77777777" w:rsidR="00DC0EE8" w:rsidRDefault="00DF7D84">
            <w:r>
              <w:t>16 и менее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D" w14:textId="77777777" w:rsidR="00DC0EE8" w:rsidRDefault="00DF7D84">
            <w:r>
              <w:t>Выраженный дефицит массы тела</w:t>
            </w:r>
          </w:p>
        </w:tc>
      </w:tr>
      <w:tr w:rsidR="00DC0EE8" w14:paraId="39992888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E" w14:textId="77777777" w:rsidR="00DC0EE8" w:rsidRDefault="00DF7D84">
            <w:r>
              <w:t>16 – 18,5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5F" w14:textId="77777777" w:rsidR="00DC0EE8" w:rsidRDefault="00DF7D84">
            <w:r>
              <w:t>Дефицит массы тела</w:t>
            </w:r>
          </w:p>
        </w:tc>
      </w:tr>
      <w:tr w:rsidR="00DC0EE8" w14:paraId="1238F717" w14:textId="77777777" w:rsidTr="00B22CE4">
        <w:trPr>
          <w:trHeight w:val="581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0" w14:textId="77777777" w:rsidR="00DC0EE8" w:rsidRDefault="00DF7D84">
            <w:r>
              <w:t>18,5 – 24,9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1" w14:textId="77777777" w:rsidR="00DC0EE8" w:rsidRDefault="00DF7D84">
            <w:r>
              <w:t>Нормальная масса тела</w:t>
            </w:r>
          </w:p>
        </w:tc>
      </w:tr>
      <w:tr w:rsidR="00DC0EE8" w14:paraId="37046D36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2" w14:textId="77777777" w:rsidR="00DC0EE8" w:rsidRDefault="00DF7D84">
            <w:r>
              <w:t>25 – 29,9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3" w14:textId="77777777" w:rsidR="00DC0EE8" w:rsidRDefault="00DF7D84">
            <w:r>
              <w:t>Избыточная масса тела (предожирение)</w:t>
            </w:r>
          </w:p>
        </w:tc>
      </w:tr>
      <w:tr w:rsidR="00DC0EE8" w14:paraId="71CBDCC4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4" w14:textId="77777777" w:rsidR="00DC0EE8" w:rsidRDefault="00DF7D84">
            <w:r>
              <w:t>30 – 34,9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5" w14:textId="77777777" w:rsidR="00DC0EE8" w:rsidRDefault="00DF7D84">
            <w:r>
              <w:t>Ожирение I степени</w:t>
            </w:r>
          </w:p>
        </w:tc>
      </w:tr>
      <w:tr w:rsidR="00DC0EE8" w14:paraId="41DB73CF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6" w14:textId="77777777" w:rsidR="00DC0EE8" w:rsidRDefault="00DF7D84">
            <w:r>
              <w:t>35 – 39,9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7" w14:textId="77777777" w:rsidR="00DC0EE8" w:rsidRDefault="00DF7D84">
            <w:r>
              <w:t>Ожирение II степени</w:t>
            </w:r>
          </w:p>
        </w:tc>
      </w:tr>
      <w:tr w:rsidR="00DC0EE8" w14:paraId="53B2C20F" w14:textId="77777777" w:rsidTr="00B22CE4">
        <w:trPr>
          <w:trHeight w:val="492"/>
        </w:trPr>
        <w:tc>
          <w:tcPr>
            <w:tcW w:w="3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8" w14:textId="77777777" w:rsidR="00DC0EE8" w:rsidRDefault="00DF7D84">
            <w:r>
              <w:t>40 и более</w:t>
            </w:r>
          </w:p>
        </w:tc>
        <w:tc>
          <w:tcPr>
            <w:tcW w:w="62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000169" w14:textId="77777777" w:rsidR="00DC0EE8" w:rsidRDefault="00DF7D84">
            <w:r>
              <w:t>Ожирение III степени</w:t>
            </w:r>
          </w:p>
        </w:tc>
      </w:tr>
    </w:tbl>
    <w:p w14:paraId="0000016A" w14:textId="77777777" w:rsidR="00DC0EE8" w:rsidRDefault="00DF7D84">
      <w:pPr>
        <w:ind w:firstLine="709"/>
      </w:pPr>
      <w:r>
        <w:t>Таблица 3. Интерпретация значений ИМТ.</w:t>
      </w:r>
    </w:p>
    <w:p w14:paraId="0000016B" w14:textId="77777777" w:rsidR="00DC0EE8" w:rsidRDefault="00DC0EE8">
      <w:pPr>
        <w:ind w:firstLine="709"/>
      </w:pPr>
    </w:p>
    <w:p w14:paraId="0000016C" w14:textId="77777777" w:rsidR="00DC0EE8" w:rsidRDefault="00DF7D84">
      <w:r>
        <w:t xml:space="preserve">Для определения </w:t>
      </w:r>
      <w:r>
        <w:rPr>
          <w:u w:val="single"/>
        </w:rPr>
        <w:t>экспрессии белка PD-L1</w:t>
      </w:r>
      <w:r>
        <w:t xml:space="preserve"> иммуногистохимическим методом в блоках опухоли используется, помимо прямого количественного определения PD-L1, такой показатель, как </w:t>
      </w:r>
      <w:r>
        <w:rPr>
          <w:u w:val="single"/>
        </w:rPr>
        <w:t xml:space="preserve">CPS </w:t>
      </w:r>
      <w:r>
        <w:t>(combined positive score). CPS — это отношение числа PD-L1 окрашенных клеток (включая опухолевые, лимфоциты, макрофаги) к общему числу опухолевых клеток, умноженное на 100.</w:t>
      </w:r>
    </w:p>
    <w:p w14:paraId="0000016D" w14:textId="77777777" w:rsidR="00DC0EE8" w:rsidRDefault="00DF7D84">
      <w:r>
        <w:rPr>
          <w:noProof/>
          <w:lang w:val="ru-RU"/>
        </w:rPr>
        <w:drawing>
          <wp:inline distT="114300" distB="114300" distL="114300" distR="114300" wp14:anchorId="66DE9CD0" wp14:editId="07777777">
            <wp:extent cx="5731200" cy="5689600"/>
            <wp:effectExtent l="0" t="0" r="0" b="0"/>
            <wp:docPr id="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68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6E" w14:textId="77777777" w:rsidR="00DC0EE8" w:rsidRDefault="14EE7DEF">
      <w:r w:rsidRPr="14EE7DEF">
        <w:t xml:space="preserve">Рисунок 5. Схема подсчета CPS при иммуногистохимическом исследовании. Примечания: PD-L1 negative tumor cell — PD-L1 негативная опухолевая клетка; PD-L1 positive tumor cell — PD-L1 позитивная опухолевая клетка; PD-L1 negative immune cell — PD-L1 негативная иммунная клетка; PD-L1 positive </w:t>
      </w:r>
      <w:r w:rsidRPr="14EE7DEF">
        <w:lastRenderedPageBreak/>
        <w:t xml:space="preserve">immune cell — PD-L1 позитивная иммунная клетка, TPS — tumor proportion score, показатель пропорции опухолевых клеток </w:t>
      </w:r>
      <w:hyperlink r:id="rId105">
        <w:r w:rsidRPr="14EE7DEF">
          <w:t>[78]</w:t>
        </w:r>
      </w:hyperlink>
      <w:r w:rsidRPr="14EE7DEF">
        <w:t>.</w:t>
      </w:r>
    </w:p>
    <w:p w14:paraId="0000016F" w14:textId="77777777" w:rsidR="00DC0EE8" w:rsidRDefault="00DC0EE8"/>
    <w:p w14:paraId="00000170" w14:textId="77777777" w:rsidR="00DC0EE8" w:rsidRDefault="00DF7D84">
      <w:r>
        <w:t xml:space="preserve">Исследование </w:t>
      </w:r>
      <w:r>
        <w:rPr>
          <w:u w:val="single"/>
        </w:rPr>
        <w:t>показателей клинического анализа крови с лейкоцитарной формуло</w:t>
      </w:r>
      <w:r w:rsidRPr="14EE7DEF">
        <w:rPr>
          <w:u w:val="single"/>
        </w:rPr>
        <w:t>й</w:t>
      </w:r>
      <w:r>
        <w:t xml:space="preserve"> проводилось методом проточной цитофлуометрии — метода регистрации оптических параметров находящихся в потоке клеток или частиц по сигналам светорассеяния и флуоресценции в режиме поштучного анализа. Для фокусировки клеток в потоке жидкости используется гидродинамическое или акустическое фокусирование, с помощью которого клетки выстраиваются в потоке в ряд, одна за другой. В проточной ячейке клетки облучаются лазером, оптика цитометра собирает световой сигнал от клеток, а электроника преобразует и оцифровывает сигнал для дальнейшего анализа.</w:t>
      </w:r>
    </w:p>
    <w:p w14:paraId="00000171" w14:textId="77777777" w:rsidR="00DC0EE8" w:rsidRDefault="00DC0EE8"/>
    <w:p w14:paraId="00000172" w14:textId="77777777" w:rsidR="00DC0EE8" w:rsidRDefault="14EE7DEF">
      <w:pPr>
        <w:ind w:firstLine="540"/>
      </w:pPr>
      <w:r w:rsidRPr="14EE7DEF">
        <w:rPr>
          <w:u w:val="single"/>
        </w:rPr>
        <w:t>Методы регистрации размеров и локализации опухолевых очагов</w:t>
      </w:r>
      <w:r w:rsidRPr="14EE7DEF">
        <w:t>:</w:t>
      </w:r>
    </w:p>
    <w:p w14:paraId="00000173" w14:textId="77777777" w:rsidR="00DC0EE8" w:rsidRDefault="14EE7DEF">
      <w:pPr>
        <w:numPr>
          <w:ilvl w:val="0"/>
          <w:numId w:val="8"/>
        </w:numPr>
        <w:ind w:left="540" w:firstLine="0"/>
      </w:pPr>
      <w:r w:rsidRPr="14EE7DEF">
        <w:t>Рентгенография органов грудной клетки.</w:t>
      </w:r>
    </w:p>
    <w:p w14:paraId="00000174" w14:textId="77777777" w:rsidR="00DC0EE8" w:rsidRDefault="14EE7DEF">
      <w:pPr>
        <w:numPr>
          <w:ilvl w:val="0"/>
          <w:numId w:val="8"/>
        </w:numPr>
        <w:ind w:left="540" w:firstLine="0"/>
      </w:pPr>
      <w:r w:rsidRPr="14EE7DEF">
        <w:t xml:space="preserve">Компьютерная томография органов грудной клетки, брюшной полости и полости малого таза. </w:t>
      </w:r>
    </w:p>
    <w:p w14:paraId="00000175" w14:textId="77777777" w:rsidR="00DC0EE8" w:rsidRDefault="14EE7DEF">
      <w:pPr>
        <w:numPr>
          <w:ilvl w:val="0"/>
          <w:numId w:val="8"/>
        </w:numPr>
        <w:ind w:left="540" w:firstLine="0"/>
      </w:pPr>
      <w:r w:rsidRPr="14EE7DEF">
        <w:t xml:space="preserve">Ультразвуковое исследование органов брюшной полости и полости малого таза.  </w:t>
      </w:r>
    </w:p>
    <w:p w14:paraId="00000176" w14:textId="77777777" w:rsidR="00DC0EE8" w:rsidRDefault="00DF7D84">
      <w:pPr>
        <w:numPr>
          <w:ilvl w:val="0"/>
          <w:numId w:val="8"/>
        </w:numPr>
        <w:ind w:left="540" w:firstLine="0"/>
      </w:pPr>
      <w:r>
        <w:t>Фиброэзофагогастроскопия (ФЭГДС).</w:t>
      </w:r>
    </w:p>
    <w:p w14:paraId="7758F25D" w14:textId="3F11A17E" w:rsidR="14EE7DEF" w:rsidRDefault="14EE7DEF" w:rsidP="14EE7DEF">
      <w:pPr>
        <w:ind w:left="180"/>
      </w:pPr>
    </w:p>
    <w:p w14:paraId="00000177" w14:textId="77777777" w:rsidR="00DC0EE8" w:rsidRDefault="14EE7DEF" w:rsidP="14EE7DEF">
      <w:r w:rsidRPr="14EE7DEF">
        <w:t xml:space="preserve">Опухолевые очаги оценивались по критериям RECIST (Response evaluation criteria in solid tumours, критерии оценки ответа солидных опухолей) </w:t>
      </w:r>
      <w:hyperlink r:id="rId106">
        <w:r w:rsidRPr="14EE7DEF">
          <w:t>[79]</w:t>
        </w:r>
      </w:hyperlink>
      <w:r w:rsidRPr="14EE7DEF">
        <w:t>.</w:t>
      </w:r>
    </w:p>
    <w:p w14:paraId="4D0626D0" w14:textId="3EB97D98" w:rsidR="14EE7DEF" w:rsidRDefault="14EE7DEF" w:rsidP="14EE7DEF"/>
    <w:p w14:paraId="00000178" w14:textId="77777777" w:rsidR="00DC0EE8" w:rsidRDefault="14EE7DEF">
      <w:pPr>
        <w:ind w:right="-109" w:firstLine="900"/>
      </w:pPr>
      <w:r w:rsidRPr="14EE7DEF">
        <w:t xml:space="preserve">Всем больным на момент начала лечения выполнен контроль клинического и биохимического анализа крови. </w:t>
      </w:r>
    </w:p>
    <w:p w14:paraId="6CA24CF7" w14:textId="7605887E" w:rsidR="14EE7DEF" w:rsidRDefault="14EE7DEF" w:rsidP="14EE7DEF">
      <w:pPr>
        <w:ind w:right="-109" w:firstLine="900"/>
      </w:pPr>
    </w:p>
    <w:p w14:paraId="7958D089" w14:textId="77777777" w:rsidR="00DC0EE8" w:rsidRDefault="00DF7D84" w:rsidP="14EE7DEF">
      <w:pPr>
        <w:ind w:right="-109" w:firstLine="900"/>
      </w:pPr>
      <w:r>
        <w:rPr>
          <w:u w:val="single"/>
        </w:rPr>
        <w:t>Выраженность осложнений основного заболевания</w:t>
      </w:r>
      <w:r>
        <w:t xml:space="preserve"> оценивалась в соответствии с критериями, разработанными Национальным институтом рака США (СТС-AE) </w:t>
      </w:r>
      <w:hyperlink r:id="rId107">
        <w:r>
          <w:t>[61]</w:t>
        </w:r>
      </w:hyperlink>
      <w:r>
        <w:t xml:space="preserve">. </w:t>
      </w:r>
    </w:p>
    <w:p w14:paraId="416285A0" w14:textId="7DF06AA7" w:rsidR="00DC0EE8" w:rsidRDefault="00DC0EE8" w:rsidP="14EE7DEF">
      <w:pPr>
        <w:ind w:right="-109" w:firstLine="900"/>
      </w:pPr>
    </w:p>
    <w:p w14:paraId="00000179" w14:textId="77777777" w:rsidR="00DC0EE8" w:rsidRDefault="00DF7D84" w:rsidP="14EE7DEF">
      <w:pPr>
        <w:ind w:right="-109"/>
        <w:rPr>
          <w:u w:val="single"/>
        </w:rPr>
      </w:pPr>
      <w:r>
        <w:rPr>
          <w:u w:val="single"/>
        </w:rPr>
        <w:t>Статистический анализ</w:t>
      </w:r>
    </w:p>
    <w:p w14:paraId="0000017A" w14:textId="77777777" w:rsidR="00DC0EE8" w:rsidRDefault="00DF7D84" w:rsidP="14EE7DEF">
      <w:pPr>
        <w:rPr>
          <w:vertAlign w:val="superscript"/>
        </w:rPr>
      </w:pPr>
      <w:r>
        <w:t xml:space="preserve">Статистический анализ проводился на персональном компьютере с использованием программы SPSS v.26. Методы описательной статистики включали оценку среднего арифметического (М), стандартную ошибку среднего значения (m). Для поиска связи между исследуемыми количественными признаками использовался метод </w:t>
      </w:r>
      <w:r w:rsidRPr="14EE7DEF">
        <w:t xml:space="preserve">деревьев классификации. Данный метод выбран по причине бинарности зависимой переменной (переменная «иммуноопосредованные осложнения» принимает только значения «да» или «нет»). В этом случае набор методов обработки данных ограничен и включает методы бинарной логистической регрессии, дискриминантный анализ, работу с данными при помощи нейронных сетей и деревья классификации. При использовании методов бинарной логистической регрессии и дискриминантного анализа не удалось получить приемлемые результаты, что может быть связано с ограниченностью размера выборки и потерей данных. </w:t>
      </w:r>
    </w:p>
    <w:p w14:paraId="0000017B" w14:textId="77777777" w:rsidR="00DC0EE8" w:rsidRDefault="00DC0EE8" w:rsidP="14EE7DEF"/>
    <w:p w14:paraId="0000017C" w14:textId="77777777" w:rsidR="00DC0EE8" w:rsidRDefault="14EE7DEF" w:rsidP="14EE7DEF">
      <w:r w:rsidRPr="14EE7DEF">
        <w:t>Деревья классификации – это метод классификационного анализа, позволяющий предсказывать принадлежность объектов к тому или иному классу в зависимости от соответствующих значений признаков, характеризующих объекты. Признаки называются независимыми переменными, а переменная, указывающая на принадлежность объектов к классам, называется зависимой.</w:t>
      </w:r>
    </w:p>
    <w:p w14:paraId="0000017D" w14:textId="77777777" w:rsidR="00DC0EE8" w:rsidRDefault="00DC0EE8" w:rsidP="14EE7DEF"/>
    <w:p w14:paraId="0000017E" w14:textId="77777777" w:rsidR="00DC0EE8" w:rsidRDefault="14EE7DEF" w:rsidP="14EE7DEF">
      <w:r w:rsidRPr="14EE7DEF">
        <w:t>Дерево решений представляет собой иерархическую древовидную структуру, состоящую из правила вида «Если …, то ...». За счет обучающего множества правила генерируются автоматически в процессе обучения.</w:t>
      </w:r>
    </w:p>
    <w:p w14:paraId="0000017F" w14:textId="77777777" w:rsidR="00DC0EE8" w:rsidRDefault="00DC0EE8" w:rsidP="14EE7DEF"/>
    <w:p w14:paraId="00000180" w14:textId="77777777" w:rsidR="00DC0EE8" w:rsidRDefault="14EE7DEF" w:rsidP="14EE7DEF">
      <w:r w:rsidRPr="14EE7DEF">
        <w:t xml:space="preserve">Цель анализа с помощью деревьев классификации состоит в том, чтобы получить максимально точный прогноз. Наиболее точным прогнозом </w:t>
      </w:r>
      <w:r w:rsidRPr="14EE7DEF">
        <w:lastRenderedPageBreak/>
        <w:t xml:space="preserve">считается такой, который связан с наименьшей «ценой». В большинстве методов цена – это доля неправильно классифицированных наблюдений. Поэтому, как правило, самый лучший прогноз – такой, который дает наименьший процент неправильных классификаций. </w:t>
      </w:r>
    </w:p>
    <w:p w14:paraId="00000181" w14:textId="77777777" w:rsidR="00DC0EE8" w:rsidRDefault="00DC0EE8" w:rsidP="14EE7DEF"/>
    <w:p w14:paraId="00000182" w14:textId="77777777" w:rsidR="00DC0EE8" w:rsidRDefault="14EE7DEF">
      <w:r w:rsidRPr="14EE7DEF">
        <w:t>Критический уровень достоверности нулевой статистической гипотезы принимали равным 0,05.</w:t>
      </w:r>
    </w:p>
    <w:p w14:paraId="00000183" w14:textId="77777777" w:rsidR="00DC0EE8" w:rsidRDefault="00DC0EE8"/>
    <w:p w14:paraId="00000184" w14:textId="77777777" w:rsidR="00DC0EE8" w:rsidRDefault="00DC0EE8">
      <w:pPr>
        <w:pStyle w:val="1"/>
        <w:rPr>
          <w:sz w:val="28"/>
          <w:szCs w:val="28"/>
        </w:rPr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  <w:bookmarkStart w:id="19" w:name="_bs22fqmb3wle" w:colFirst="0" w:colLast="0"/>
      <w:bookmarkEnd w:id="19"/>
    </w:p>
    <w:p w14:paraId="00000185" w14:textId="77777777" w:rsidR="00DC0EE8" w:rsidRDefault="00DF7D84" w:rsidP="14EE7DEF">
      <w:pPr>
        <w:pStyle w:val="1"/>
        <w:rPr>
          <w:bCs/>
        </w:rPr>
      </w:pPr>
      <w:bookmarkStart w:id="20" w:name="_trip0pnypc7y" w:colFirst="0" w:colLast="0"/>
      <w:bookmarkEnd w:id="20"/>
      <w:r>
        <w:lastRenderedPageBreak/>
        <w:t>Г</w:t>
      </w:r>
      <w:r w:rsidRPr="14EE7DEF">
        <w:t>лава 3. Результаты исследования</w:t>
      </w:r>
    </w:p>
    <w:p w14:paraId="00000186" w14:textId="77777777" w:rsidR="00DC0EE8" w:rsidRDefault="14EE7DEF" w:rsidP="14EE7DEF">
      <w:r w:rsidRPr="14EE7DEF">
        <w:t xml:space="preserve">Для построения дерева классификации в качестве входных признаков использовалось 16 параметров пациентов. При этом 5 параметров представлены в бинарном виде, где 0 – отсутствие признака, 1 – наличие признака: </w:t>
      </w:r>
    </w:p>
    <w:p w14:paraId="00000187" w14:textId="77777777" w:rsidR="00DC0EE8" w:rsidRDefault="14EE7DEF" w:rsidP="14EE7DEF">
      <w:pPr>
        <w:numPr>
          <w:ilvl w:val="0"/>
          <w:numId w:val="4"/>
        </w:numPr>
      </w:pPr>
      <w:r w:rsidRPr="14EE7DEF">
        <w:t>Пол,</w:t>
      </w:r>
    </w:p>
    <w:p w14:paraId="00000188" w14:textId="77777777" w:rsidR="00DC0EE8" w:rsidRDefault="14EE7DEF" w:rsidP="14EE7DEF">
      <w:pPr>
        <w:numPr>
          <w:ilvl w:val="0"/>
          <w:numId w:val="4"/>
        </w:numPr>
      </w:pPr>
      <w:r w:rsidRPr="14EE7DEF">
        <w:t>Препарат (монотерапия или комбинация),</w:t>
      </w:r>
    </w:p>
    <w:p w14:paraId="00000189" w14:textId="77777777" w:rsidR="00DC0EE8" w:rsidRDefault="14EE7DEF" w:rsidP="14EE7DEF">
      <w:pPr>
        <w:numPr>
          <w:ilvl w:val="0"/>
          <w:numId w:val="4"/>
        </w:numPr>
      </w:pPr>
      <w:r w:rsidRPr="14EE7DEF">
        <w:t>Низкий EGOG (0-1),</w:t>
      </w:r>
    </w:p>
    <w:p w14:paraId="0000018A" w14:textId="77777777" w:rsidR="00DC0EE8" w:rsidRDefault="14EE7DEF" w:rsidP="14EE7DEF">
      <w:pPr>
        <w:numPr>
          <w:ilvl w:val="0"/>
          <w:numId w:val="4"/>
        </w:numPr>
      </w:pPr>
      <w:r w:rsidRPr="14EE7DEF">
        <w:t>Высокий ECOG (2-3),</w:t>
      </w:r>
    </w:p>
    <w:p w14:paraId="0000018B" w14:textId="77777777" w:rsidR="00DC0EE8" w:rsidRDefault="14EE7DEF" w:rsidP="14EE7DEF">
      <w:pPr>
        <w:numPr>
          <w:ilvl w:val="0"/>
          <w:numId w:val="4"/>
        </w:numPr>
      </w:pPr>
      <w:r w:rsidRPr="14EE7DEF">
        <w:t>Сопутствующая сердечно-сосудистая патология.</w:t>
      </w:r>
    </w:p>
    <w:p w14:paraId="0000018C" w14:textId="77777777" w:rsidR="00DC0EE8" w:rsidRDefault="00DC0EE8" w:rsidP="14EE7DEF">
      <w:pPr>
        <w:ind w:left="720"/>
      </w:pPr>
    </w:p>
    <w:p w14:paraId="0000018D" w14:textId="77777777" w:rsidR="00DC0EE8" w:rsidRDefault="14EE7DEF" w:rsidP="14EE7DEF">
      <w:r w:rsidRPr="14EE7DEF">
        <w:t>Остальные 11 параметров представлены в количественном виде:</w:t>
      </w:r>
    </w:p>
    <w:p w14:paraId="0000018E" w14:textId="77777777" w:rsidR="00DC0EE8" w:rsidRDefault="14EE7DEF" w:rsidP="14EE7DEF">
      <w:pPr>
        <w:numPr>
          <w:ilvl w:val="0"/>
          <w:numId w:val="10"/>
        </w:numPr>
      </w:pPr>
      <w:r w:rsidRPr="14EE7DEF">
        <w:t>Возраст,</w:t>
      </w:r>
    </w:p>
    <w:p w14:paraId="0000018F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ИМТ, </w:t>
      </w:r>
    </w:p>
    <w:p w14:paraId="00000190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CPS, </w:t>
      </w:r>
    </w:p>
    <w:p w14:paraId="00000191" w14:textId="77777777" w:rsidR="00DC0EE8" w:rsidRDefault="14EE7DEF" w:rsidP="14EE7DEF">
      <w:pPr>
        <w:numPr>
          <w:ilvl w:val="0"/>
          <w:numId w:val="10"/>
        </w:numPr>
      </w:pPr>
      <w:r w:rsidRPr="14EE7DEF">
        <w:t>PD-L (на иммунных клетках),</w:t>
      </w:r>
    </w:p>
    <w:p w14:paraId="00000192" w14:textId="77777777" w:rsidR="00DC0EE8" w:rsidRDefault="14EE7DEF" w:rsidP="14EE7DEF">
      <w:pPr>
        <w:numPr>
          <w:ilvl w:val="0"/>
          <w:numId w:val="10"/>
        </w:numPr>
      </w:pPr>
      <w:r w:rsidRPr="14EE7DEF">
        <w:t>PD-L (на опухолевых клетках),</w:t>
      </w:r>
    </w:p>
    <w:p w14:paraId="00000193" w14:textId="77777777" w:rsidR="00DC0EE8" w:rsidRDefault="14EE7DEF" w:rsidP="14EE7DEF">
      <w:pPr>
        <w:numPr>
          <w:ilvl w:val="0"/>
          <w:numId w:val="10"/>
        </w:numPr>
      </w:pPr>
      <w:r w:rsidRPr="14EE7DEF">
        <w:t>Линию терапии,</w:t>
      </w:r>
    </w:p>
    <w:p w14:paraId="00000194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Количество лейкоцитов (тыс/мкл), </w:t>
      </w:r>
    </w:p>
    <w:p w14:paraId="00000195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Количество нейтрофилов (тыс/мкл), </w:t>
      </w:r>
    </w:p>
    <w:p w14:paraId="00000196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Количество лимфоцитов (тыс/мкл), </w:t>
      </w:r>
    </w:p>
    <w:p w14:paraId="00000197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Соотношение нейтрофилов к лимфоцитам, </w:t>
      </w:r>
    </w:p>
    <w:p w14:paraId="00000198" w14:textId="77777777" w:rsidR="00DC0EE8" w:rsidRDefault="14EE7DEF" w:rsidP="14EE7DEF">
      <w:pPr>
        <w:numPr>
          <w:ilvl w:val="0"/>
          <w:numId w:val="10"/>
        </w:numPr>
      </w:pPr>
      <w:r w:rsidRPr="14EE7DEF">
        <w:t xml:space="preserve">Количество пораженных опухолью и/или метастазами органов. </w:t>
      </w:r>
    </w:p>
    <w:p w14:paraId="00000199" w14:textId="77777777" w:rsidR="00DC0EE8" w:rsidRDefault="00DC0EE8" w:rsidP="14EE7DEF"/>
    <w:p w14:paraId="440989B0" w14:textId="77777777" w:rsidR="00DC0EE8" w:rsidRDefault="00DF7D84" w:rsidP="14EE7DEF">
      <w:r w:rsidRPr="14EE7DEF">
        <w:t xml:space="preserve">По параметрам пол, возраст, ECOG, ИМТ, препарат, сопутствующая сердечно-сосудистая патология, количество пораженных опухолью и/или метастазами органов, линия терапия пропущенных значений (потери данных) не было. Однако по параметрам CPS (28 заполненных ячеек из 60), PD-L1 (на иммунных и опухолевых клетках; 28 заполненных ячеек из 60), количество </w:t>
      </w:r>
      <w:r w:rsidRPr="14EE7DEF">
        <w:lastRenderedPageBreak/>
        <w:t xml:space="preserve">лейкоцитов (59 заполненных ячеек из 60), нейтрофилов (59 заполненных ячеек из 60) и лимфоцитов (36 заполненных ячеек из 60), а также соотношение нейтрофилов к лимфоцитам (36 заполненных ячеек из 60) у части пациентов были пропущены значения, поскольку не всем пациентам определялся уровень экспрессии PD-L1 (не является стандартным исследованием в лечении меланомы) и количество лимфоцитов, а также не для всех пациентов сохранились данные анализов крови непосредственно перед началом терапии. Наиболее вероятно, это снижает прогностическую </w:t>
      </w:r>
      <w:proofErr w:type="gramStart"/>
      <w:r w:rsidRPr="14EE7DEF">
        <w:t>точность  модели</w:t>
      </w:r>
      <w:proofErr w:type="gramEnd"/>
      <w:r w:rsidRPr="14EE7DEF">
        <w:t>, при возможности собрать более полную базу данных чувствительность можно увеличить.</w:t>
      </w:r>
    </w:p>
    <w:p w14:paraId="69018C02" w14:textId="69E20B34" w:rsidR="14EE7DEF" w:rsidRDefault="14EE7DEF" w:rsidP="14EE7DEF"/>
    <w:p w14:paraId="0000019B" w14:textId="77777777" w:rsidR="00DC0EE8" w:rsidRDefault="14EE7DEF" w:rsidP="14EE7DEF">
      <w:r w:rsidRPr="14EE7DEF">
        <w:t>Классификация осуществлялась на два класса: 0 – отсутствие аутоиммунных осложнений, 1 – наличие аутоиммунных осложнений.</w:t>
      </w:r>
    </w:p>
    <w:p w14:paraId="0000019C" w14:textId="77777777" w:rsidR="00DC0EE8" w:rsidRDefault="14EE7DEF" w:rsidP="14EE7DEF">
      <w:r w:rsidRPr="14EE7DEF">
        <w:t>Построение дерева классификации осуществлялось методом CRT (Classification and Regression Trees, деревья классификации и регрессии). Для оценки качества классификации использовались показатели точности, чувствительности и специфичности с 95 % доверительными интервалами.</w:t>
      </w:r>
    </w:p>
    <w:p w14:paraId="0000019D" w14:textId="77777777" w:rsidR="00DC0EE8" w:rsidRDefault="00DC0EE8" w:rsidP="14EE7DEF"/>
    <w:p w14:paraId="0000019E" w14:textId="77777777" w:rsidR="00DC0EE8" w:rsidRDefault="14EE7DEF" w:rsidP="14EE7DEF">
      <w:r w:rsidRPr="14EE7DEF">
        <w:t xml:space="preserve">«Наилучшее» дерево удалось построить при следующих установках: метод ветвления – полный перебор вариантов для одномерных ветвлений по методу CRT, критерий согласия – мера Джини; априорные вероятности – оцениваемые; цены </w:t>
      </w:r>
      <w:proofErr w:type="gramStart"/>
      <w:r w:rsidRPr="14EE7DEF">
        <w:t>ошибок  классификации</w:t>
      </w:r>
      <w:proofErr w:type="gramEnd"/>
      <w:r w:rsidRPr="14EE7DEF">
        <w:t xml:space="preserve"> – равные; правило остановки – прямая остановка; условия остановки – доля неклассифицированных 0,05. </w:t>
      </w:r>
    </w:p>
    <w:p w14:paraId="0000019F" w14:textId="77777777" w:rsidR="00DC0EE8" w:rsidRDefault="00DC0EE8" w:rsidP="14EE7DEF"/>
    <w:p w14:paraId="000001A0" w14:textId="77777777" w:rsidR="00DC0EE8" w:rsidRDefault="14EE7DEF" w:rsidP="14EE7DEF">
      <w:r w:rsidRPr="14EE7DEF">
        <w:t xml:space="preserve">Модель дает ответ на вопрос, каким будет прогнозируемое значение переменной «иммуноопосредованные осложнения» при известных значениях предикторов. Реализация этой задачи заключается в поиске именно таких предикторов, которые являются наиболее информативными по отношению к целевой переменной. Такими наиболее значимыми параметрами (из изучаемых 15 показателей) алгоритмом были отобраны следующие атрибуты: </w:t>
      </w:r>
    </w:p>
    <w:p w14:paraId="000001A1" w14:textId="77777777" w:rsidR="00DC0EE8" w:rsidRDefault="14EE7DEF" w:rsidP="14EE7DEF">
      <w:pPr>
        <w:numPr>
          <w:ilvl w:val="0"/>
          <w:numId w:val="9"/>
        </w:numPr>
      </w:pPr>
      <w:r w:rsidRPr="14EE7DEF">
        <w:lastRenderedPageBreak/>
        <w:t>PD-L1 (на иммунных клетках),</w:t>
      </w:r>
    </w:p>
    <w:p w14:paraId="000001A2" w14:textId="77777777" w:rsidR="00DC0EE8" w:rsidRDefault="14EE7DEF" w:rsidP="14EE7DEF">
      <w:pPr>
        <w:numPr>
          <w:ilvl w:val="0"/>
          <w:numId w:val="9"/>
        </w:numPr>
      </w:pPr>
      <w:r w:rsidRPr="14EE7DEF">
        <w:t>CPS,</w:t>
      </w:r>
    </w:p>
    <w:p w14:paraId="000001A3" w14:textId="77777777" w:rsidR="00DC0EE8" w:rsidRDefault="14EE7DEF" w:rsidP="14EE7DEF">
      <w:pPr>
        <w:numPr>
          <w:ilvl w:val="0"/>
          <w:numId w:val="9"/>
        </w:numPr>
      </w:pPr>
      <w:r w:rsidRPr="14EE7DEF">
        <w:t>PD-L1 (на опухолевых клетках),</w:t>
      </w:r>
    </w:p>
    <w:p w14:paraId="000001A4" w14:textId="77777777" w:rsidR="00DC0EE8" w:rsidRDefault="14EE7DEF" w:rsidP="14EE7DEF">
      <w:pPr>
        <w:numPr>
          <w:ilvl w:val="0"/>
          <w:numId w:val="9"/>
        </w:numPr>
      </w:pPr>
      <w:r w:rsidRPr="14EE7DEF">
        <w:t>Возраст.</w:t>
      </w:r>
    </w:p>
    <w:p w14:paraId="000001A5" w14:textId="77777777" w:rsidR="00DC0EE8" w:rsidRDefault="00DC0EE8"/>
    <w:p w14:paraId="000001A6" w14:textId="77777777" w:rsidR="00DC0EE8" w:rsidRDefault="00DF7D84">
      <w:r>
        <w:rPr>
          <w:noProof/>
          <w:lang w:val="ru-RU"/>
        </w:rPr>
        <w:drawing>
          <wp:inline distT="114300" distB="114300" distL="114300" distR="114300" wp14:anchorId="1F8D401C" wp14:editId="07777777">
            <wp:extent cx="5731200" cy="302260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7" w14:textId="77777777" w:rsidR="00DC0EE8" w:rsidRDefault="14EE7DEF" w:rsidP="14EE7DEF">
      <w:r w:rsidRPr="14EE7DEF">
        <w:t>Рисунок 6. Нормализованная важность предикторов токсичности.</w:t>
      </w:r>
    </w:p>
    <w:p w14:paraId="000001A8" w14:textId="77777777" w:rsidR="00DC0EE8" w:rsidRDefault="00DC0EE8" w:rsidP="14EE7DEF"/>
    <w:p w14:paraId="000001A9" w14:textId="77777777" w:rsidR="00DC0EE8" w:rsidRDefault="14EE7DEF">
      <w:r w:rsidRPr="14EE7DEF">
        <w:t>Упрощенная схема построенного дерева решений представлена на рис. 7.</w:t>
      </w:r>
    </w:p>
    <w:p w14:paraId="000001AA" w14:textId="77777777" w:rsidR="00DC0EE8" w:rsidRDefault="00DF7D84">
      <w:r>
        <w:rPr>
          <w:noProof/>
          <w:lang w:val="ru-RU"/>
        </w:rPr>
        <w:lastRenderedPageBreak/>
        <w:drawing>
          <wp:inline distT="114300" distB="114300" distL="114300" distR="114300" wp14:anchorId="1CCBFEAD" wp14:editId="07777777">
            <wp:extent cx="5731200" cy="74803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8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AB" w14:textId="77777777" w:rsidR="00DC0EE8" w:rsidRDefault="14EE7DEF" w:rsidP="14EE7DEF">
      <w:r w:rsidRPr="14EE7DEF">
        <w:t>Рисунок 7. Схематическое изображение дерева классификации. Корневые и внутренние узлы дерева обозначены прямоугольниками, конечные — кругами. Сплошной стрелкой обозначен утвердительный ответ на вопрос, пунктирной — отрицательный.</w:t>
      </w:r>
    </w:p>
    <w:p w14:paraId="000001AC" w14:textId="77777777" w:rsidR="00DC0EE8" w:rsidRDefault="00DC0EE8"/>
    <w:p w14:paraId="000001AD" w14:textId="77777777" w:rsidR="00DC0EE8" w:rsidRDefault="14EE7DEF">
      <w:r w:rsidRPr="14EE7DEF">
        <w:lastRenderedPageBreak/>
        <w:t>В таблице «Классификация» (табл. 4) в столбце «процент правильных» приведена доля неверно классифицированных программой наблюдений, что позволяет оценить точность предсказания. Согласно данным таблицы, модель верно классифицирует 80% наблюдений.</w:t>
      </w:r>
    </w:p>
    <w:p w14:paraId="000001AE" w14:textId="77777777" w:rsidR="00DC0EE8" w:rsidRDefault="00DC0EE8"/>
    <w:tbl>
      <w:tblPr>
        <w:tblStyle w:val="a8"/>
        <w:tblW w:w="8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1830"/>
        <w:gridCol w:w="1650"/>
        <w:gridCol w:w="2310"/>
      </w:tblGrid>
      <w:tr w:rsidR="00DC0EE8" w14:paraId="672A6659" w14:textId="77777777">
        <w:trPr>
          <w:trHeight w:val="315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AF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0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1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2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C0EE8" w14:paraId="2372D239" w14:textId="77777777">
        <w:trPr>
          <w:trHeight w:val="315"/>
        </w:trPr>
        <w:tc>
          <w:tcPr>
            <w:tcW w:w="822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3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Классификация</w:t>
            </w:r>
          </w:p>
        </w:tc>
      </w:tr>
      <w:tr w:rsidR="00DC0EE8" w14:paraId="37FD8615" w14:textId="77777777">
        <w:trPr>
          <w:trHeight w:val="315"/>
        </w:trPr>
        <w:tc>
          <w:tcPr>
            <w:tcW w:w="24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7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Выявленные</w:t>
            </w:r>
          </w:p>
        </w:tc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8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Предсказанные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9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A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C0EE8" w14:paraId="7AA77373" w14:textId="77777777">
        <w:trPr>
          <w:trHeight w:val="315"/>
        </w:trPr>
        <w:tc>
          <w:tcPr>
            <w:tcW w:w="24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B" w14:textId="77777777" w:rsidR="00DC0EE8" w:rsidRDefault="00DC0EE8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C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ИОНЯ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D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Наличие ИОНЯ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E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Процент правильных</w:t>
            </w:r>
          </w:p>
        </w:tc>
      </w:tr>
      <w:tr w:rsidR="00DC0EE8" w14:paraId="106F165E" w14:textId="77777777">
        <w:trPr>
          <w:trHeight w:val="315"/>
        </w:trPr>
        <w:tc>
          <w:tcPr>
            <w:tcW w:w="24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BF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Отсутствие ИОНЯ</w:t>
            </w:r>
          </w:p>
        </w:tc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0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1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2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66,70%</w:t>
            </w:r>
          </w:p>
        </w:tc>
      </w:tr>
      <w:tr w:rsidR="00DC0EE8" w14:paraId="1E17DCF0" w14:textId="77777777">
        <w:trPr>
          <w:trHeight w:val="315"/>
        </w:trPr>
        <w:tc>
          <w:tcPr>
            <w:tcW w:w="24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3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Наличие ИОНЯ</w:t>
            </w:r>
          </w:p>
        </w:tc>
        <w:tc>
          <w:tcPr>
            <w:tcW w:w="183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4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5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</w:p>
        </w:tc>
        <w:tc>
          <w:tcPr>
            <w:tcW w:w="23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6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93,30%</w:t>
            </w:r>
          </w:p>
        </w:tc>
      </w:tr>
      <w:tr w:rsidR="00DC0EE8" w14:paraId="78E2603E" w14:textId="77777777">
        <w:trPr>
          <w:trHeight w:val="315"/>
        </w:trPr>
        <w:tc>
          <w:tcPr>
            <w:tcW w:w="243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7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Общая процентная доля</w:t>
            </w:r>
          </w:p>
        </w:tc>
        <w:tc>
          <w:tcPr>
            <w:tcW w:w="183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8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36,70%</w:t>
            </w:r>
          </w:p>
        </w:tc>
        <w:tc>
          <w:tcPr>
            <w:tcW w:w="1650" w:type="dxa"/>
            <w:tcBorders>
              <w:bottom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9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63,30%</w:t>
            </w:r>
          </w:p>
        </w:tc>
        <w:tc>
          <w:tcPr>
            <w:tcW w:w="231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A" w14:textId="77777777" w:rsidR="00DC0EE8" w:rsidRDefault="00DF7D84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80,00%</w:t>
            </w:r>
          </w:p>
        </w:tc>
      </w:tr>
      <w:tr w:rsidR="00DC0EE8" w14:paraId="1364BDD6" w14:textId="77777777">
        <w:trPr>
          <w:trHeight w:val="315"/>
        </w:trPr>
        <w:tc>
          <w:tcPr>
            <w:tcW w:w="8220" w:type="dxa"/>
            <w:gridSpan w:val="4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001CB" w14:textId="77777777" w:rsidR="00DC0EE8" w:rsidRDefault="00DF7D84">
            <w:pPr>
              <w:widowControl w:val="0"/>
              <w:spacing w:line="276" w:lineRule="auto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Метод построения: CRT</w:t>
            </w:r>
          </w:p>
        </w:tc>
      </w:tr>
    </w:tbl>
    <w:p w14:paraId="000001CF" w14:textId="77777777" w:rsidR="00DC0EE8" w:rsidRDefault="14EE7DEF" w:rsidP="14EE7DEF">
      <w:r w:rsidRPr="14EE7DEF">
        <w:t xml:space="preserve">Таблица 4. Процент правильно классифицированных программой наблюдений. </w:t>
      </w:r>
    </w:p>
    <w:p w14:paraId="000001D0" w14:textId="77777777" w:rsidR="00DC0EE8" w:rsidRDefault="00DC0EE8" w:rsidP="14EE7DEF"/>
    <w:p w14:paraId="000001D1" w14:textId="77777777" w:rsidR="00DC0EE8" w:rsidRDefault="14EE7DEF" w:rsidP="14EE7DEF">
      <w:r w:rsidRPr="14EE7DEF">
        <w:t>Качество прогнозирования помогают оценить дополнительные параметры, такие, как чувствительность и специфичность модели, а также положительная и отрицательная прогностическая ценность.</w:t>
      </w:r>
    </w:p>
    <w:p w14:paraId="000001D2" w14:textId="77777777" w:rsidR="00DC0EE8" w:rsidRDefault="00DC0EE8" w:rsidP="14EE7DEF"/>
    <w:p w14:paraId="000001D3" w14:textId="77777777" w:rsidR="00DC0EE8" w:rsidRDefault="14EE7DEF" w:rsidP="14EE7DEF">
      <w:r w:rsidRPr="14EE7DEF">
        <w:t xml:space="preserve">Чувствительность (истинно положительная пропорция) отражает долю положительных результатов, которые правильно идентифицированы как таковые и высчитывается как отношение числа больных с аутоиммунными осложнениями, выявленное моделью, к истинному числу больных с аутоиммунными осложнениями. Таким образом, чувствительность модели для выявления пациентов с развившимися ИОНЯ составляет 93%. </w:t>
      </w:r>
    </w:p>
    <w:p w14:paraId="000001D4" w14:textId="77777777" w:rsidR="00DC0EE8" w:rsidRDefault="00DC0EE8" w:rsidP="14EE7DEF"/>
    <w:p w14:paraId="000001D5" w14:textId="77777777" w:rsidR="00DC0EE8" w:rsidRDefault="14EE7DEF" w:rsidP="14EE7DEF">
      <w:r w:rsidRPr="14EE7DEF">
        <w:t xml:space="preserve">Специфичность (истинно отрицательная пропорция) отражает долю отрицательных результатов, которые правильно идентифицированы как таковые, то есть вероятность того, что не больные субъекты будут классифицированы именно как не больные. Рассчитывается как отношения </w:t>
      </w:r>
      <w:r w:rsidRPr="14EE7DEF">
        <w:lastRenderedPageBreak/>
        <w:t>числа пациентов без ИОНЯ, выявленных моделью, к истинному числу пациентов без ИОНЯ. Специфичность модели составляет 66%.</w:t>
      </w:r>
    </w:p>
    <w:p w14:paraId="000001D6" w14:textId="77777777" w:rsidR="00DC0EE8" w:rsidRDefault="00DC0EE8" w:rsidP="14EE7DEF"/>
    <w:p w14:paraId="000001D7" w14:textId="77777777" w:rsidR="00DC0EE8" w:rsidRDefault="14EE7DEF" w:rsidP="14EE7DEF">
      <w:r w:rsidRPr="14EE7DEF">
        <w:t>Положительная прогностическая ценность — это характеристика эффективности теста, определяемая как отношение числа позитивных тестов к общему числу пациентов с данным диагнозом. ППЦ рассчитывается следующим образом: истинно-положительные результаты ÷ (истинно-положительные результаты + ложноположительные результаты). ППЦ для данной модели составляет 78,9%</w:t>
      </w:r>
    </w:p>
    <w:p w14:paraId="652ED329" w14:textId="7F429956" w:rsidR="14EE7DEF" w:rsidRDefault="14EE7DEF" w:rsidP="14EE7DEF"/>
    <w:p w14:paraId="000001D8" w14:textId="77777777" w:rsidR="00DC0EE8" w:rsidRDefault="00DF7D84" w:rsidP="14EE7DEF">
      <w:r w:rsidRPr="14EE7DEF">
        <w:t>Отрицательная прогностическая ценность — это характеристика точности теста, определяемая как доля лиц без заболевания из общего числа отрицательных результатов диагностического теста. ОПЦ рассчитывается следующим образом: истинно-отрицательное значение ÷ (истинно-отрицательное значение + ложноотрицательное значение). ОПЦ для модели составляет 73,3%)</w:t>
      </w:r>
    </w:p>
    <w:p w14:paraId="000001D9" w14:textId="77777777" w:rsidR="00DC0EE8" w:rsidRDefault="00DC0EE8" w:rsidP="14EE7DEF"/>
    <w:p w14:paraId="000001DA" w14:textId="77777777" w:rsidR="00DC0EE8" w:rsidRDefault="14EE7DEF" w:rsidP="14EE7DEF">
      <w:r w:rsidRPr="14EE7DEF">
        <w:t>В построенном дереве решений различают следующие основные элементы:</w:t>
      </w:r>
    </w:p>
    <w:p w14:paraId="000001DB" w14:textId="77777777" w:rsidR="00DC0EE8" w:rsidRDefault="14EE7DEF" w:rsidP="14EE7DEF">
      <w:pPr>
        <w:numPr>
          <w:ilvl w:val="0"/>
          <w:numId w:val="6"/>
        </w:numPr>
      </w:pPr>
      <w:r w:rsidRPr="14EE7DEF">
        <w:t>Корень дерева — это определенный алгоритмом атрибут, который имеет наиболее сильную информативную связь с исследуемой целевой переменной.</w:t>
      </w:r>
    </w:p>
    <w:p w14:paraId="000001DC" w14:textId="77777777" w:rsidR="00DC0EE8" w:rsidRDefault="14EE7DEF" w:rsidP="14EE7DEF">
      <w:r w:rsidRPr="14EE7DEF">
        <w:t>В случае построенной модели это переменная «PD-L1 на иммунных клетках» (рис. 8).</w:t>
      </w:r>
    </w:p>
    <w:p w14:paraId="000001DD" w14:textId="77777777" w:rsidR="00DC0EE8" w:rsidRDefault="00DF7D84">
      <w:r>
        <w:rPr>
          <w:noProof/>
          <w:lang w:val="ru-RU"/>
        </w:rPr>
        <w:lastRenderedPageBreak/>
        <w:drawing>
          <wp:inline distT="114300" distB="114300" distL="114300" distR="114300" wp14:anchorId="3B7C85BF" wp14:editId="07777777">
            <wp:extent cx="5731200" cy="46863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1CBB4F" w14:textId="77777777" w:rsidR="00DC0EE8" w:rsidRDefault="00DF7D84" w:rsidP="14EE7DEF">
      <w:r w:rsidRPr="14EE7DEF">
        <w:t xml:space="preserve">Рисунок 8. «Корень» дерева решений. </w:t>
      </w:r>
    </w:p>
    <w:p w14:paraId="674C747E" w14:textId="469EE33F" w:rsidR="14EE7DEF" w:rsidRDefault="14EE7DEF" w:rsidP="14EE7DEF"/>
    <w:p w14:paraId="000001DF" w14:textId="3A3F7307" w:rsidR="00DC0EE8" w:rsidRDefault="00DF7D84" w:rsidP="14EE7DEF">
      <w:r w:rsidRPr="14EE7DEF">
        <w:t>По данным рис. 8 можно заметить, что переменная «PD-L1 (на имунных клетках)» делит совокупность на две группы: при определенном значении PD-L1 (на иммунных клетках) меняется соотношение пациентов. Среди пациентов со значением PD-L1 (на иммунных клетках</w:t>
      </w:r>
      <w:proofErr w:type="gramStart"/>
      <w:r w:rsidRPr="14EE7DEF">
        <w:t>) &gt;</w:t>
      </w:r>
      <w:proofErr w:type="gramEnd"/>
      <w:r w:rsidRPr="14EE7DEF">
        <w:t xml:space="preserve"> 11 чаще возникают аутоиммунные осложнения (53,8%), тогда как отсутствуют осложнения у 46,2% пациентов. Количество PD-L1 на иммунных клетках является предиктором первого уровня. Вследствие взаимодействия рецептора PD-1 с молекулой лекарственного препарата развивается иммунный ответ, выраженность которого прямо пропорциональна не только эффективности иммунотерапии, но и ее токсичности. Это было показано в работе Hussaini et al. </w:t>
      </w:r>
      <w:hyperlink r:id="rId111">
        <w:r w:rsidRPr="14EE7DEF">
          <w:t>[6]</w:t>
        </w:r>
      </w:hyperlink>
      <w:r w:rsidRPr="14EE7DEF">
        <w:t xml:space="preserve">. Соответственно, можно предположить, что чем более активно </w:t>
      </w:r>
      <w:r w:rsidRPr="14EE7DEF">
        <w:lastRenderedPageBreak/>
        <w:t>экспрессируется рецептор PD-1, тем более часто будут развиваться ИОНЯ, но в то же время тем более выраженным будет ответ на терапию ИКТ.</w:t>
      </w:r>
    </w:p>
    <w:p w14:paraId="000001E0" w14:textId="77777777" w:rsidR="00DC0EE8" w:rsidRDefault="00DC0EE8"/>
    <w:p w14:paraId="000001E1" w14:textId="77777777" w:rsidR="00DC0EE8" w:rsidRDefault="14EE7DEF" w:rsidP="14EE7DEF">
      <w:pPr>
        <w:numPr>
          <w:ilvl w:val="0"/>
          <w:numId w:val="6"/>
        </w:numPr>
      </w:pPr>
      <w:r w:rsidRPr="14EE7DEF">
        <w:t xml:space="preserve">Внутренние узлы дерева — это иные отобранные по исследуемой базе данных предикторы в соответствии с их информативностью по отношению к главному фактору (целевая переменная). Эти предикторы называют атрибутами расщепления. Для построенного дерева решений таким атрибутом является возраст, PD-L1 (на иммунных клетках) и CPS. </w:t>
      </w:r>
    </w:p>
    <w:p w14:paraId="000001E2" w14:textId="77777777" w:rsidR="00DC0EE8" w:rsidRDefault="14EE7DEF" w:rsidP="14EE7DEF">
      <w:pPr>
        <w:ind w:left="720"/>
      </w:pPr>
      <w:r w:rsidRPr="14EE7DEF">
        <w:t xml:space="preserve">Среди пациентов со значением PD-L1 (на иммунных клетках) </w:t>
      </w:r>
      <w:r w:rsidRPr="14EE7DEF">
        <w:rPr>
          <w:i/>
          <w:iCs/>
        </w:rPr>
        <w:t>11 и менее</w:t>
      </w:r>
      <w:r w:rsidRPr="14EE7DEF">
        <w:t xml:space="preserve"> большую вероятность (62,2%) получить иммуноопосредованные осложнения терапии имеют больные в возрасте младше 71,5 лет. </w:t>
      </w:r>
    </w:p>
    <w:p w14:paraId="56DF2B73" w14:textId="33A3ADC6" w:rsidR="14EE7DEF" w:rsidRDefault="14EE7DEF" w:rsidP="14EE7DEF">
      <w:pPr>
        <w:ind w:left="720"/>
      </w:pPr>
    </w:p>
    <w:p w14:paraId="000001E3" w14:textId="77777777" w:rsidR="00DC0EE8" w:rsidRDefault="00DF7D84">
      <w:pPr>
        <w:ind w:left="720"/>
      </w:pPr>
      <w:r>
        <w:rPr>
          <w:noProof/>
          <w:lang w:val="ru-RU"/>
        </w:rPr>
        <w:lastRenderedPageBreak/>
        <w:drawing>
          <wp:inline distT="114300" distB="114300" distL="114300" distR="114300" wp14:anchorId="4961EC25" wp14:editId="07777777">
            <wp:extent cx="5731200" cy="70231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02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E4" w14:textId="77777777" w:rsidR="00DC0EE8" w:rsidRDefault="00DC0EE8"/>
    <w:p w14:paraId="000001E5" w14:textId="77777777" w:rsidR="00DC0EE8" w:rsidRDefault="00DC0EE8"/>
    <w:p w14:paraId="000001E6" w14:textId="77777777" w:rsidR="00DC0EE8" w:rsidRDefault="14EE7DEF" w:rsidP="14EE7DEF">
      <w:r w:rsidRPr="14EE7DEF">
        <w:t>Рисунок 9. Внутренний узел дерева решений «возраст».</w:t>
      </w:r>
    </w:p>
    <w:p w14:paraId="73679B20" w14:textId="33A07D11" w:rsidR="14EE7DEF" w:rsidRDefault="14EE7DEF" w:rsidP="14EE7DEF"/>
    <w:p w14:paraId="000001E7" w14:textId="77777777" w:rsidR="00DC0EE8" w:rsidRDefault="14EE7DEF" w:rsidP="14EE7DEF">
      <w:r w:rsidRPr="14EE7DEF">
        <w:t xml:space="preserve">Переменная «возраст» является предиктором второго уровня. Наиболее вероятно, это связано с пониженной реактивностью иммунной системы у </w:t>
      </w:r>
      <w:r w:rsidRPr="14EE7DEF">
        <w:lastRenderedPageBreak/>
        <w:t xml:space="preserve">пожилых пациентов. Сниженная реактивность не позволяет в полной мере реализовать эффекторные функции, что приводит также и к более низкой вероятности развития иммуноопосредованных осложнений. </w:t>
      </w:r>
    </w:p>
    <w:p w14:paraId="000001E8" w14:textId="77777777" w:rsidR="00DC0EE8" w:rsidRDefault="00DC0EE8"/>
    <w:p w14:paraId="000001E9" w14:textId="77777777" w:rsidR="00DC0EE8" w:rsidRDefault="14EE7DEF" w:rsidP="14EE7DEF">
      <w:r w:rsidRPr="14EE7DEF">
        <w:t>Среди пациентов в возрасте 71,5</w:t>
      </w:r>
      <w:r w:rsidRPr="14EE7DEF">
        <w:rPr>
          <w:i/>
          <w:iCs/>
        </w:rPr>
        <w:t xml:space="preserve"> и менее </w:t>
      </w:r>
      <w:r w:rsidRPr="14EE7DEF">
        <w:t>большую вероятность (65,7%) развить иммунноопосредованные осложнения терапии имеют больные со значением PD-L1 (на иммунных клетках) более 1,5.</w:t>
      </w:r>
    </w:p>
    <w:p w14:paraId="000001EA" w14:textId="77777777" w:rsidR="00DC0EE8" w:rsidRDefault="00DF7D84">
      <w:r>
        <w:rPr>
          <w:noProof/>
          <w:lang w:val="ru-RU"/>
        </w:rPr>
        <w:lastRenderedPageBreak/>
        <w:drawing>
          <wp:inline distT="114300" distB="114300" distL="114300" distR="114300" wp14:anchorId="74BBE8CE" wp14:editId="07777777">
            <wp:extent cx="5731200" cy="77089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0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EB" w14:textId="77777777" w:rsidR="00DC0EE8" w:rsidRDefault="14EE7DEF" w:rsidP="14EE7DEF">
      <w:r w:rsidRPr="14EE7DEF">
        <w:t xml:space="preserve">Рисунок 10. Внутренний узел дерева решений «PD-L1 (на иммунных клетках)». </w:t>
      </w:r>
    </w:p>
    <w:p w14:paraId="000001EC" w14:textId="77777777" w:rsidR="00DC0EE8" w:rsidRDefault="00DF7D84">
      <w:r>
        <w:br/>
      </w:r>
    </w:p>
    <w:p w14:paraId="000001ED" w14:textId="77777777" w:rsidR="00DC0EE8" w:rsidRDefault="14EE7DEF" w:rsidP="14EE7DEF">
      <w:pPr>
        <w:numPr>
          <w:ilvl w:val="0"/>
          <w:numId w:val="6"/>
        </w:numPr>
      </w:pPr>
      <w:r w:rsidRPr="14EE7DEF">
        <w:lastRenderedPageBreak/>
        <w:t xml:space="preserve">Лист дерева, или конечный узел дерева, представляет собой значение целевой переменной, которое предполагает только два варианта ответа: «да» или «нет», — так называемая бинарная модель дерева решений (дихотомическая классификация). </w:t>
      </w:r>
    </w:p>
    <w:p w14:paraId="000001EE" w14:textId="77777777" w:rsidR="00DC0EE8" w:rsidRDefault="14EE7DEF" w:rsidP="14EE7DEF">
      <w:r w:rsidRPr="14EE7DEF">
        <w:t>Конечные узлы построенной модели представлены на рис. 11 и 12.</w:t>
      </w:r>
    </w:p>
    <w:p w14:paraId="000001EF" w14:textId="77777777" w:rsidR="00DC0EE8" w:rsidRDefault="00DF7D84">
      <w:r>
        <w:rPr>
          <w:noProof/>
          <w:lang w:val="ru-RU"/>
        </w:rPr>
        <w:lastRenderedPageBreak/>
        <w:drawing>
          <wp:inline distT="114300" distB="114300" distL="114300" distR="114300" wp14:anchorId="57FB72FD" wp14:editId="07777777">
            <wp:extent cx="5610225" cy="7753350"/>
            <wp:effectExtent l="0" t="0" r="0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5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F0" w14:textId="77777777" w:rsidR="00DC0EE8" w:rsidRDefault="14EE7DEF" w:rsidP="14EE7DEF">
      <w:r w:rsidRPr="14EE7DEF">
        <w:t>Рисунок 11. Конечный узел дерева решений. У пациентов со значением PD-L1 (на иммунных клетках) более 11 при значении PD-L1 (на опухолевых клетках) более 75 иммуноопосредованные осложнения будут возникать чаще (71,4%).</w:t>
      </w:r>
    </w:p>
    <w:p w14:paraId="000001F1" w14:textId="77777777" w:rsidR="00DC0EE8" w:rsidRDefault="00DC0EE8"/>
    <w:p w14:paraId="000001F2" w14:textId="42D00B95" w:rsidR="00DC0EE8" w:rsidRDefault="00DF7D84" w:rsidP="14EE7DEF">
      <w:r>
        <w:rPr>
          <w:noProof/>
          <w:lang w:val="ru-RU"/>
        </w:rPr>
        <w:lastRenderedPageBreak/>
        <w:drawing>
          <wp:inline distT="114300" distB="114300" distL="114300" distR="114300" wp14:anchorId="08C645F3" wp14:editId="07777777">
            <wp:extent cx="5731200" cy="68453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4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14EE7DEF">
        <w:t>Рисунок 12. Конечный узел дерева решений. У пациентов со значением PD-L1 (на иммунных клетках) более 1,5 при значении CPS более 14 иммуноопосредованные осложнения будут возникать чаще (77,3%).</w:t>
      </w:r>
    </w:p>
    <w:p w14:paraId="000001F3" w14:textId="77777777" w:rsidR="00DC0EE8" w:rsidRDefault="14EE7DEF" w:rsidP="14EE7DEF">
      <w:r w:rsidRPr="14EE7DEF">
        <w:t xml:space="preserve">Значение CPS выступает предиктором третьего уровня и, вероятнее всего, имеет предиктивную значимость по той же причине, что и переменная PD-L1 (на иммунных клетках), поскольку математически тесно связана с ней (CPS является суммой значений количества PD-L1 на опухолевых и иммунных </w:t>
      </w:r>
      <w:r w:rsidRPr="14EE7DEF">
        <w:lastRenderedPageBreak/>
        <w:t xml:space="preserve">клетках). Таким образом, чем выше значение CPS, тем более высок риск развития иммуноопосредованных нежелательных явлений для пациента, но также, по данным литературы, тем выше вероятность ответа опухоли на терапию. </w:t>
      </w:r>
    </w:p>
    <w:p w14:paraId="000001F4" w14:textId="77777777" w:rsidR="00DC0EE8" w:rsidRDefault="00DC0EE8"/>
    <w:p w14:paraId="000001F5" w14:textId="77777777" w:rsidR="00DC0EE8" w:rsidRDefault="14EE7DEF" w:rsidP="14EE7DEF">
      <w:r w:rsidRPr="14EE7DEF">
        <w:t>В результате построения дерева классификации для определения наличия или отсутствия у пациентов ИОНЯ в качестве входных признаков</w:t>
      </w:r>
    </w:p>
    <w:p w14:paraId="000001F6" w14:textId="77777777" w:rsidR="00DC0EE8" w:rsidRDefault="14EE7DEF" w:rsidP="14EE7DEF">
      <w:r w:rsidRPr="14EE7DEF">
        <w:t>в математическую модель включено 4 признака:</w:t>
      </w:r>
    </w:p>
    <w:p w14:paraId="000001F7" w14:textId="77777777" w:rsidR="00DC0EE8" w:rsidRDefault="14EE7DEF" w:rsidP="14EE7DEF">
      <w:pPr>
        <w:numPr>
          <w:ilvl w:val="0"/>
          <w:numId w:val="5"/>
        </w:numPr>
      </w:pPr>
      <w:r w:rsidRPr="14EE7DEF">
        <w:t>PD-L1 (на иммунных клетках),</w:t>
      </w:r>
    </w:p>
    <w:p w14:paraId="000001F8" w14:textId="77777777" w:rsidR="00DC0EE8" w:rsidRDefault="14EE7DEF" w:rsidP="14EE7DEF">
      <w:pPr>
        <w:numPr>
          <w:ilvl w:val="0"/>
          <w:numId w:val="5"/>
        </w:numPr>
      </w:pPr>
      <w:r w:rsidRPr="14EE7DEF">
        <w:t>Возраст,</w:t>
      </w:r>
    </w:p>
    <w:p w14:paraId="000001F9" w14:textId="77777777" w:rsidR="00DC0EE8" w:rsidRDefault="14EE7DEF" w:rsidP="14EE7DEF">
      <w:pPr>
        <w:numPr>
          <w:ilvl w:val="0"/>
          <w:numId w:val="5"/>
        </w:numPr>
      </w:pPr>
      <w:r w:rsidRPr="14EE7DEF">
        <w:t>PD-L1 (на опухолевых клетках),</w:t>
      </w:r>
    </w:p>
    <w:p w14:paraId="000001FA" w14:textId="77777777" w:rsidR="00DC0EE8" w:rsidRDefault="14EE7DEF" w:rsidP="14EE7DEF">
      <w:pPr>
        <w:numPr>
          <w:ilvl w:val="0"/>
          <w:numId w:val="5"/>
        </w:numPr>
      </w:pPr>
      <w:r w:rsidRPr="14EE7DEF">
        <w:t>CPS.</w:t>
      </w:r>
    </w:p>
    <w:p w14:paraId="000001FB" w14:textId="77777777" w:rsidR="00DC0EE8" w:rsidRDefault="14EE7DEF" w:rsidP="14EE7DEF">
      <w:r w:rsidRPr="14EE7DEF">
        <w:t>Данное дерево классификации состоит из 4 уровней и содержит 10 узлов. Точность классификации пациентов с применением данного дерева классификации составила 80 %.</w:t>
      </w:r>
    </w:p>
    <w:p w14:paraId="000001FC" w14:textId="77777777" w:rsidR="00DC0EE8" w:rsidRDefault="00DC0EE8" w:rsidP="14EE7DEF"/>
    <w:p w14:paraId="000001FD" w14:textId="77777777" w:rsidR="00DC0EE8" w:rsidRDefault="14EE7DEF" w:rsidP="14EE7DEF">
      <w:r w:rsidRPr="14EE7DEF">
        <w:t>Приведенные результаты говорят о том, что в работе удалось успешно осуществить классификационный анализ и построить вполне приемлемое для классификации аутоиммунных осложнений дерево. На основе построенного дерева классификации возможно создание программы, позволяющей проводить классификацию по вероятности иммуноопосредованных осложнений у конкретного пациента, согласно его клиническим и лабораторным данным. Такая программа может использоваться в повседневной практике врача-онколога.</w:t>
      </w:r>
    </w:p>
    <w:p w14:paraId="29A0B099" w14:textId="2BF14476" w:rsidR="00B22CE4" w:rsidRDefault="00B22CE4" w:rsidP="2D7A03AF">
      <w:pPr>
        <w:pStyle w:val="1"/>
        <w:rPr>
          <w:b w:val="0"/>
          <w:sz w:val="28"/>
          <w:szCs w:val="28"/>
        </w:rPr>
      </w:pPr>
      <w:bookmarkStart w:id="21" w:name="_tuiclmbv8nkn"/>
      <w:bookmarkEnd w:id="21"/>
    </w:p>
    <w:p w14:paraId="61DC2E9E" w14:textId="77777777" w:rsidR="00B22CE4" w:rsidRPr="00B22CE4" w:rsidRDefault="00B22CE4" w:rsidP="00B22CE4"/>
    <w:p w14:paraId="000001FF" w14:textId="76C61F03" w:rsidR="00DC0EE8" w:rsidRDefault="2D7A03AF" w:rsidP="2D7A03AF">
      <w:pPr>
        <w:pStyle w:val="1"/>
      </w:pPr>
      <w:r w:rsidRPr="2D7A03AF">
        <w:lastRenderedPageBreak/>
        <w:t>Глава 4. Обсуждение</w:t>
      </w:r>
    </w:p>
    <w:p w14:paraId="00000200" w14:textId="77777777" w:rsidR="00DC0EE8" w:rsidRDefault="2D7A03AF" w:rsidP="14EE7DEF">
      <w:r w:rsidRPr="2D7A03AF">
        <w:t xml:space="preserve">Опубликованные на сегодняшний день исследования иммунотерапии в основном касаются показателей, позволяющих предсказывать ее эффективность. Например, предикторами эффективности, согласно литературным данным, являются уровень экспрессии PD-L1 на иммунных и опухолевых клетках и значение CPS. В то же время на данный момент существует ограниченное число работ, посвященных предикторам токсичности терапии ИКТ. Поэтому в данной работе проанализированы не только описанные ранее предикторы токсичности (пол, количество лейкоцитов и лимфоцитов, отношение числа нейтрофилов к числу лимфоцитов), но и те показатели, которые в литературе фигурируют как предикторы эффективности иммунотерапии. </w:t>
      </w:r>
    </w:p>
    <w:p w14:paraId="00000201" w14:textId="77777777" w:rsidR="00DC0EE8" w:rsidRDefault="00DC0EE8" w:rsidP="14EE7DEF"/>
    <w:p w14:paraId="00000202" w14:textId="77777777" w:rsidR="00DC0EE8" w:rsidRDefault="14EE7DEF" w:rsidP="14EE7DEF">
      <w:r w:rsidRPr="14EE7DEF">
        <w:t>Такое решение принято, поскольку существуют данные о взаимосвязи между эффективностью и токсичностью терапии ИКТ. Например, в работе Hussaini et al. показано, что развитие ИОНЯ напрямую связано с такими показателями, как общая выживаемость, выживаемость без прогрессирования и частота объективного ответа, вне зависимости от локализации опухоли, используемого препарата и вида иммуноопосредованной токсичности.</w:t>
      </w:r>
    </w:p>
    <w:p w14:paraId="00000203" w14:textId="77777777" w:rsidR="00DC0EE8" w:rsidRDefault="00DC0EE8" w:rsidP="14EE7DEF"/>
    <w:p w14:paraId="1A8D621F" w14:textId="77777777" w:rsidR="00DC0EE8" w:rsidRDefault="00DF7D84" w:rsidP="2D7A03AF">
      <w:r w:rsidRPr="14EE7DEF">
        <w:t xml:space="preserve">В данной работе удалось выявить предиктивную значимость таких показателей, как возраст и уровень экспрессии PD-L1 на иммунных и опухолевых клетках, а также значение CPS, в отношении токсичности иммунотерапии. Принимая во внимание описанную в работе Hissaini et al. корреляцию между эффективностью и токсичность. можно заключить, что полученные результаты по большей части согласуются с литературными данными. Тем не менее в данной работе показана также связь возраста с вероятностью развития иммуноопосредованной токсичности, что можно объяснить тем, что распределение пациентов по возрасту сильно отличается </w:t>
      </w:r>
      <w:r w:rsidRPr="14EE7DEF">
        <w:lastRenderedPageBreak/>
        <w:t>от нормального, либо ограниченностью выборки. Связь количества лимфоцитов и лейкоцитов, а также отношения числа лейкоцитов к числу нейтрофилов с риском токсичности иммунотерапии в данной работе не выявлена, что может быть связано с потерей данных по этим показателям.</w:t>
      </w:r>
    </w:p>
    <w:p w14:paraId="37449722" w14:textId="57E0D8C2" w:rsidR="00DC0EE8" w:rsidRDefault="00DC0EE8" w:rsidP="2D7A03AF"/>
    <w:p w14:paraId="00000204" w14:textId="77777777" w:rsidR="00DC0EE8" w:rsidRDefault="00DF7D84" w:rsidP="14EE7DEF">
      <w:r w:rsidRPr="14EE7DEF">
        <w:t xml:space="preserve">Показатели, не включенные в итоговую модель, но имеющие предиктивный вес по данным литературы (пол, ECOG до начала терапии, используемый препарат, а также лабораторные показатели, такие как количество лейкоцитов, лимфоцитов, нейтрофилов и индексы на их основе), по всей вероятности, не были учтены программой вследствие ограниченности размера выборки и потери данных. </w:t>
      </w:r>
    </w:p>
    <w:p w14:paraId="00000205" w14:textId="77777777" w:rsidR="00DC0EE8" w:rsidRDefault="00DC0EE8" w:rsidP="14EE7DEF"/>
    <w:p w14:paraId="00000206" w14:textId="77777777" w:rsidR="00DC0EE8" w:rsidRDefault="00DF7D84" w:rsidP="14EE7DEF">
      <w:pPr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  <w:r w:rsidRPr="14EE7DEF">
        <w:t>Ограничениями данного исследования являются небольшой размер выборки (60 человек) и потеря данных по некоторым показателям (структура выборки описана выше). Эти особенности, наиболее вероятно, могли исказить полученные результаты.</w:t>
      </w:r>
    </w:p>
    <w:p w14:paraId="00000207" w14:textId="77777777" w:rsidR="00DC0EE8" w:rsidRDefault="14EE7DEF" w:rsidP="14EE7DEF">
      <w:pPr>
        <w:pStyle w:val="1"/>
        <w:rPr>
          <w:bCs/>
        </w:rPr>
      </w:pPr>
      <w:bookmarkStart w:id="22" w:name="_4lx90f1qjqe6"/>
      <w:bookmarkEnd w:id="22"/>
      <w:r w:rsidRPr="14EE7DEF">
        <w:rPr>
          <w:bCs/>
        </w:rPr>
        <w:lastRenderedPageBreak/>
        <w:t>Выводы</w:t>
      </w:r>
    </w:p>
    <w:p w14:paraId="00000208" w14:textId="77777777" w:rsidR="00DC0EE8" w:rsidRDefault="14EE7DEF" w:rsidP="14EE7DEF">
      <w:r w:rsidRPr="14EE7DEF">
        <w:t xml:space="preserve">Клинические (пол, ECOG, ИМТ) и лабораторные (количество лейкоцитов, лимфоцитов, нейтрофилов и индекс на их основе) показатели не обнаружили предиктивной значимости в настоящем исследовании. </w:t>
      </w:r>
    </w:p>
    <w:p w14:paraId="00000209" w14:textId="77777777" w:rsidR="00DC0EE8" w:rsidRDefault="00DC0EE8" w:rsidP="14EE7DEF"/>
    <w:p w14:paraId="0000020A" w14:textId="77777777" w:rsidR="00DC0EE8" w:rsidRDefault="14EE7DEF" w:rsidP="14EE7DEF">
      <w:r w:rsidRPr="14EE7DEF">
        <w:t>Установлена взаимосвязь между вероятностью развития иммуноопосредованных нежелательных явлений терапии ингибиторами контрольных точек иммунного ответа и показателями: возраст, PD-L1 (на иммунных клетках), PD-L1 (на опухолевых клетках), CPS — с помощью метода регрессионных деревьев.</w:t>
      </w:r>
    </w:p>
    <w:p w14:paraId="0000020B" w14:textId="77777777" w:rsidR="00DC0EE8" w:rsidRDefault="00DC0EE8" w:rsidP="14EE7DEF"/>
    <w:p w14:paraId="0000020C" w14:textId="77777777" w:rsidR="00DC0EE8" w:rsidRDefault="00DF7D84" w:rsidP="14EE7DEF">
      <w:pPr>
        <w:rPr>
          <w:shd w:val="clear" w:color="auto" w:fill="D9EAD3"/>
        </w:rPr>
      </w:pPr>
      <w:r w:rsidRPr="14EE7DEF">
        <w:t>Создана предиктивная модель (дерево классификации), позволяющая суммировать наиболее значимые факторы риска развития иммуноопосредованные осложнений терапии: возраст, PD-L1 (на иммунных клетках), PD-L1 (на опухолевых клетках), CPS. Чувствительность модели составляет 90%, положительная прогностическая ценность — 78,9%, специфичность — 66%.</w:t>
      </w:r>
    </w:p>
    <w:p w14:paraId="0000020D" w14:textId="77777777" w:rsidR="00DC0EE8" w:rsidRDefault="00DC0EE8"/>
    <w:p w14:paraId="0000020E" w14:textId="77777777" w:rsidR="00DC0EE8" w:rsidRDefault="00DC0EE8"/>
    <w:p w14:paraId="0000020F" w14:textId="77777777" w:rsidR="00DC0EE8" w:rsidRDefault="00DC0EE8">
      <w:pPr>
        <w:sectPr w:rsidR="00DC0EE8" w:rsidSect="00B22CE4">
          <w:pgSz w:w="11909" w:h="16834"/>
          <w:pgMar w:top="1134" w:right="851" w:bottom="1134" w:left="1701" w:header="720" w:footer="720" w:gutter="0"/>
          <w:cols w:space="720"/>
        </w:sectPr>
      </w:pPr>
    </w:p>
    <w:p w14:paraId="00000210" w14:textId="77777777" w:rsidR="00DC0EE8" w:rsidRDefault="2D7A03AF" w:rsidP="2D7A03AF">
      <w:pPr>
        <w:pStyle w:val="1"/>
        <w:rPr>
          <w:bCs/>
        </w:rPr>
      </w:pPr>
      <w:bookmarkStart w:id="23" w:name="_4vt2ydwyfcmp"/>
      <w:bookmarkEnd w:id="23"/>
      <w:r w:rsidRPr="2D7A03AF">
        <w:rPr>
          <w:bCs/>
        </w:rPr>
        <w:lastRenderedPageBreak/>
        <w:t>Список литературы</w:t>
      </w:r>
    </w:p>
    <w:p w14:paraId="00000211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16">
        <w:r w:rsidRPr="2D7A03AF">
          <w:t>1.</w:t>
        </w:r>
        <w:r>
          <w:tab/>
        </w:r>
        <w:r w:rsidRPr="2D7A03AF">
          <w:t xml:space="preserve">Falzone L., Salomone S., Libra M. Evolution of Cancer Pharmacological Treatments at the Turn of the Third Millennium // Front. </w:t>
        </w:r>
        <w:r w:rsidRPr="00DF7D84">
          <w:rPr>
            <w:lang w:val="en-US"/>
          </w:rPr>
          <w:t>Pharmacol. 2018. Vol. 9. P. 1300.</w:t>
        </w:r>
      </w:hyperlink>
    </w:p>
    <w:p w14:paraId="00000212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17">
        <w:r w:rsidRPr="00DF7D84">
          <w:rPr>
            <w:lang w:val="en-US"/>
          </w:rPr>
          <w:t>2.</w:t>
        </w:r>
        <w:r w:rsidRPr="00DF7D84">
          <w:rPr>
            <w:lang w:val="en-US"/>
          </w:rPr>
          <w:tab/>
          <w:t>Costa R. et al. Toxicity profile of approved anti-PD-1 monoclonal antibodies in solid tumors: a systematic review and meta-analysis of randomized clinical trials // Oncotarget. Impact Journals, 2016. Vol. 8, № 5. P. 8910–8920.</w:t>
        </w:r>
      </w:hyperlink>
    </w:p>
    <w:p w14:paraId="00000213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18">
        <w:r w:rsidRPr="00DF7D84">
          <w:rPr>
            <w:lang w:val="en-US"/>
          </w:rPr>
          <w:t>3.</w:t>
        </w:r>
        <w:r w:rsidRPr="00DF7D84">
          <w:rPr>
            <w:lang w:val="en-US"/>
          </w:rPr>
          <w:tab/>
          <w:t>Larkin J. et al. Five-Year Survival with Combined Nivolumab and Ipilimumab in Advanced Melanoma // N. Engl. J. Med. Massachusetts Medical Society, 2019. Vol. 381, № 16. P. 1535–1546.</w:t>
        </w:r>
      </w:hyperlink>
    </w:p>
    <w:p w14:paraId="00000214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19">
        <w:r w:rsidRPr="00DF7D84">
          <w:rPr>
            <w:lang w:val="en-US"/>
          </w:rPr>
          <w:t>4.</w:t>
        </w:r>
        <w:r w:rsidRPr="00DF7D84">
          <w:rPr>
            <w:lang w:val="en-US"/>
          </w:rPr>
          <w:tab/>
          <w:t xml:space="preserve">Puzanov I. et al. Managing toxicities associated with immune checkpoint inhibitors: consensus recommendations from the Society for Immunotherapy of Cancer (SITC) Toxicity Management Working Group // J. Immunother. Cancer. BMJ Specialist Journals, 2017. Vol. 5, № 1. </w:t>
        </w:r>
        <w:r w:rsidRPr="2D7A03AF">
          <w:t>P. 95.</w:t>
        </w:r>
      </w:hyperlink>
    </w:p>
    <w:p w14:paraId="00000215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20">
        <w:r w:rsidRPr="00DF7D84">
          <w:rPr>
            <w:lang w:val="en-US"/>
          </w:rPr>
          <w:t>5.</w:t>
        </w:r>
        <w:r w:rsidRPr="00DF7D84">
          <w:rPr>
            <w:lang w:val="en-US"/>
          </w:rPr>
          <w:tab/>
          <w:t>Haanen J.B. a. G. et al. Management of toxicities from immunotherapy: ESMO Clinical Practice Guidelines for diagnosis, treatment and follow-up† // Ann. Oncol. Elsevier, 2017. Vol. 28. P. iv119–iv142.</w:t>
        </w:r>
      </w:hyperlink>
    </w:p>
    <w:p w14:paraId="00000216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21">
        <w:r w:rsidRPr="00DF7D84">
          <w:rPr>
            <w:lang w:val="en-US"/>
          </w:rPr>
          <w:t>6.</w:t>
        </w:r>
        <w:r w:rsidRPr="00DF7D84">
          <w:rPr>
            <w:lang w:val="en-US"/>
          </w:rPr>
          <w:tab/>
          <w:t>Hussaini S. et al. Association between immune-related side effects and efficacy and benefit of immune checkpoint inhibitors – A systematic review and meta-analysis // Cancer Treat. Rev. Elsevier, 2021. Vol. 92.</w:t>
        </w:r>
      </w:hyperlink>
    </w:p>
    <w:p w14:paraId="00000217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2">
        <w:r w:rsidRPr="00DF7D84">
          <w:rPr>
            <w:lang w:val="en-US"/>
          </w:rPr>
          <w:t>7.</w:t>
        </w:r>
        <w:r w:rsidRPr="00DF7D84">
          <w:rPr>
            <w:lang w:val="en-US"/>
          </w:rPr>
          <w:tab/>
          <w:t xml:space="preserve">Oiseth S.J., Aziz M.S. Cancer immunotherapy: a brief review of the history, possibilities, and challenges ahead // J. Cancer Metastasis Treat. </w:t>
        </w:r>
        <w:r w:rsidRPr="2D7A03AF">
          <w:t>OAE Publishing Inc., 2017. Vol. 3. P. 250–261.</w:t>
        </w:r>
      </w:hyperlink>
    </w:p>
    <w:p w14:paraId="00000218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3">
        <w:r w:rsidRPr="00DF7D84">
          <w:rPr>
            <w:lang w:val="en-US"/>
          </w:rPr>
          <w:t>8.</w:t>
        </w:r>
        <w:r w:rsidRPr="00DF7D84">
          <w:rPr>
            <w:lang w:val="en-US"/>
          </w:rPr>
          <w:tab/>
          <w:t xml:space="preserve">McCarthy E.F. The Toxins of William B. Coley and the Treatment of Bone and Soft-Tissue Sarcomas // Iowa Orthop. </w:t>
        </w:r>
        <w:r w:rsidRPr="2D7A03AF">
          <w:t>J. 2006. Vol. 26. P. 154–158.</w:t>
        </w:r>
      </w:hyperlink>
    </w:p>
    <w:p w14:paraId="00000219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4">
        <w:r w:rsidRPr="00DF7D84">
          <w:rPr>
            <w:lang w:val="en-US"/>
          </w:rPr>
          <w:t>9.</w:t>
        </w:r>
        <w:r w:rsidRPr="00DF7D84">
          <w:rPr>
            <w:lang w:val="en-US"/>
          </w:rPr>
          <w:tab/>
          <w:t xml:space="preserve">Morales A., Eidinger D., Bruce A.W. Intracavitary bacillus calmette-guerin in the treatment of superficial bladder tumors // J. Urol. 2002. </w:t>
        </w:r>
        <w:r w:rsidRPr="2D7A03AF">
          <w:t>Vol. 167, № 2, Part 2. P. 891–894.</w:t>
        </w:r>
      </w:hyperlink>
    </w:p>
    <w:p w14:paraId="0000021A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5">
        <w:r w:rsidRPr="2D7A03AF">
          <w:t>10.</w:t>
        </w:r>
        <w:r>
          <w:tab/>
        </w:r>
        <w:r w:rsidRPr="2D7A03AF">
          <w:t>Гладков О.А. et al. Практические Рекомендации По Лекарственному Лечению Рака Мочевого Пузыря // Злокачественные Опухоли. 2019. Vol. 9, № 3S2.</w:t>
        </w:r>
      </w:hyperlink>
    </w:p>
    <w:p w14:paraId="0000021B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6">
        <w:r w:rsidRPr="00DF7D84">
          <w:rPr>
            <w:lang w:val="en-US"/>
          </w:rPr>
          <w:t>11.</w:t>
        </w:r>
        <w:r w:rsidRPr="00DF7D84">
          <w:rPr>
            <w:lang w:val="en-US"/>
          </w:rPr>
          <w:tab/>
          <w:t xml:space="preserve">Abbott M., Ustoyev Y. Cancer and the Immune System: The History and Background of Immunotherapy // Semin. </w:t>
        </w:r>
        <w:r w:rsidRPr="2D7A03AF">
          <w:t>Oncol. Nurs. 2019. Vol. 35, № 5. P. 150923.</w:t>
        </w:r>
      </w:hyperlink>
    </w:p>
    <w:p w14:paraId="0000021C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27">
        <w:r w:rsidRPr="00DF7D84">
          <w:rPr>
            <w:lang w:val="en-US"/>
          </w:rPr>
          <w:t>12.</w:t>
        </w:r>
        <w:r w:rsidRPr="00DF7D84">
          <w:rPr>
            <w:lang w:val="en-US"/>
          </w:rPr>
          <w:tab/>
          <w:t xml:space="preserve">Leach D.R., Krummel M.F., Allison J.P. Enhancement of antitumor immunity by CTLA-4 blockade // Science. </w:t>
        </w:r>
        <w:r w:rsidRPr="2D7A03AF">
          <w:t xml:space="preserve">1996. Vol. 271, № 5256. </w:t>
        </w:r>
        <w:r w:rsidRPr="00DF7D84">
          <w:rPr>
            <w:lang w:val="en-US"/>
          </w:rPr>
          <w:t>P. 1734–1736.</w:t>
        </w:r>
      </w:hyperlink>
    </w:p>
    <w:p w14:paraId="0000021D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8">
        <w:r w:rsidRPr="00DF7D84">
          <w:rPr>
            <w:lang w:val="en-US"/>
          </w:rPr>
          <w:t>13.</w:t>
        </w:r>
        <w:r w:rsidRPr="00DF7D84">
          <w:rPr>
            <w:lang w:val="en-US"/>
          </w:rPr>
          <w:tab/>
          <w:t xml:space="preserve">Gross G., Eshhar Z. Therapeutic Potential of T </w:t>
        </w:r>
        <w:proofErr w:type="gramStart"/>
        <w:r w:rsidRPr="00DF7D84">
          <w:rPr>
            <w:lang w:val="en-US"/>
          </w:rPr>
          <w:t>Cell</w:t>
        </w:r>
        <w:proofErr w:type="gramEnd"/>
        <w:r w:rsidRPr="00DF7D84">
          <w:rPr>
            <w:lang w:val="en-US"/>
          </w:rPr>
          <w:t xml:space="preserve"> Chimeric Antigen Receptors (CARs) in Cancer Treatment: Counteracting Off-Tumor Toxicities for Safe CAR T Cell Therapy // Annu. </w:t>
        </w:r>
        <w:r w:rsidRPr="2D7A03AF">
          <w:t>Rev. Pharmacol. Toxicol. 2016. Vol. 56. P. 59–83.</w:t>
        </w:r>
      </w:hyperlink>
    </w:p>
    <w:p w14:paraId="0000021E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29">
        <w:r w:rsidRPr="00DF7D84">
          <w:rPr>
            <w:lang w:val="en-US"/>
          </w:rPr>
          <w:t>14.</w:t>
        </w:r>
        <w:r w:rsidRPr="00DF7D84">
          <w:rPr>
            <w:lang w:val="en-US"/>
          </w:rPr>
          <w:tab/>
          <w:t xml:space="preserve">Seidel J.A., Otsuka A., Kabashima K. Anti-PD-1 and Anti-CTLA-4 Therapies in Cancer: Mechanisms of Action, Efficacy, and Limitations // Front. </w:t>
        </w:r>
        <w:r w:rsidRPr="2D7A03AF">
          <w:t>Oncol. 2018. Vol. 8. P. 86.</w:t>
        </w:r>
      </w:hyperlink>
    </w:p>
    <w:p w14:paraId="0000021F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30">
        <w:r w:rsidRPr="00DF7D84">
          <w:rPr>
            <w:lang w:val="en-US"/>
          </w:rPr>
          <w:t>15.</w:t>
        </w:r>
        <w:r w:rsidRPr="00DF7D84">
          <w:rPr>
            <w:lang w:val="en-US"/>
          </w:rPr>
          <w:tab/>
          <w:t>Hanahan D., Weinberg R.A. Hallmarks of Cancer: The Next Generation // Cell. Elsevier, 2011. Vol. 144, № 5. P. 646–674.</w:t>
        </w:r>
      </w:hyperlink>
    </w:p>
    <w:p w14:paraId="00000220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1">
        <w:r w:rsidRPr="00DF7D84">
          <w:rPr>
            <w:lang w:val="en-US"/>
          </w:rPr>
          <w:t>16.</w:t>
        </w:r>
        <w:r w:rsidRPr="00DF7D84">
          <w:rPr>
            <w:lang w:val="en-US"/>
          </w:rPr>
          <w:tab/>
          <w:t xml:space="preserve">Yokokawa J. et al. Enhanced Functionality of CD4+CD25highFoxP3+ Regulatory T Cells in the Peripheral Blood of Patients with Prostate Cancer // Clin. Cancer Res. </w:t>
        </w:r>
        <w:r w:rsidRPr="2D7A03AF">
          <w:t>American Association for Cancer Research, 2008. Vol. 14, № 4. P. 1032–1040.</w:t>
        </w:r>
      </w:hyperlink>
    </w:p>
    <w:p w14:paraId="00000221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32">
        <w:r w:rsidRPr="2D7A03AF">
          <w:t>17.</w:t>
        </w:r>
        <w:r>
          <w:tab/>
        </w:r>
        <w:r w:rsidRPr="2D7A03AF">
          <w:t xml:space="preserve">Шубникова Е.В. et al. Ингибиторы контрольных точек иммунного ответа: новые риски нового класса противоопухолевых средств: 1 // Безопасность И Риск Фармакотерапии. 2020. </w:t>
        </w:r>
        <w:r w:rsidRPr="00DF7D84">
          <w:rPr>
            <w:lang w:val="en-US"/>
          </w:rPr>
          <w:t>Vol. 8, № 1. P. 9–22.</w:t>
        </w:r>
      </w:hyperlink>
    </w:p>
    <w:p w14:paraId="00000222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33">
        <w:r w:rsidRPr="00DF7D84">
          <w:rPr>
            <w:lang w:val="en-US"/>
          </w:rPr>
          <w:t>18.</w:t>
        </w:r>
        <w:r w:rsidRPr="00DF7D84">
          <w:rPr>
            <w:lang w:val="en-US"/>
          </w:rPr>
          <w:tab/>
          <w:t xml:space="preserve">Waterhouse P. et al. Lymphoproliferative disorders with early lethality in mice deficient in Ctla-4 // Science. 1995. </w:t>
        </w:r>
        <w:r w:rsidRPr="2D7A03AF">
          <w:t xml:space="preserve">Vol. 270, № 5238. </w:t>
        </w:r>
        <w:r w:rsidRPr="00DF7D84">
          <w:rPr>
            <w:lang w:val="en-US"/>
          </w:rPr>
          <w:t>P. 985–988.</w:t>
        </w:r>
      </w:hyperlink>
    </w:p>
    <w:p w14:paraId="00000223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34">
        <w:r w:rsidRPr="00DF7D84">
          <w:rPr>
            <w:lang w:val="en-US"/>
          </w:rPr>
          <w:t>19.</w:t>
        </w:r>
        <w:r w:rsidRPr="00DF7D84">
          <w:rPr>
            <w:lang w:val="en-US"/>
          </w:rPr>
          <w:tab/>
          <w:t>Gough S.C.L., Walker L.S.K., Sansom D.M. CTLA4 gene polymorphism and autoimmunity // Immunol. Rev. 2005. Vol. 204. P. 102–115.</w:t>
        </w:r>
      </w:hyperlink>
    </w:p>
    <w:p w14:paraId="00000224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5">
        <w:r w:rsidRPr="00DF7D84">
          <w:rPr>
            <w:lang w:val="en-US"/>
          </w:rPr>
          <w:t>20.</w:t>
        </w:r>
        <w:r w:rsidRPr="00DF7D84">
          <w:rPr>
            <w:lang w:val="en-US"/>
          </w:rPr>
          <w:tab/>
          <w:t xml:space="preserve">Curran M.A. et al. PD-1 and CTLA-4 combination blockade expands </w:t>
        </w:r>
        <w:r w:rsidRPr="00DF7D84">
          <w:rPr>
            <w:lang w:val="en-US"/>
          </w:rPr>
          <w:lastRenderedPageBreak/>
          <w:t xml:space="preserve">infiltrating T cells and reduces regulatory T and myeloid cells within B16 melanoma tumors // Proc. </w:t>
        </w:r>
        <w:r w:rsidRPr="2D7A03AF">
          <w:t>Natl. Acad. Sci. U. S. A. 2010. Vol. 107, № 9. P. 4275–4280.</w:t>
        </w:r>
      </w:hyperlink>
    </w:p>
    <w:p w14:paraId="00000225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6">
        <w:r w:rsidRPr="00DF7D84">
          <w:rPr>
            <w:lang w:val="en-US"/>
          </w:rPr>
          <w:t>21.</w:t>
        </w:r>
        <w:r w:rsidRPr="00DF7D84">
          <w:rPr>
            <w:lang w:val="en-US"/>
          </w:rPr>
          <w:tab/>
          <w:t xml:space="preserve">Hodi F.S. et al. Improved Survival with Ipilimumab in Patients with Metastatic Melanoma // N. Engl. J. Med. 2010. Vol. 363, № 8. </w:t>
        </w:r>
        <w:r w:rsidRPr="2D7A03AF">
          <w:t>P. 711–723.</w:t>
        </w:r>
      </w:hyperlink>
    </w:p>
    <w:p w14:paraId="00000226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7">
        <w:r w:rsidRPr="00DF7D84">
          <w:rPr>
            <w:lang w:val="en-US"/>
          </w:rPr>
          <w:t>22.</w:t>
        </w:r>
        <w:r w:rsidRPr="00DF7D84">
          <w:rPr>
            <w:lang w:val="en-US"/>
          </w:rPr>
          <w:tab/>
          <w:t xml:space="preserve">Pardoll D.M. The blockade of immune checkpoints in cancer immunotherapy // Nat. </w:t>
        </w:r>
        <w:r w:rsidRPr="2D7A03AF">
          <w:t>Rev. Cancer. 2012. Vol. 12, № 4. P. 252–264.</w:t>
        </w:r>
      </w:hyperlink>
    </w:p>
    <w:p w14:paraId="00000227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8">
        <w:r w:rsidRPr="00DF7D84">
          <w:rPr>
            <w:lang w:val="en-US"/>
          </w:rPr>
          <w:t>23.</w:t>
        </w:r>
        <w:r w:rsidRPr="00DF7D84">
          <w:rPr>
            <w:lang w:val="en-US"/>
          </w:rPr>
          <w:tab/>
          <w:t xml:space="preserve">Barber D.L. et al. Restoring function in exhausted CD8 T cells during chronic viral infection // Nature. 2006. </w:t>
        </w:r>
        <w:r w:rsidRPr="2D7A03AF">
          <w:t>Vol. 439, № 7077. P. 682–687.</w:t>
        </w:r>
      </w:hyperlink>
    </w:p>
    <w:p w14:paraId="00000228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39">
        <w:r w:rsidRPr="2D7A03AF">
          <w:t>24.</w:t>
        </w:r>
        <w:r>
          <w:tab/>
        </w:r>
        <w:r w:rsidRPr="2D7A03AF">
          <w:t>Проценко С.А. et al. Практические рекомендации по управлению иммуноопосредованными нежелательными явлениями: 3s2-2 // Злокачественные Опухоли. 2021. Vol. 10, № 3s2-2. P. 168–199.</w:t>
        </w:r>
      </w:hyperlink>
    </w:p>
    <w:p w14:paraId="00000229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40">
        <w:r w:rsidRPr="00DF7D84">
          <w:rPr>
            <w:lang w:val="en-US"/>
          </w:rPr>
          <w:t>25.</w:t>
        </w:r>
        <w:r w:rsidRPr="00DF7D84">
          <w:rPr>
            <w:lang w:val="en-US"/>
          </w:rPr>
          <w:tab/>
          <w:t>Picchianti Diamanti A. et al. Abatacept (cytotoxic T lymphocyte antigen 4-immunoglobulin) improves B cell function and regulatory T cell inhibitory capacity in rheumatoid arthritis patients non-responding to anti-tumour necrosis factor-</w:t>
        </w:r>
        <w:r w:rsidRPr="2D7A03AF">
          <w:t>α</w:t>
        </w:r>
        <w:r w:rsidRPr="00DF7D84">
          <w:rPr>
            <w:lang w:val="en-US"/>
          </w:rPr>
          <w:t xml:space="preserve"> agents // Clin. Exp. Immunol. 2014. Vol. 177, № 3. P. 630–640.</w:t>
        </w:r>
      </w:hyperlink>
    </w:p>
    <w:p w14:paraId="0000022A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41">
        <w:r w:rsidRPr="00DF7D84">
          <w:rPr>
            <w:lang w:val="en-US"/>
          </w:rPr>
          <w:t>26.</w:t>
        </w:r>
        <w:r w:rsidRPr="00DF7D84">
          <w:rPr>
            <w:lang w:val="en-US"/>
          </w:rPr>
          <w:tab/>
          <w:t>Bertrand A. et al. Immune related adverse events associated with anti-CTLA-4 antibodies: systematic review and meta-analysis // BMC Med. 2015. Vol. 13, № 1. P. 211.</w:t>
        </w:r>
      </w:hyperlink>
    </w:p>
    <w:p w14:paraId="0000022B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42">
        <w:r w:rsidRPr="00DF7D84">
          <w:rPr>
            <w:lang w:val="en-US"/>
          </w:rPr>
          <w:t>27.</w:t>
        </w:r>
        <w:r w:rsidRPr="00DF7D84">
          <w:rPr>
            <w:lang w:val="en-US"/>
          </w:rPr>
          <w:tab/>
          <w:t xml:space="preserve">Robert C. et al. Pembrolizumab versus Ipilimumab in Advanced Melanoma // N. Engl. J. Med. 2015. Vol. 372, № 26. </w:t>
        </w:r>
        <w:r w:rsidRPr="2D7A03AF">
          <w:t>P. 2521–2532.</w:t>
        </w:r>
      </w:hyperlink>
    </w:p>
    <w:p w14:paraId="0000022C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43">
        <w:r w:rsidRPr="00DF7D84">
          <w:rPr>
            <w:lang w:val="en-US"/>
          </w:rPr>
          <w:t>28.</w:t>
        </w:r>
        <w:r w:rsidRPr="00DF7D84">
          <w:rPr>
            <w:lang w:val="en-US"/>
          </w:rPr>
          <w:tab/>
          <w:t xml:space="preserve">Weber J.S. et al. Nivolumab versus chemotherapy in patients with advanced melanoma who progressed after anti-CTLA-4 treatment (CheckMate 037): a randomised, controlled, open-label, phase 3 trial // Lancet Oncol. 2015. </w:t>
        </w:r>
        <w:r w:rsidRPr="2D7A03AF">
          <w:t>Vol. 16, № 4. P. 375–384.</w:t>
        </w:r>
      </w:hyperlink>
    </w:p>
    <w:p w14:paraId="0000022D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44">
        <w:r w:rsidRPr="00DF7D84">
          <w:rPr>
            <w:lang w:val="en-US"/>
          </w:rPr>
          <w:t>29.</w:t>
        </w:r>
        <w:r w:rsidRPr="00DF7D84">
          <w:rPr>
            <w:lang w:val="en-US"/>
          </w:rPr>
          <w:tab/>
          <w:t xml:space="preserve">Wolchok J.D. et al. Overall Survival with Combined Nivolumab and Ipilimumab in Advanced Melanoma // N. Engl. J. Med. </w:t>
        </w:r>
        <w:r w:rsidRPr="2D7A03AF">
          <w:t>Massachusetts Medical Society, 2017. Vol. 377, № 14. P. 1345–1356.</w:t>
        </w:r>
      </w:hyperlink>
    </w:p>
    <w:p w14:paraId="0000022E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45">
        <w:r w:rsidRPr="00DF7D84">
          <w:rPr>
            <w:lang w:val="en-US"/>
          </w:rPr>
          <w:t>30.</w:t>
        </w:r>
        <w:r w:rsidRPr="00DF7D84">
          <w:rPr>
            <w:lang w:val="en-US"/>
          </w:rPr>
          <w:tab/>
          <w:t>Motzer R.J. et al. Nivolumab plus Ipilimumab versus Sunitinib in Advanced Renal-Cell Carcinoma // N. Engl. J. Med. Massachusetts Medical Society, 2018.</w:t>
        </w:r>
      </w:hyperlink>
    </w:p>
    <w:p w14:paraId="0000022F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46">
        <w:r w:rsidRPr="00DF7D84">
          <w:rPr>
            <w:lang w:val="en-US"/>
          </w:rPr>
          <w:t>31.</w:t>
        </w:r>
        <w:r w:rsidRPr="00DF7D84">
          <w:rPr>
            <w:lang w:val="en-US"/>
          </w:rPr>
          <w:tab/>
          <w:t>Fujii T. et al. Biomarkers of response to immune checkpoint blockade in cancer treatment // Crit. Rev. Oncol. Hematol. 2018. Vol. 130. P. 108–120.</w:t>
        </w:r>
      </w:hyperlink>
    </w:p>
    <w:p w14:paraId="00000230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47">
        <w:r w:rsidRPr="00DF7D84">
          <w:rPr>
            <w:lang w:val="en-US"/>
          </w:rPr>
          <w:t>32.</w:t>
        </w:r>
        <w:r w:rsidRPr="00DF7D84">
          <w:rPr>
            <w:lang w:val="en-US"/>
          </w:rPr>
          <w:tab/>
          <w:t xml:space="preserve">Horvat T.Z. et al. Immune-Related Adverse Events, Need for Systemic Immunosuppression, and Effects on Survival and Time to Treatment Failure in Patients With Melanoma Treated With Ipilimumab at Memorial Sloan Kettering Cancer Center // J. Clin. Oncol. Off. J. Am. Soc. </w:t>
        </w:r>
        <w:r w:rsidRPr="2D7A03AF">
          <w:t>Clin. Oncol. 2015. Vol. 33, № 28. P. 3193–3198.</w:t>
        </w:r>
      </w:hyperlink>
    </w:p>
    <w:p w14:paraId="00000231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48">
        <w:r w:rsidRPr="00DF7D84">
          <w:rPr>
            <w:lang w:val="en-US"/>
          </w:rPr>
          <w:t>33.</w:t>
        </w:r>
        <w:r w:rsidRPr="00DF7D84">
          <w:rPr>
            <w:lang w:val="en-US"/>
          </w:rPr>
          <w:tab/>
          <w:t xml:space="preserve">Hasan Ali O. et al. Characterization of nivolumab-associated skin reactions in patients with metastatic non-small cell lung cancer // OncoImmunology. Taylor &amp; Francis, 2016. Vol. 5, № 11. </w:t>
        </w:r>
        <w:r w:rsidRPr="2D7A03AF">
          <w:t>P. e1231292.</w:t>
        </w:r>
      </w:hyperlink>
    </w:p>
    <w:p w14:paraId="00000232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49">
        <w:r w:rsidRPr="00DF7D84">
          <w:rPr>
            <w:lang w:val="en-US"/>
          </w:rPr>
          <w:t>34.</w:t>
        </w:r>
        <w:r w:rsidRPr="00DF7D84">
          <w:rPr>
            <w:lang w:val="en-US"/>
          </w:rPr>
          <w:tab/>
          <w:t>Hinrichs C.S., Restifo N.P. Reassessing target antigens for adoptive T-cell therapy // Nat. Biotechnol. 2013. Vol. 31, № 11. P. 999–1008.</w:t>
        </w:r>
      </w:hyperlink>
    </w:p>
    <w:p w14:paraId="00000233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0">
        <w:r w:rsidRPr="00DF7D84">
          <w:rPr>
            <w:lang w:val="en-US"/>
          </w:rPr>
          <w:t>35.</w:t>
        </w:r>
        <w:r w:rsidRPr="00DF7D84">
          <w:rPr>
            <w:lang w:val="en-US"/>
          </w:rPr>
          <w:tab/>
          <w:t>Fujii T. et al. Incidence of immune-related adverse events and its association with treatment outcomes: the MD Anderson Cancer Center experience // Invest. New Drugs. 2018. Vol. 36, № 4. P. 638–646.</w:t>
        </w:r>
      </w:hyperlink>
    </w:p>
    <w:p w14:paraId="00000234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51">
        <w:r w:rsidRPr="00DF7D84">
          <w:rPr>
            <w:lang w:val="en-US"/>
          </w:rPr>
          <w:t>36.</w:t>
        </w:r>
        <w:r w:rsidRPr="00DF7D84">
          <w:rPr>
            <w:lang w:val="en-US"/>
          </w:rPr>
          <w:tab/>
          <w:t xml:space="preserve">Farolfi A. et al. Ipilimumab in advanced melanoma:  reports of long-lasting responses // Melanoma Res. 2012. Vol. 22, № 3. </w:t>
        </w:r>
        <w:r w:rsidRPr="2D7A03AF">
          <w:t>P. 263–270.</w:t>
        </w:r>
      </w:hyperlink>
    </w:p>
    <w:p w14:paraId="00000235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52">
        <w:r w:rsidRPr="00DF7D84">
          <w:rPr>
            <w:lang w:val="en-US"/>
          </w:rPr>
          <w:t>37.</w:t>
        </w:r>
        <w:r w:rsidRPr="00DF7D84">
          <w:rPr>
            <w:lang w:val="en-US"/>
          </w:rPr>
          <w:tab/>
          <w:t xml:space="preserve">Villadolid J., Amin A. Immune checkpoint inhibitors in clinical practice: update on management of immune-related toxicities // Transl. </w:t>
        </w:r>
        <w:r w:rsidRPr="2D7A03AF">
          <w:t>Lung Cancer Res. 2015. Vol. 4, № 5. P. 560–575.</w:t>
        </w:r>
      </w:hyperlink>
    </w:p>
    <w:p w14:paraId="00000236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53">
        <w:r w:rsidRPr="00DF7D84">
          <w:rPr>
            <w:lang w:val="en-US"/>
          </w:rPr>
          <w:t>38.</w:t>
        </w:r>
        <w:r w:rsidRPr="00DF7D84">
          <w:rPr>
            <w:lang w:val="en-US"/>
          </w:rPr>
          <w:tab/>
          <w:t xml:space="preserve">Belum V.R. et al. Characterisation and management of dermatologic adverse events to agents targeting the PD-1 receptor // Eur. J. Cancer Oxf. Engl. 1990. 2016. </w:t>
        </w:r>
        <w:r w:rsidRPr="2D7A03AF">
          <w:t>Vol. 60. P. 12–25.</w:t>
        </w:r>
      </w:hyperlink>
    </w:p>
    <w:p w14:paraId="00000237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54">
        <w:r w:rsidRPr="00DF7D84">
          <w:rPr>
            <w:lang w:val="en-US"/>
          </w:rPr>
          <w:t>39.</w:t>
        </w:r>
        <w:r w:rsidRPr="00DF7D84">
          <w:rPr>
            <w:lang w:val="en-US"/>
          </w:rPr>
          <w:tab/>
          <w:t xml:space="preserve">Weber J.S. et al. Patterns of onset and resolution of immune-related adverse events of special interest with ipilimumab: detailed safety analysis from a phase 3 trial in patients with advanced melanoma // Cancer. 2013. </w:t>
        </w:r>
        <w:r w:rsidRPr="2D7A03AF">
          <w:t>Vol. 119, № 9. P. 1675–1682.</w:t>
        </w:r>
      </w:hyperlink>
    </w:p>
    <w:p w14:paraId="00000238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5">
        <w:r w:rsidRPr="00DF7D84">
          <w:rPr>
            <w:lang w:val="en-US"/>
          </w:rPr>
          <w:t>40.</w:t>
        </w:r>
        <w:r w:rsidRPr="00DF7D84">
          <w:rPr>
            <w:lang w:val="en-US"/>
          </w:rPr>
          <w:tab/>
          <w:t>Dougan M. Checkpoint Blockade Toxicity and Immune Homeostasis in the Gastrointestinal Tract // Front. Immunol. 2017. Vol. 8. P. 1547.</w:t>
        </w:r>
      </w:hyperlink>
    </w:p>
    <w:p w14:paraId="00000239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6">
        <w:r w:rsidRPr="00DF7D84">
          <w:rPr>
            <w:lang w:val="en-US"/>
          </w:rPr>
          <w:t>41.</w:t>
        </w:r>
        <w:r w:rsidRPr="00DF7D84">
          <w:rPr>
            <w:lang w:val="en-US"/>
          </w:rPr>
          <w:tab/>
          <w:t xml:space="preserve">Messmer M. et al. Ipilimumab-Induced Enteritis without Colitis: A New </w:t>
        </w:r>
        <w:r w:rsidRPr="00DF7D84">
          <w:rPr>
            <w:lang w:val="en-US"/>
          </w:rPr>
          <w:lastRenderedPageBreak/>
          <w:t>Challenge // Case Rep. Oncol. 2016. Vol. 9, № 3. P. 705–713.</w:t>
        </w:r>
      </w:hyperlink>
    </w:p>
    <w:p w14:paraId="0000023A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7">
        <w:r w:rsidRPr="00DF7D84">
          <w:rPr>
            <w:lang w:val="en-US"/>
          </w:rPr>
          <w:t>42.</w:t>
        </w:r>
        <w:r w:rsidRPr="00DF7D84">
          <w:rPr>
            <w:lang w:val="en-US"/>
          </w:rPr>
          <w:tab/>
          <w:t>Chuzi S. et al. Clinical features, diagnostic challenges, and management strategies in checkpoint inhibitor-related pneumonitis // Cancer Manag. Res. 2017. Vol. 9. P. 207–213.</w:t>
        </w:r>
      </w:hyperlink>
    </w:p>
    <w:p w14:paraId="0000023B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8">
        <w:r w:rsidRPr="00DF7D84">
          <w:rPr>
            <w:lang w:val="en-US"/>
          </w:rPr>
          <w:t>43.</w:t>
        </w:r>
        <w:r w:rsidRPr="00DF7D84">
          <w:rPr>
            <w:lang w:val="en-US"/>
          </w:rPr>
          <w:tab/>
          <w:t>Naidoo J. et al. Pneumonitis in Patients Treated With Anti-Programmed Death-1/Programmed Death Ligand 1 Therapy // J. Clin. Oncol. Off. J. Am. Soc. Clin. Oncol. 2017. Vol. 35, № 7. P. 709–717.</w:t>
        </w:r>
      </w:hyperlink>
    </w:p>
    <w:p w14:paraId="0000023C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59">
        <w:r w:rsidRPr="00DF7D84">
          <w:rPr>
            <w:lang w:val="en-US"/>
          </w:rPr>
          <w:t>44.</w:t>
        </w:r>
        <w:r w:rsidRPr="00DF7D84">
          <w:rPr>
            <w:lang w:val="en-US"/>
          </w:rPr>
          <w:tab/>
          <w:t xml:space="preserve">Khunger M. et al. Incidence of Pneumonitis </w:t>
        </w:r>
        <w:proofErr w:type="gramStart"/>
        <w:r w:rsidRPr="00DF7D84">
          <w:rPr>
            <w:lang w:val="en-US"/>
          </w:rPr>
          <w:t>With</w:t>
        </w:r>
        <w:proofErr w:type="gramEnd"/>
        <w:r w:rsidRPr="00DF7D84">
          <w:rPr>
            <w:lang w:val="en-US"/>
          </w:rPr>
          <w:t xml:space="preserve"> Use of Programmed Death 1 and Programmed Death-Ligand 1 Inhibitors in Non-Small Cell Lung Cancer: A Systematic Review and Meta-Analysis of Trials // Chest. 2017. Vol. 152, № 2. P. 271–281.</w:t>
        </w:r>
      </w:hyperlink>
    </w:p>
    <w:p w14:paraId="0000023D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60">
        <w:r w:rsidRPr="00DF7D84">
          <w:rPr>
            <w:lang w:val="en-US"/>
          </w:rPr>
          <w:t>45.</w:t>
        </w:r>
        <w:r w:rsidRPr="00DF7D84">
          <w:rPr>
            <w:lang w:val="en-US"/>
          </w:rPr>
          <w:tab/>
          <w:t xml:space="preserve">Nishino M. et al. Incidence of Programmed Cell Death 1 Inhibitor-Related Pneumonitis in Patients </w:t>
        </w:r>
        <w:proofErr w:type="gramStart"/>
        <w:r w:rsidRPr="00DF7D84">
          <w:rPr>
            <w:lang w:val="en-US"/>
          </w:rPr>
          <w:t>With</w:t>
        </w:r>
        <w:proofErr w:type="gramEnd"/>
        <w:r w:rsidRPr="00DF7D84">
          <w:rPr>
            <w:lang w:val="en-US"/>
          </w:rPr>
          <w:t xml:space="preserve"> Advanced Cancer: A Systematic Review and Meta-analysis // JAMA Oncol. 2016. Vol. 2, № 12. P. 1607–1616.</w:t>
        </w:r>
      </w:hyperlink>
    </w:p>
    <w:p w14:paraId="0000023E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1">
        <w:r w:rsidRPr="00DF7D84">
          <w:rPr>
            <w:lang w:val="en-US"/>
          </w:rPr>
          <w:t>46.</w:t>
        </w:r>
        <w:r w:rsidRPr="00DF7D84">
          <w:rPr>
            <w:lang w:val="en-US"/>
          </w:rPr>
          <w:tab/>
          <w:t xml:space="preserve">Cukier P. et al. Endocrine side effects of cancer immunotherapy // Endocr. Relat. Cancer. 2017. </w:t>
        </w:r>
        <w:r w:rsidRPr="2D7A03AF">
          <w:t>Vol. 24, № 12. P. T331–T347.</w:t>
        </w:r>
      </w:hyperlink>
    </w:p>
    <w:p w14:paraId="0000023F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2">
        <w:r w:rsidRPr="00DF7D84">
          <w:rPr>
            <w:lang w:val="en-US"/>
          </w:rPr>
          <w:t>47.</w:t>
        </w:r>
        <w:r w:rsidRPr="00DF7D84">
          <w:rPr>
            <w:lang w:val="en-US"/>
          </w:rPr>
          <w:tab/>
          <w:t xml:space="preserve">Faje A. Immunotherapy and hypophysitis: clinical presentation, treatment, and biologic insights // Pituitary. </w:t>
        </w:r>
        <w:r w:rsidRPr="2D7A03AF">
          <w:t>2016. Vol. 19, № 1. P. 82–92.</w:t>
        </w:r>
      </w:hyperlink>
    </w:p>
    <w:p w14:paraId="00000240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3">
        <w:r w:rsidRPr="00DF7D84">
          <w:rPr>
            <w:lang w:val="en-US"/>
          </w:rPr>
          <w:t>48.</w:t>
        </w:r>
        <w:r w:rsidRPr="00DF7D84">
          <w:rPr>
            <w:lang w:val="en-US"/>
          </w:rPr>
          <w:tab/>
          <w:t xml:space="preserve">Corsello S.M. et al. Endocrine side effects induced by immune checkpoint inhibitors // J. Clin. Endocrinol. Metab. 2013. </w:t>
        </w:r>
        <w:r w:rsidRPr="2D7A03AF">
          <w:t>Vol. 98, № 4. P. 1361–1375.</w:t>
        </w:r>
      </w:hyperlink>
    </w:p>
    <w:p w14:paraId="00000241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64">
        <w:r w:rsidRPr="00DF7D84">
          <w:rPr>
            <w:lang w:val="en-US"/>
          </w:rPr>
          <w:t>49.</w:t>
        </w:r>
        <w:r w:rsidRPr="00DF7D84">
          <w:rPr>
            <w:lang w:val="en-US"/>
          </w:rPr>
          <w:tab/>
          <w:t xml:space="preserve">González-Rodríguez E., Rodríguez-Abreu D., Spanish Group for Cancer Immuno-Biotherapy (GETICA). Immune Checkpoint Inhibitors: Review and Management of Endocrine Adverse Events // </w:t>
        </w:r>
        <w:proofErr w:type="gramStart"/>
        <w:r w:rsidRPr="00DF7D84">
          <w:rPr>
            <w:lang w:val="en-US"/>
          </w:rPr>
          <w:t>The</w:t>
        </w:r>
        <w:proofErr w:type="gramEnd"/>
        <w:r w:rsidRPr="00DF7D84">
          <w:rPr>
            <w:lang w:val="en-US"/>
          </w:rPr>
          <w:t xml:space="preserve"> Oncologist. 2016. Vol. 21, № 7. P. 804–816.</w:t>
        </w:r>
      </w:hyperlink>
    </w:p>
    <w:p w14:paraId="00000242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5">
        <w:r w:rsidRPr="00DF7D84">
          <w:rPr>
            <w:lang w:val="en-US"/>
          </w:rPr>
          <w:t>50.</w:t>
        </w:r>
        <w:r w:rsidRPr="00DF7D84">
          <w:rPr>
            <w:lang w:val="en-US"/>
          </w:rPr>
          <w:tab/>
          <w:t xml:space="preserve">Lee H. et al. Characterization of Thyroid Disorders in Patients Receiving Immune Checkpoint Inhibition Therapy // Cancer Immunol. Res. 2017. Vol. 5, № 12. </w:t>
        </w:r>
        <w:r w:rsidRPr="2D7A03AF">
          <w:t>P. 1133–1140.</w:t>
        </w:r>
      </w:hyperlink>
    </w:p>
    <w:p w14:paraId="00000243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6">
        <w:r w:rsidRPr="00DF7D84">
          <w:rPr>
            <w:lang w:val="en-US"/>
          </w:rPr>
          <w:t>51.</w:t>
        </w:r>
        <w:r w:rsidRPr="00DF7D84">
          <w:rPr>
            <w:lang w:val="en-US"/>
          </w:rPr>
          <w:tab/>
          <w:t xml:space="preserve">de Filette J. et al. Incidence of Thyroid-Related Adverse Events in Melanoma Patients Treated </w:t>
        </w:r>
        <w:proofErr w:type="gramStart"/>
        <w:r w:rsidRPr="00DF7D84">
          <w:rPr>
            <w:lang w:val="en-US"/>
          </w:rPr>
          <w:t>With</w:t>
        </w:r>
        <w:proofErr w:type="gramEnd"/>
        <w:r w:rsidRPr="00DF7D84">
          <w:rPr>
            <w:lang w:val="en-US"/>
          </w:rPr>
          <w:t xml:space="preserve"> Pembrolizumab // J. Clin. Endocrinol. Metab. 2016. </w:t>
        </w:r>
        <w:r w:rsidRPr="2D7A03AF">
          <w:t>Vol. 101, № 11. P. 4431–4439.</w:t>
        </w:r>
      </w:hyperlink>
    </w:p>
    <w:p w14:paraId="00000244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7">
        <w:r w:rsidRPr="00DF7D84">
          <w:rPr>
            <w:lang w:val="en-US"/>
          </w:rPr>
          <w:t>52.</w:t>
        </w:r>
        <w:r w:rsidRPr="00DF7D84">
          <w:rPr>
            <w:lang w:val="en-US"/>
          </w:rPr>
          <w:tab/>
          <w:t xml:space="preserve">Suzman D.L. et al. Hepatotoxicity of immune checkpoint inhibitors: An evolving picture of risk associated with a vital class of immunotherapy agents // Liver Int. Off. J. Int. </w:t>
        </w:r>
        <w:r w:rsidRPr="2D7A03AF">
          <w:t>Assoc. Study Liver. 2018. Vol. 38, № 6. P. 976–987.</w:t>
        </w:r>
      </w:hyperlink>
    </w:p>
    <w:p w14:paraId="00000245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8">
        <w:r w:rsidRPr="00DF7D84">
          <w:rPr>
            <w:lang w:val="en-US"/>
          </w:rPr>
          <w:t>53.</w:t>
        </w:r>
        <w:r w:rsidRPr="00DF7D84">
          <w:rPr>
            <w:lang w:val="en-US"/>
          </w:rPr>
          <w:tab/>
          <w:t xml:space="preserve">Mahmood S.S. et al. Myocarditis in Patients Treated With Immune Checkpoint Inhibitors // J. Am. </w:t>
        </w:r>
        <w:r w:rsidRPr="2D7A03AF">
          <w:t>Coll. Cardiol. 2018. Vol. 71, № 16. P. 1755–1764.</w:t>
        </w:r>
      </w:hyperlink>
    </w:p>
    <w:p w14:paraId="00000246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69">
        <w:r w:rsidRPr="00DF7D84">
          <w:rPr>
            <w:lang w:val="en-US"/>
          </w:rPr>
          <w:t>54.</w:t>
        </w:r>
        <w:r w:rsidRPr="00DF7D84">
          <w:rPr>
            <w:lang w:val="en-US"/>
          </w:rPr>
          <w:tab/>
          <w:t xml:space="preserve">Johnson D.B. et al. Fulminant Myocarditis with Combination Immune Checkpoint Blockade // N. Engl. J. Med. 2016. Vol. 375, № 18. </w:t>
        </w:r>
        <w:r w:rsidRPr="2D7A03AF">
          <w:t>P. 1749–1755.</w:t>
        </w:r>
      </w:hyperlink>
    </w:p>
    <w:p w14:paraId="00000247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0">
        <w:r w:rsidRPr="00DF7D84">
          <w:rPr>
            <w:lang w:val="en-US"/>
          </w:rPr>
          <w:t>55.</w:t>
        </w:r>
        <w:r w:rsidRPr="00DF7D84">
          <w:rPr>
            <w:lang w:val="en-US"/>
          </w:rPr>
          <w:tab/>
          <w:t>Moslehi J.J. et al. Increased reporting of fatal immune checkpoint inhibitor-associated myocarditis // Lancet Lond. Engl. 2018. Vol. 391, № 10124. P. 933.</w:t>
        </w:r>
      </w:hyperlink>
    </w:p>
    <w:p w14:paraId="00000248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71">
        <w:r w:rsidRPr="00DF7D84">
          <w:rPr>
            <w:lang w:val="en-US"/>
          </w:rPr>
          <w:t>56.</w:t>
        </w:r>
        <w:r w:rsidRPr="00DF7D84">
          <w:rPr>
            <w:lang w:val="en-US"/>
          </w:rPr>
          <w:tab/>
          <w:t xml:space="preserve">Heinzerling L. et al. Cardiotoxicity associated with CTLA4 and PD1 blocking immunotherapy // J. Immunother. Cancer. 2016. </w:t>
        </w:r>
        <w:r w:rsidRPr="2D7A03AF">
          <w:t>Vol. 4. P. 50.</w:t>
        </w:r>
      </w:hyperlink>
    </w:p>
    <w:p w14:paraId="00000249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2">
        <w:r w:rsidRPr="00DF7D84">
          <w:rPr>
            <w:lang w:val="en-US"/>
          </w:rPr>
          <w:t>57.</w:t>
        </w:r>
        <w:r w:rsidRPr="00DF7D84">
          <w:rPr>
            <w:lang w:val="en-US"/>
          </w:rPr>
          <w:tab/>
          <w:t>Varricchi G. et al. Cardiotoxicity of immune checkpoint inhibitors // ESMO Open. 2017. Vol. 2, № 4. P. e000247.</w:t>
        </w:r>
      </w:hyperlink>
    </w:p>
    <w:p w14:paraId="0000024A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3">
        <w:r w:rsidRPr="00DF7D84">
          <w:rPr>
            <w:lang w:val="en-US"/>
          </w:rPr>
          <w:t>58.</w:t>
        </w:r>
        <w:r w:rsidRPr="00DF7D84">
          <w:rPr>
            <w:lang w:val="en-US"/>
          </w:rPr>
          <w:tab/>
          <w:t>Touat M. et al. Neurological toxicities associated with immune-checkpoint inhibitors // Curr. Opin. Neurol. 2017. Vol. 30, № 6. P. 659–668.</w:t>
        </w:r>
      </w:hyperlink>
    </w:p>
    <w:p w14:paraId="0000024B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4">
        <w:r w:rsidRPr="00DF7D84">
          <w:rPr>
            <w:lang w:val="en-US"/>
          </w:rPr>
          <w:t>59.</w:t>
        </w:r>
        <w:r w:rsidRPr="00DF7D84">
          <w:rPr>
            <w:lang w:val="en-US"/>
          </w:rPr>
          <w:tab/>
          <w:t>Kao J.C. et al. Neurological Complications Associated With Anti-Programmed Death 1 (PD-1) Antibodies // JAMA Neurol. 2017. Vol. 74, № 10. P. 1216–1222.</w:t>
        </w:r>
      </w:hyperlink>
    </w:p>
    <w:p w14:paraId="0000024C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75">
        <w:r w:rsidRPr="00DF7D84">
          <w:rPr>
            <w:lang w:val="en-US"/>
          </w:rPr>
          <w:t>60.</w:t>
        </w:r>
        <w:r w:rsidRPr="00DF7D84">
          <w:rPr>
            <w:lang w:val="en-US"/>
          </w:rPr>
          <w:tab/>
          <w:t xml:space="preserve">Astaras C. et al. Neurological Adverse Events Associated with Immune Checkpoint Inhibitors: Diagnosis and Management // Curr. Neurol. </w:t>
        </w:r>
        <w:r w:rsidRPr="2D7A03AF">
          <w:t>Neurosci. Rep. 2018. Vol. 18, № 1. P. 3.</w:t>
        </w:r>
      </w:hyperlink>
    </w:p>
    <w:p w14:paraId="0000024D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6">
        <w:r w:rsidRPr="00DF7D84">
          <w:rPr>
            <w:lang w:val="en-US"/>
          </w:rPr>
          <w:t>61.</w:t>
        </w:r>
        <w:r w:rsidRPr="00DF7D84">
          <w:rPr>
            <w:lang w:val="en-US"/>
          </w:rPr>
          <w:tab/>
          <w:t>Common Terminology Criteria for Adverse Events (CTCAE). 2017. P. 155.</w:t>
        </w:r>
      </w:hyperlink>
    </w:p>
    <w:p w14:paraId="0000024E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77">
        <w:r w:rsidRPr="00DF7D84">
          <w:rPr>
            <w:lang w:val="en-US"/>
          </w:rPr>
          <w:t>62.</w:t>
        </w:r>
        <w:r w:rsidRPr="00DF7D84">
          <w:rPr>
            <w:lang w:val="en-US"/>
          </w:rPr>
          <w:tab/>
          <w:t xml:space="preserve">Xu Y. et al. Predictive Biomarkers of Immune Checkpoint Inhibitors-Related Toxicities // Front. Immunol. 2020. </w:t>
        </w:r>
        <w:r w:rsidRPr="2D7A03AF">
          <w:t>Vol. 11. P. 2023.</w:t>
        </w:r>
      </w:hyperlink>
    </w:p>
    <w:p w14:paraId="0000024F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78">
        <w:r w:rsidRPr="00DF7D84">
          <w:rPr>
            <w:lang w:val="en-US"/>
          </w:rPr>
          <w:t>63.</w:t>
        </w:r>
        <w:r w:rsidRPr="00DF7D84">
          <w:rPr>
            <w:lang w:val="en-US"/>
          </w:rPr>
          <w:tab/>
          <w:t>Schindler K. et al. Correlation of absolute and relative eosinophil counts with immune-related adverse events in melanoma patients treated with ipilimumab. // J. Clin. Oncol. 2014. Vol. 32, № 15_suppl. P. 9096–9096.</w:t>
        </w:r>
      </w:hyperlink>
    </w:p>
    <w:p w14:paraId="00000250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79">
        <w:r w:rsidRPr="00DF7D84">
          <w:rPr>
            <w:lang w:val="en-US"/>
          </w:rPr>
          <w:t>64.</w:t>
        </w:r>
        <w:r w:rsidRPr="00DF7D84">
          <w:rPr>
            <w:lang w:val="en-US"/>
          </w:rPr>
          <w:tab/>
          <w:t xml:space="preserve">Valpione S. et al. Sex and interleukin-6 are prognostic factors for autoimmune toxicity following treatment with anti-CTLA4 blockade // J. Transl. </w:t>
        </w:r>
        <w:r w:rsidRPr="2D7A03AF">
          <w:lastRenderedPageBreak/>
          <w:t>Med. 2018. Vol. 16, № 1. P. 94.</w:t>
        </w:r>
      </w:hyperlink>
    </w:p>
    <w:p w14:paraId="00000251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0">
        <w:r w:rsidRPr="00DF7D84">
          <w:rPr>
            <w:lang w:val="en-US"/>
          </w:rPr>
          <w:t>65.</w:t>
        </w:r>
        <w:r w:rsidRPr="00DF7D84">
          <w:rPr>
            <w:lang w:val="en-US"/>
          </w:rPr>
          <w:tab/>
          <w:t xml:space="preserve">Callahan M.K. et al. Evaluation of serum IL-17 levels during ipilimumab therapy: Correlation with colitis. // J. Clin. </w:t>
        </w:r>
        <w:r w:rsidRPr="2D7A03AF">
          <w:t>Oncol. 2011. Vol. 29, № 15_suppl. P. 2505–2505.</w:t>
        </w:r>
      </w:hyperlink>
    </w:p>
    <w:p w14:paraId="00000252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1">
        <w:r w:rsidRPr="00DF7D84">
          <w:rPr>
            <w:lang w:val="en-US"/>
          </w:rPr>
          <w:t>66.</w:t>
        </w:r>
        <w:r w:rsidRPr="00DF7D84">
          <w:rPr>
            <w:lang w:val="en-US"/>
          </w:rPr>
          <w:tab/>
          <w:t>Tarhini A.A. et al. Baseline circulating IL-17 predicts toxicity while TGF-</w:t>
        </w:r>
        <w:r w:rsidRPr="2D7A03AF">
          <w:t>β</w:t>
        </w:r>
        <w:r w:rsidRPr="00DF7D84">
          <w:rPr>
            <w:lang w:val="en-US"/>
          </w:rPr>
          <w:t xml:space="preserve">1 and IL-10 are prognostic of relapse in ipilimumab neoadjuvant therapy of melanoma // J. Immunother. Cancer. 2015. </w:t>
        </w:r>
        <w:r w:rsidRPr="2D7A03AF">
          <w:t>Vol. 3. P. 39.</w:t>
        </w:r>
      </w:hyperlink>
    </w:p>
    <w:p w14:paraId="00000253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82">
        <w:r w:rsidRPr="00DF7D84">
          <w:rPr>
            <w:lang w:val="en-US"/>
          </w:rPr>
          <w:t>67.</w:t>
        </w:r>
        <w:r w:rsidRPr="00DF7D84">
          <w:rPr>
            <w:lang w:val="en-US"/>
          </w:rPr>
          <w:tab/>
          <w:t>Daly L.E. et al. The impact of body composition parameters on ipilimumab toxicity and survival in patients with metastatic melanoma // Br. J. Cancer. 2017. Vol. 116, № 3. P. 310–317.</w:t>
        </w:r>
      </w:hyperlink>
    </w:p>
    <w:p w14:paraId="00000254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3">
        <w:r w:rsidRPr="00DF7D84">
          <w:rPr>
            <w:lang w:val="en-US"/>
          </w:rPr>
          <w:t>68.</w:t>
        </w:r>
        <w:r w:rsidRPr="00DF7D84">
          <w:rPr>
            <w:lang w:val="en-US"/>
          </w:rPr>
          <w:tab/>
          <w:t xml:space="preserve">Fujisawa Y. et al. Fluctuations in routine blood count might signal severe immune-related adverse events in melanoma patients treated with nivolumab // J. Dermatol. Sci. 2017. Vol. 88, № 2. </w:t>
        </w:r>
        <w:r w:rsidRPr="2D7A03AF">
          <w:t>P. 225–231.</w:t>
        </w:r>
      </w:hyperlink>
    </w:p>
    <w:p w14:paraId="00000255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4">
        <w:r w:rsidRPr="00DF7D84">
          <w:rPr>
            <w:lang w:val="en-US"/>
          </w:rPr>
          <w:t>69.</w:t>
        </w:r>
        <w:r w:rsidRPr="00DF7D84">
          <w:rPr>
            <w:lang w:val="en-US"/>
          </w:rPr>
          <w:tab/>
          <w:t xml:space="preserve">Nakamura Y. et al. Correlation between blood cell count and outcome of melanoma patients treated with anti-PD-1 antibodies // Jpn. J. Clin. </w:t>
        </w:r>
        <w:r w:rsidRPr="2D7A03AF">
          <w:t>Oncol. 2019. Vol. 49, № 5. P. 431–437.</w:t>
        </w:r>
      </w:hyperlink>
    </w:p>
    <w:p w14:paraId="00000256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85">
        <w:r w:rsidRPr="2D7A03AF">
          <w:t>70.</w:t>
        </w:r>
        <w:r>
          <w:tab/>
        </w:r>
        <w:r w:rsidRPr="2D7A03AF">
          <w:t xml:space="preserve">Жукова Н. et al. Предиктивные маркёры развития иммуноопосредованных нежелательных явлений: 1 // Вопросы Онкологии. 2022. </w:t>
        </w:r>
        <w:r w:rsidRPr="00DF7D84">
          <w:rPr>
            <w:lang w:val="en-US"/>
          </w:rPr>
          <w:t>Vol. 68, № 1. P. 29–33.</w:t>
        </w:r>
      </w:hyperlink>
    </w:p>
    <w:p w14:paraId="00000257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6">
        <w:r w:rsidRPr="00DF7D84">
          <w:rPr>
            <w:lang w:val="en-US"/>
          </w:rPr>
          <w:t>71.</w:t>
        </w:r>
        <w:r w:rsidRPr="00DF7D84">
          <w:rPr>
            <w:lang w:val="en-US"/>
          </w:rPr>
          <w:tab/>
          <w:t xml:space="preserve">Toi Y. et al. Profiling Preexisting Antibodies in Patients Treated With Anti-PD-1 Therapy for Advanced Non-Small Cell Lung Cancer // JAMA Oncol. 2019. </w:t>
        </w:r>
        <w:r w:rsidRPr="2D7A03AF">
          <w:t>Vol. 5, № 3. P. 376–383.</w:t>
        </w:r>
      </w:hyperlink>
    </w:p>
    <w:p w14:paraId="00000258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7">
        <w:r w:rsidRPr="00DF7D84">
          <w:rPr>
            <w:lang w:val="en-US"/>
          </w:rPr>
          <w:t>72.</w:t>
        </w:r>
        <w:r w:rsidRPr="00DF7D84">
          <w:rPr>
            <w:lang w:val="en-US"/>
          </w:rPr>
          <w:tab/>
          <w:t xml:space="preserve">Duma N. et al. Sex Differences in Tolerability to Anti-Programmed Cell Death Protein 1 Therapy in Patients with Metastatic Melanoma and Non-Small Cell Lung Cancer: Are We All Equal? // The Oncologist. </w:t>
        </w:r>
        <w:r w:rsidRPr="2D7A03AF">
          <w:t>2019. Vol. 24, № 11. P. e1148–e1155.</w:t>
        </w:r>
      </w:hyperlink>
    </w:p>
    <w:p w14:paraId="00000259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88">
        <w:r w:rsidRPr="00DF7D84">
          <w:rPr>
            <w:lang w:val="en-US"/>
          </w:rPr>
          <w:t>73.</w:t>
        </w:r>
        <w:r w:rsidRPr="00DF7D84">
          <w:rPr>
            <w:lang w:val="en-US"/>
          </w:rPr>
          <w:tab/>
          <w:t xml:space="preserve">Ferrucci P.F. et al. Baseline neutrophils and derived neutrophil-to-lymphocyte ratio: prognostic relevance in metastatic melanoma patients receiving ipilimumab // Ann. </w:t>
        </w:r>
        <w:r w:rsidRPr="2D7A03AF">
          <w:t>Oncol. Off. J. Eur. Soc. Med. Oncol. 2016. Vol. 27, № 4. P. 732–738.</w:t>
        </w:r>
      </w:hyperlink>
    </w:p>
    <w:p w14:paraId="0000025A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89">
        <w:r w:rsidRPr="00DF7D84">
          <w:rPr>
            <w:lang w:val="en-US"/>
          </w:rPr>
          <w:t>74.</w:t>
        </w:r>
        <w:r w:rsidRPr="00DF7D84">
          <w:rPr>
            <w:lang w:val="en-US"/>
          </w:rPr>
          <w:tab/>
          <w:t>Heppt M.V. et al. Prognostic factors and outcomes in metastatic uveal melanoma treated with programmed cell death-1 or combined PD-1/cytotoxic T-lymphocyte antigen-4 inhibition // Eur. J. Cancer Oxf. Engl. 1990. 2017. Vol. 82. P. 56–65.</w:t>
        </w:r>
      </w:hyperlink>
    </w:p>
    <w:p w14:paraId="0000025B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90">
        <w:r w:rsidRPr="00DF7D84">
          <w:rPr>
            <w:lang w:val="en-US"/>
          </w:rPr>
          <w:t>75.</w:t>
        </w:r>
        <w:r w:rsidRPr="00DF7D84">
          <w:rPr>
            <w:lang w:val="en-US"/>
          </w:rPr>
          <w:tab/>
          <w:t xml:space="preserve">Lim S.Y. et al. Circulating Cytokines Predict Immune-Related Toxicity in Melanoma Patients Receiving Anti-PD-1-Based Immunotherapy // Clin. Cancer Res. Off. J. Am. </w:t>
        </w:r>
        <w:r w:rsidRPr="2D7A03AF">
          <w:t>Assoc. Cancer Res. 2019. Vol. 25, № 5. P. 1557–1563.</w:t>
        </w:r>
      </w:hyperlink>
    </w:p>
    <w:p w14:paraId="0000025C" w14:textId="77777777" w:rsidR="00DC0EE8" w:rsidRPr="00DF7D84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  <w:rPr>
          <w:lang w:val="en-US"/>
        </w:rPr>
      </w:pPr>
      <w:hyperlink r:id="rId191">
        <w:r w:rsidRPr="00DF7D84">
          <w:rPr>
            <w:lang w:val="en-US"/>
          </w:rPr>
          <w:t>76.</w:t>
        </w:r>
        <w:r w:rsidRPr="00DF7D84">
          <w:rPr>
            <w:lang w:val="en-US"/>
          </w:rPr>
          <w:tab/>
          <w:t>Menzies A.M. et al. Anti-PD-1 therapy in patients with advanced melanoma and preexisting autoimmune disorders or major toxicity with ipilimumab // Ann. Oncol. Elsevier, 2017. Vol. 28, № 2. P. 368–376.</w:t>
        </w:r>
      </w:hyperlink>
    </w:p>
    <w:p w14:paraId="0000025D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92">
        <w:r w:rsidRPr="00DF7D84">
          <w:rPr>
            <w:lang w:val="en-US"/>
          </w:rPr>
          <w:t>77.</w:t>
        </w:r>
        <w:r w:rsidRPr="00DF7D84">
          <w:rPr>
            <w:lang w:val="en-US"/>
          </w:rPr>
          <w:tab/>
          <w:t xml:space="preserve">Bowyer S. et al. Efficacy and toxicity of treatment with the anti-CTLA-4 antibody ipilimumab in patients with metastatic melanoma after prior anti-PD-1 therapy // Br. J. Cancer. 2016. </w:t>
        </w:r>
        <w:r w:rsidRPr="2D7A03AF">
          <w:t>Vol. 114, № 10. P. 1084–1089.</w:t>
        </w:r>
      </w:hyperlink>
    </w:p>
    <w:p w14:paraId="0000025E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93">
        <w:r w:rsidRPr="00DF7D84">
          <w:rPr>
            <w:lang w:val="en-US"/>
          </w:rPr>
          <w:t>78.</w:t>
        </w:r>
        <w:r w:rsidRPr="00DF7D84">
          <w:rPr>
            <w:lang w:val="en-US"/>
          </w:rPr>
          <w:tab/>
          <w:t xml:space="preserve">de Ruiter E.J. et al. Comparison of three PD-L1 immunohistochemical assays in head and neck squamous cell carcinoma (HNSCC): </w:t>
        </w:r>
        <w:proofErr w:type="gramStart"/>
        <w:r w:rsidRPr="00DF7D84">
          <w:rPr>
            <w:lang w:val="en-US"/>
          </w:rPr>
          <w:t>6</w:t>
        </w:r>
        <w:proofErr w:type="gramEnd"/>
        <w:r w:rsidRPr="00DF7D84">
          <w:rPr>
            <w:lang w:val="en-US"/>
          </w:rPr>
          <w:t xml:space="preserve"> // Mod. Pathol. Nature Publishing Group, 2021. Vol. 34, № 6. </w:t>
        </w:r>
        <w:r w:rsidRPr="2D7A03AF">
          <w:t>P. 1125–1132.</w:t>
        </w:r>
      </w:hyperlink>
    </w:p>
    <w:p w14:paraId="0000025F" w14:textId="77777777" w:rsidR="00DC0EE8" w:rsidRDefault="00DF7D84" w:rsidP="2D7A03AF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jc w:val="left"/>
      </w:pPr>
      <w:hyperlink r:id="rId194">
        <w:r w:rsidRPr="00DF7D84">
          <w:rPr>
            <w:lang w:val="en-US"/>
          </w:rPr>
          <w:t>79.</w:t>
        </w:r>
        <w:r w:rsidRPr="00DF7D84">
          <w:rPr>
            <w:lang w:val="en-US"/>
          </w:rPr>
          <w:tab/>
          <w:t xml:space="preserve">Eisenhauer E.A. et al. New response evaluation criteria in solid tumours: Revised RECIST guideline (version 1.1) // Eur. J. Cancer. </w:t>
        </w:r>
        <w:r w:rsidRPr="2D7A03AF">
          <w:t>Elsevier, 2009. Vol. 45, № 2. P. 228–247.</w:t>
        </w:r>
      </w:hyperlink>
    </w:p>
    <w:p w14:paraId="00000260" w14:textId="77777777" w:rsidR="00DC0EE8" w:rsidRDefault="00DC0EE8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</w:pPr>
    </w:p>
    <w:p w14:paraId="00000261" w14:textId="77777777" w:rsidR="00DC0EE8" w:rsidRDefault="00DC0EE8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rPr>
          <w:sz w:val="24"/>
          <w:szCs w:val="24"/>
        </w:rPr>
      </w:pPr>
    </w:p>
    <w:p w14:paraId="00000262" w14:textId="77777777" w:rsidR="00DC0EE8" w:rsidRDefault="00DC0EE8">
      <w:pPr>
        <w:widowControl w:val="0"/>
        <w:pBdr>
          <w:top w:val="nil"/>
          <w:left w:val="nil"/>
          <w:bottom w:val="nil"/>
          <w:right w:val="nil"/>
          <w:between w:val="nil"/>
        </w:pBdr>
        <w:ind w:left="264" w:hanging="264"/>
        <w:rPr>
          <w:sz w:val="24"/>
          <w:szCs w:val="24"/>
        </w:rPr>
      </w:pPr>
    </w:p>
    <w:p w14:paraId="00000263" w14:textId="77777777" w:rsidR="00DC0EE8" w:rsidRDefault="00DC0E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p w14:paraId="00000264" w14:textId="77777777" w:rsidR="00DC0EE8" w:rsidRDefault="00DC0E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4"/>
          <w:szCs w:val="24"/>
        </w:rPr>
      </w:pPr>
    </w:p>
    <w:sectPr w:rsidR="00DC0EE8" w:rsidSect="00B22CE4">
      <w:pgSz w:w="11909" w:h="16834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5C203" w14:textId="77777777" w:rsidR="0060492C" w:rsidRDefault="0060492C">
      <w:pPr>
        <w:spacing w:line="240" w:lineRule="auto"/>
      </w:pPr>
      <w:r>
        <w:separator/>
      </w:r>
    </w:p>
  </w:endnote>
  <w:endnote w:type="continuationSeparator" w:id="0">
    <w:p w14:paraId="6DC8CBD1" w14:textId="77777777" w:rsidR="0060492C" w:rsidRDefault="006049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66" w14:textId="78A0E56B" w:rsidR="00DF7D84" w:rsidRDefault="00DF7D84">
    <w:pPr>
      <w:jc w:val="right"/>
      <w:rPr>
        <w:vertAlign w:val="subscript"/>
      </w:rPr>
    </w:pPr>
    <w:r>
      <w:rPr>
        <w:vertAlign w:val="subscript"/>
      </w:rPr>
      <w:fldChar w:fldCharType="begin"/>
    </w:r>
    <w:r>
      <w:rPr>
        <w:vertAlign w:val="subscript"/>
      </w:rPr>
      <w:instrText>PAGE</w:instrText>
    </w:r>
    <w:r>
      <w:rPr>
        <w:vertAlign w:val="subscript"/>
      </w:rPr>
      <w:fldChar w:fldCharType="separate"/>
    </w:r>
    <w:r w:rsidR="003227A6">
      <w:rPr>
        <w:noProof/>
        <w:vertAlign w:val="subscript"/>
      </w:rPr>
      <w:t>21</w:t>
    </w:r>
    <w:r>
      <w:rPr>
        <w:vertAlign w:val="subscri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65" w14:textId="77777777" w:rsidR="00DF7D84" w:rsidRDefault="00DF7D84">
    <w:pPr>
      <w:jc w:val="right"/>
      <w:rPr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BC54E" w14:textId="77777777" w:rsidR="0060492C" w:rsidRDefault="0060492C">
      <w:pPr>
        <w:spacing w:line="240" w:lineRule="auto"/>
      </w:pPr>
      <w:r>
        <w:separator/>
      </w:r>
    </w:p>
  </w:footnote>
  <w:footnote w:type="continuationSeparator" w:id="0">
    <w:p w14:paraId="7D36EE35" w14:textId="77777777" w:rsidR="0060492C" w:rsidRDefault="006049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68" w14:textId="77777777" w:rsidR="00DF7D84" w:rsidRDefault="00DF7D84">
    <w:pPr>
      <w:rPr>
        <w:vertAlign w:val="subscrip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267" w14:textId="77777777" w:rsidR="00DF7D84" w:rsidRDefault="00DF7D84">
    <w:pPr>
      <w:rPr>
        <w:vertAlign w:val="sub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31513"/>
    <w:multiLevelType w:val="multilevel"/>
    <w:tmpl w:val="75A822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013D26"/>
    <w:multiLevelType w:val="multilevel"/>
    <w:tmpl w:val="1A220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FA1F1A"/>
    <w:multiLevelType w:val="multilevel"/>
    <w:tmpl w:val="B276D1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CC3C59"/>
    <w:multiLevelType w:val="hybridMultilevel"/>
    <w:tmpl w:val="D6E24A90"/>
    <w:lvl w:ilvl="0" w:tplc="080C3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01E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0C7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84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46F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80A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1A83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A1A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24D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93554"/>
    <w:multiLevelType w:val="multilevel"/>
    <w:tmpl w:val="3AAEABA6"/>
    <w:lvl w:ilvl="0">
      <w:start w:val="1"/>
      <w:numFmt w:val="bullet"/>
      <w:lvlText w:val="●"/>
      <w:lvlJc w:val="left"/>
      <w:pPr>
        <w:ind w:left="213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8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5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2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50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7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4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71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8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1DE78DA"/>
    <w:multiLevelType w:val="hybridMultilevel"/>
    <w:tmpl w:val="3CB6A29E"/>
    <w:lvl w:ilvl="0" w:tplc="0DA00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0F0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4C37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8AA0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FC19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841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D0A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70D1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3CE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76538D"/>
    <w:multiLevelType w:val="multilevel"/>
    <w:tmpl w:val="38B6F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BF7951"/>
    <w:multiLevelType w:val="multilevel"/>
    <w:tmpl w:val="B7F028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8A01FA0"/>
    <w:multiLevelType w:val="hybridMultilevel"/>
    <w:tmpl w:val="FD0EBCFA"/>
    <w:lvl w:ilvl="0" w:tplc="5358A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6E31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CE9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A52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AD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2EE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10F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E3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B44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34988"/>
    <w:multiLevelType w:val="multilevel"/>
    <w:tmpl w:val="4232FE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EE7DEF"/>
    <w:rsid w:val="003227A6"/>
    <w:rsid w:val="0060492C"/>
    <w:rsid w:val="00B22CE4"/>
    <w:rsid w:val="00DC0EE8"/>
    <w:rsid w:val="00DF7D84"/>
    <w:rsid w:val="099E6C14"/>
    <w:rsid w:val="14EE7DEF"/>
    <w:rsid w:val="2D7A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44360"/>
  <w15:docId w15:val="{19FB84B7-595D-4CA1-A2E6-BF8E42CA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b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i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zotero.org/google-docs/?S6mjPy" TargetMode="External"/><Relationship Id="rId21" Type="http://schemas.openxmlformats.org/officeDocument/2006/relationships/hyperlink" Target="https://www.zotero.org/google-docs/?eWDCZz" TargetMode="External"/><Relationship Id="rId42" Type="http://schemas.openxmlformats.org/officeDocument/2006/relationships/hyperlink" Target="https://www.zotero.org/google-docs/?pzRFCk" TargetMode="External"/><Relationship Id="rId47" Type="http://schemas.openxmlformats.org/officeDocument/2006/relationships/hyperlink" Target="https://www.zotero.org/google-docs/?9zdive" TargetMode="External"/><Relationship Id="rId63" Type="http://schemas.openxmlformats.org/officeDocument/2006/relationships/hyperlink" Target="https://www.zotero.org/google-docs/?veC2cW" TargetMode="External"/><Relationship Id="rId68" Type="http://schemas.openxmlformats.org/officeDocument/2006/relationships/hyperlink" Target="https://www.zotero.org/google-docs/?mocUR9" TargetMode="External"/><Relationship Id="rId84" Type="http://schemas.openxmlformats.org/officeDocument/2006/relationships/hyperlink" Target="https://www.zotero.org/google-docs/?9ejAXB" TargetMode="External"/><Relationship Id="rId89" Type="http://schemas.openxmlformats.org/officeDocument/2006/relationships/hyperlink" Target="https://www.zotero.org/google-docs/?afyJbG" TargetMode="External"/><Relationship Id="rId112" Type="http://schemas.openxmlformats.org/officeDocument/2006/relationships/image" Target="media/image10.png"/><Relationship Id="rId133" Type="http://schemas.openxmlformats.org/officeDocument/2006/relationships/hyperlink" Target="https://www.zotero.org/google-docs/?S6mjPy" TargetMode="External"/><Relationship Id="rId138" Type="http://schemas.openxmlformats.org/officeDocument/2006/relationships/hyperlink" Target="https://www.zotero.org/google-docs/?S6mjPy" TargetMode="External"/><Relationship Id="rId154" Type="http://schemas.openxmlformats.org/officeDocument/2006/relationships/hyperlink" Target="https://www.zotero.org/google-docs/?S6mjPy" TargetMode="External"/><Relationship Id="rId159" Type="http://schemas.openxmlformats.org/officeDocument/2006/relationships/hyperlink" Target="https://www.zotero.org/google-docs/?S6mjPy" TargetMode="External"/><Relationship Id="rId175" Type="http://schemas.openxmlformats.org/officeDocument/2006/relationships/hyperlink" Target="https://www.zotero.org/google-docs/?S6mjPy" TargetMode="External"/><Relationship Id="rId170" Type="http://schemas.openxmlformats.org/officeDocument/2006/relationships/hyperlink" Target="https://www.zotero.org/google-docs/?S6mjPy" TargetMode="External"/><Relationship Id="rId191" Type="http://schemas.openxmlformats.org/officeDocument/2006/relationships/hyperlink" Target="https://www.zotero.org/google-docs/?S6mjPy" TargetMode="External"/><Relationship Id="rId196" Type="http://schemas.openxmlformats.org/officeDocument/2006/relationships/glossaryDocument" Target="glossary/document.xml"/><Relationship Id="rId16" Type="http://schemas.openxmlformats.org/officeDocument/2006/relationships/hyperlink" Target="https://www.zotero.org/google-docs/?59fbVs" TargetMode="External"/><Relationship Id="rId107" Type="http://schemas.openxmlformats.org/officeDocument/2006/relationships/hyperlink" Target="https://www.zotero.org/google-docs/?kCwczA" TargetMode="External"/><Relationship Id="rId11" Type="http://schemas.openxmlformats.org/officeDocument/2006/relationships/hyperlink" Target="https://www.zotero.org/google-docs/?5A84q3" TargetMode="External"/><Relationship Id="rId32" Type="http://schemas.openxmlformats.org/officeDocument/2006/relationships/hyperlink" Target="https://www.zotero.org/google-docs/?76ocWJ" TargetMode="External"/><Relationship Id="rId37" Type="http://schemas.openxmlformats.org/officeDocument/2006/relationships/hyperlink" Target="https://www.zotero.org/google-docs/?HlhFxq" TargetMode="External"/><Relationship Id="rId53" Type="http://schemas.openxmlformats.org/officeDocument/2006/relationships/hyperlink" Target="https://www.zotero.org/google-docs/?O3IuzY" TargetMode="External"/><Relationship Id="rId58" Type="http://schemas.openxmlformats.org/officeDocument/2006/relationships/hyperlink" Target="https://www.zotero.org/google-docs/?1DAf9p" TargetMode="External"/><Relationship Id="rId74" Type="http://schemas.openxmlformats.org/officeDocument/2006/relationships/hyperlink" Target="https://www.zotero.org/google-docs/?pLertu" TargetMode="External"/><Relationship Id="rId79" Type="http://schemas.openxmlformats.org/officeDocument/2006/relationships/hyperlink" Target="https://www.zotero.org/google-docs/?EYrLaz" TargetMode="External"/><Relationship Id="rId102" Type="http://schemas.openxmlformats.org/officeDocument/2006/relationships/hyperlink" Target="https://www.zotero.org/google-docs/?6Hmkmp" TargetMode="External"/><Relationship Id="rId123" Type="http://schemas.openxmlformats.org/officeDocument/2006/relationships/hyperlink" Target="https://www.zotero.org/google-docs/?S6mjPy" TargetMode="External"/><Relationship Id="rId128" Type="http://schemas.openxmlformats.org/officeDocument/2006/relationships/hyperlink" Target="https://www.zotero.org/google-docs/?S6mjPy" TargetMode="External"/><Relationship Id="rId144" Type="http://schemas.openxmlformats.org/officeDocument/2006/relationships/hyperlink" Target="https://www.zotero.org/google-docs/?S6mjPy" TargetMode="External"/><Relationship Id="rId149" Type="http://schemas.openxmlformats.org/officeDocument/2006/relationships/hyperlink" Target="https://www.zotero.org/google-docs/?S6mjPy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zotero.org/google-docs/?XpE9qS" TargetMode="External"/><Relationship Id="rId95" Type="http://schemas.openxmlformats.org/officeDocument/2006/relationships/hyperlink" Target="https://www.zotero.org/google-docs/?AEWkRg" TargetMode="External"/><Relationship Id="rId160" Type="http://schemas.openxmlformats.org/officeDocument/2006/relationships/hyperlink" Target="https://www.zotero.org/google-docs/?S6mjPy" TargetMode="External"/><Relationship Id="rId165" Type="http://schemas.openxmlformats.org/officeDocument/2006/relationships/hyperlink" Target="https://www.zotero.org/google-docs/?S6mjPy" TargetMode="External"/><Relationship Id="rId181" Type="http://schemas.openxmlformats.org/officeDocument/2006/relationships/hyperlink" Target="https://www.zotero.org/google-docs/?S6mjPy" TargetMode="External"/><Relationship Id="rId186" Type="http://schemas.openxmlformats.org/officeDocument/2006/relationships/hyperlink" Target="https://www.zotero.org/google-docs/?S6mjPy" TargetMode="External"/><Relationship Id="rId22" Type="http://schemas.openxmlformats.org/officeDocument/2006/relationships/hyperlink" Target="https://www.zotero.org/google-docs/?G5GOMl" TargetMode="External"/><Relationship Id="rId27" Type="http://schemas.openxmlformats.org/officeDocument/2006/relationships/hyperlink" Target="https://www.zotero.org/google-docs/?aJiB26" TargetMode="External"/><Relationship Id="rId43" Type="http://schemas.openxmlformats.org/officeDocument/2006/relationships/hyperlink" Target="https://www.zotero.org/google-docs/?928UoB" TargetMode="External"/><Relationship Id="rId48" Type="http://schemas.openxmlformats.org/officeDocument/2006/relationships/hyperlink" Target="https://www.zotero.org/google-docs/?iZigjP" TargetMode="External"/><Relationship Id="rId64" Type="http://schemas.openxmlformats.org/officeDocument/2006/relationships/hyperlink" Target="https://www.zotero.org/google-docs/?VrlRD2" TargetMode="External"/><Relationship Id="rId69" Type="http://schemas.openxmlformats.org/officeDocument/2006/relationships/hyperlink" Target="https://www.zotero.org/google-docs/?MitYUG" TargetMode="External"/><Relationship Id="rId113" Type="http://schemas.openxmlformats.org/officeDocument/2006/relationships/image" Target="media/image11.png"/><Relationship Id="rId118" Type="http://schemas.openxmlformats.org/officeDocument/2006/relationships/hyperlink" Target="https://www.zotero.org/google-docs/?S6mjPy" TargetMode="External"/><Relationship Id="rId134" Type="http://schemas.openxmlformats.org/officeDocument/2006/relationships/hyperlink" Target="https://www.zotero.org/google-docs/?S6mjPy" TargetMode="External"/><Relationship Id="rId139" Type="http://schemas.openxmlformats.org/officeDocument/2006/relationships/hyperlink" Target="https://www.zotero.org/google-docs/?S6mjPy" TargetMode="External"/><Relationship Id="rId80" Type="http://schemas.openxmlformats.org/officeDocument/2006/relationships/hyperlink" Target="https://www.zotero.org/google-docs/?vEXE9B" TargetMode="External"/><Relationship Id="rId85" Type="http://schemas.openxmlformats.org/officeDocument/2006/relationships/hyperlink" Target="https://www.zotero.org/google-docs/?4It9or" TargetMode="External"/><Relationship Id="rId150" Type="http://schemas.openxmlformats.org/officeDocument/2006/relationships/hyperlink" Target="https://www.zotero.org/google-docs/?S6mjPy" TargetMode="External"/><Relationship Id="rId155" Type="http://schemas.openxmlformats.org/officeDocument/2006/relationships/hyperlink" Target="https://www.zotero.org/google-docs/?S6mjPy" TargetMode="External"/><Relationship Id="rId171" Type="http://schemas.openxmlformats.org/officeDocument/2006/relationships/hyperlink" Target="https://www.zotero.org/google-docs/?S6mjPy" TargetMode="External"/><Relationship Id="rId176" Type="http://schemas.openxmlformats.org/officeDocument/2006/relationships/hyperlink" Target="https://www.zotero.org/google-docs/?S6mjPy" TargetMode="External"/><Relationship Id="rId192" Type="http://schemas.openxmlformats.org/officeDocument/2006/relationships/hyperlink" Target="https://www.zotero.org/google-docs/?S6mjPy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s://www.zotero.org/google-docs/?rfSUaN" TargetMode="External"/><Relationship Id="rId17" Type="http://schemas.openxmlformats.org/officeDocument/2006/relationships/hyperlink" Target="https://www.zotero.org/google-docs/?K8x4K0" TargetMode="External"/><Relationship Id="rId33" Type="http://schemas.openxmlformats.org/officeDocument/2006/relationships/hyperlink" Target="https://www.zotero.org/google-docs/?uPu3Az" TargetMode="External"/><Relationship Id="rId38" Type="http://schemas.openxmlformats.org/officeDocument/2006/relationships/hyperlink" Target="https://www.zotero.org/google-docs/?sQUDiW" TargetMode="External"/><Relationship Id="rId59" Type="http://schemas.openxmlformats.org/officeDocument/2006/relationships/hyperlink" Target="https://www.zotero.org/google-docs/?SklY2D" TargetMode="External"/><Relationship Id="rId103" Type="http://schemas.openxmlformats.org/officeDocument/2006/relationships/image" Target="media/image5.png"/><Relationship Id="rId108" Type="http://schemas.openxmlformats.org/officeDocument/2006/relationships/image" Target="media/image7.png"/><Relationship Id="rId124" Type="http://schemas.openxmlformats.org/officeDocument/2006/relationships/hyperlink" Target="https://www.zotero.org/google-docs/?S6mjPy" TargetMode="External"/><Relationship Id="rId129" Type="http://schemas.openxmlformats.org/officeDocument/2006/relationships/hyperlink" Target="https://www.zotero.org/google-docs/?S6mjPy" TargetMode="External"/><Relationship Id="rId54" Type="http://schemas.openxmlformats.org/officeDocument/2006/relationships/hyperlink" Target="https://www.zotero.org/google-docs/?Pqz5hv" TargetMode="External"/><Relationship Id="rId70" Type="http://schemas.openxmlformats.org/officeDocument/2006/relationships/hyperlink" Target="https://www.zotero.org/google-docs/?sy9xjK" TargetMode="External"/><Relationship Id="rId75" Type="http://schemas.openxmlformats.org/officeDocument/2006/relationships/hyperlink" Target="https://www.zotero.org/google-docs/?XMAVWv" TargetMode="External"/><Relationship Id="rId91" Type="http://schemas.openxmlformats.org/officeDocument/2006/relationships/hyperlink" Target="https://www.zotero.org/google-docs/?Tck0yK" TargetMode="External"/><Relationship Id="rId96" Type="http://schemas.openxmlformats.org/officeDocument/2006/relationships/hyperlink" Target="https://www.zotero.org/google-docs/?WmSbNo" TargetMode="External"/><Relationship Id="rId140" Type="http://schemas.openxmlformats.org/officeDocument/2006/relationships/hyperlink" Target="https://www.zotero.org/google-docs/?S6mjPy" TargetMode="External"/><Relationship Id="rId145" Type="http://schemas.openxmlformats.org/officeDocument/2006/relationships/hyperlink" Target="https://www.zotero.org/google-docs/?S6mjPy" TargetMode="External"/><Relationship Id="rId161" Type="http://schemas.openxmlformats.org/officeDocument/2006/relationships/hyperlink" Target="https://www.zotero.org/google-docs/?S6mjPy" TargetMode="External"/><Relationship Id="rId166" Type="http://schemas.openxmlformats.org/officeDocument/2006/relationships/hyperlink" Target="https://www.zotero.org/google-docs/?S6mjPy" TargetMode="External"/><Relationship Id="rId182" Type="http://schemas.openxmlformats.org/officeDocument/2006/relationships/hyperlink" Target="https://www.zotero.org/google-docs/?S6mjPy" TargetMode="External"/><Relationship Id="rId187" Type="http://schemas.openxmlformats.org/officeDocument/2006/relationships/hyperlink" Target="https://www.zotero.org/google-docs/?S6mjP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zotero.org/google-docs/?aPUPpy" TargetMode="External"/><Relationship Id="rId28" Type="http://schemas.openxmlformats.org/officeDocument/2006/relationships/image" Target="media/image1.png"/><Relationship Id="rId49" Type="http://schemas.openxmlformats.org/officeDocument/2006/relationships/hyperlink" Target="https://www.zotero.org/google-docs/?BBwGa3" TargetMode="External"/><Relationship Id="rId114" Type="http://schemas.openxmlformats.org/officeDocument/2006/relationships/image" Target="media/image12.png"/><Relationship Id="rId119" Type="http://schemas.openxmlformats.org/officeDocument/2006/relationships/hyperlink" Target="https://www.zotero.org/google-docs/?S6mjPy" TargetMode="External"/><Relationship Id="rId44" Type="http://schemas.openxmlformats.org/officeDocument/2006/relationships/hyperlink" Target="https://www.zotero.org/google-docs/?XMsO4G" TargetMode="External"/><Relationship Id="rId60" Type="http://schemas.openxmlformats.org/officeDocument/2006/relationships/hyperlink" Target="https://www.zotero.org/google-docs/?mINjP1" TargetMode="External"/><Relationship Id="rId65" Type="http://schemas.openxmlformats.org/officeDocument/2006/relationships/hyperlink" Target="https://www.zotero.org/google-docs/?98P2e8" TargetMode="External"/><Relationship Id="rId81" Type="http://schemas.openxmlformats.org/officeDocument/2006/relationships/hyperlink" Target="https://www.zotero.org/google-docs/?ygtZQv" TargetMode="External"/><Relationship Id="rId86" Type="http://schemas.openxmlformats.org/officeDocument/2006/relationships/hyperlink" Target="https://www.zotero.org/google-docs/?76LXaC" TargetMode="External"/><Relationship Id="rId130" Type="http://schemas.openxmlformats.org/officeDocument/2006/relationships/hyperlink" Target="https://www.zotero.org/google-docs/?S6mjPy" TargetMode="External"/><Relationship Id="rId135" Type="http://schemas.openxmlformats.org/officeDocument/2006/relationships/hyperlink" Target="https://www.zotero.org/google-docs/?S6mjPy" TargetMode="External"/><Relationship Id="rId151" Type="http://schemas.openxmlformats.org/officeDocument/2006/relationships/hyperlink" Target="https://www.zotero.org/google-docs/?S6mjPy" TargetMode="External"/><Relationship Id="rId156" Type="http://schemas.openxmlformats.org/officeDocument/2006/relationships/hyperlink" Target="https://www.zotero.org/google-docs/?S6mjPy" TargetMode="External"/><Relationship Id="rId177" Type="http://schemas.openxmlformats.org/officeDocument/2006/relationships/hyperlink" Target="https://www.zotero.org/google-docs/?S6mjPy" TargetMode="External"/><Relationship Id="rId172" Type="http://schemas.openxmlformats.org/officeDocument/2006/relationships/hyperlink" Target="https://www.zotero.org/google-docs/?S6mjPy" TargetMode="External"/><Relationship Id="rId193" Type="http://schemas.openxmlformats.org/officeDocument/2006/relationships/hyperlink" Target="https://www.zotero.org/google-docs/?S6mjPy" TargetMode="External"/><Relationship Id="rId13" Type="http://schemas.openxmlformats.org/officeDocument/2006/relationships/hyperlink" Target="https://www.zotero.org/google-docs/?6Ljk6Y" TargetMode="External"/><Relationship Id="rId18" Type="http://schemas.openxmlformats.org/officeDocument/2006/relationships/hyperlink" Target="https://www.zotero.org/google-docs/?dKchME" TargetMode="External"/><Relationship Id="rId39" Type="http://schemas.openxmlformats.org/officeDocument/2006/relationships/hyperlink" Target="https://www.zotero.org/google-docs/?EWJ5EH" TargetMode="External"/><Relationship Id="rId109" Type="http://schemas.openxmlformats.org/officeDocument/2006/relationships/image" Target="media/image8.png"/><Relationship Id="rId34" Type="http://schemas.openxmlformats.org/officeDocument/2006/relationships/image" Target="media/image2.png"/><Relationship Id="rId50" Type="http://schemas.openxmlformats.org/officeDocument/2006/relationships/hyperlink" Target="https://www.zotero.org/google-docs/?fUzLOS" TargetMode="External"/><Relationship Id="rId55" Type="http://schemas.openxmlformats.org/officeDocument/2006/relationships/hyperlink" Target="https://www.zotero.org/google-docs/?FxRU0k" TargetMode="External"/><Relationship Id="rId76" Type="http://schemas.openxmlformats.org/officeDocument/2006/relationships/hyperlink" Target="https://www.zotero.org/google-docs/?cR2gDE" TargetMode="External"/><Relationship Id="rId97" Type="http://schemas.openxmlformats.org/officeDocument/2006/relationships/hyperlink" Target="https://www.zotero.org/google-docs/?HzdAXZ" TargetMode="External"/><Relationship Id="rId104" Type="http://schemas.openxmlformats.org/officeDocument/2006/relationships/image" Target="media/image6.png"/><Relationship Id="rId120" Type="http://schemas.openxmlformats.org/officeDocument/2006/relationships/hyperlink" Target="https://www.zotero.org/google-docs/?S6mjPy" TargetMode="External"/><Relationship Id="rId125" Type="http://schemas.openxmlformats.org/officeDocument/2006/relationships/hyperlink" Target="https://www.zotero.org/google-docs/?S6mjPy" TargetMode="External"/><Relationship Id="rId141" Type="http://schemas.openxmlformats.org/officeDocument/2006/relationships/hyperlink" Target="https://www.zotero.org/google-docs/?S6mjPy" TargetMode="External"/><Relationship Id="rId146" Type="http://schemas.openxmlformats.org/officeDocument/2006/relationships/hyperlink" Target="https://www.zotero.org/google-docs/?S6mjPy" TargetMode="External"/><Relationship Id="rId167" Type="http://schemas.openxmlformats.org/officeDocument/2006/relationships/hyperlink" Target="https://www.zotero.org/google-docs/?S6mjPy" TargetMode="External"/><Relationship Id="rId188" Type="http://schemas.openxmlformats.org/officeDocument/2006/relationships/hyperlink" Target="https://www.zotero.org/google-docs/?S6mjPy" TargetMode="External"/><Relationship Id="rId7" Type="http://schemas.openxmlformats.org/officeDocument/2006/relationships/header" Target="header1.xml"/><Relationship Id="rId71" Type="http://schemas.openxmlformats.org/officeDocument/2006/relationships/hyperlink" Target="https://www.zotero.org/google-docs/?XsVv3N" TargetMode="External"/><Relationship Id="rId92" Type="http://schemas.openxmlformats.org/officeDocument/2006/relationships/hyperlink" Target="https://www.zotero.org/google-docs/?iE6t18" TargetMode="External"/><Relationship Id="rId162" Type="http://schemas.openxmlformats.org/officeDocument/2006/relationships/hyperlink" Target="https://www.zotero.org/google-docs/?S6mjPy" TargetMode="External"/><Relationship Id="rId183" Type="http://schemas.openxmlformats.org/officeDocument/2006/relationships/hyperlink" Target="https://www.zotero.org/google-docs/?S6mjPy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zotero.org/google-docs/?gLQI3M" TargetMode="External"/><Relationship Id="rId24" Type="http://schemas.openxmlformats.org/officeDocument/2006/relationships/hyperlink" Target="https://www.zotero.org/google-docs/?j36KK2" TargetMode="External"/><Relationship Id="rId40" Type="http://schemas.openxmlformats.org/officeDocument/2006/relationships/hyperlink" Target="https://www.zotero.org/google-docs/?UaApRJ" TargetMode="External"/><Relationship Id="rId45" Type="http://schemas.openxmlformats.org/officeDocument/2006/relationships/hyperlink" Target="https://www.zotero.org/google-docs/?e7jags" TargetMode="External"/><Relationship Id="rId66" Type="http://schemas.openxmlformats.org/officeDocument/2006/relationships/hyperlink" Target="https://www.zotero.org/google-docs/?XQIpvf" TargetMode="External"/><Relationship Id="rId87" Type="http://schemas.openxmlformats.org/officeDocument/2006/relationships/hyperlink" Target="https://www.zotero.org/google-docs/?1LTsb5" TargetMode="External"/><Relationship Id="rId110" Type="http://schemas.openxmlformats.org/officeDocument/2006/relationships/image" Target="media/image9.png"/><Relationship Id="rId115" Type="http://schemas.openxmlformats.org/officeDocument/2006/relationships/image" Target="media/image13.png"/><Relationship Id="rId131" Type="http://schemas.openxmlformats.org/officeDocument/2006/relationships/hyperlink" Target="https://www.zotero.org/google-docs/?S6mjPy" TargetMode="External"/><Relationship Id="rId136" Type="http://schemas.openxmlformats.org/officeDocument/2006/relationships/hyperlink" Target="https://www.zotero.org/google-docs/?S6mjPy" TargetMode="External"/><Relationship Id="rId157" Type="http://schemas.openxmlformats.org/officeDocument/2006/relationships/hyperlink" Target="https://www.zotero.org/google-docs/?S6mjPy" TargetMode="External"/><Relationship Id="rId178" Type="http://schemas.openxmlformats.org/officeDocument/2006/relationships/hyperlink" Target="https://www.zotero.org/google-docs/?S6mjPy" TargetMode="External"/><Relationship Id="rId61" Type="http://schemas.openxmlformats.org/officeDocument/2006/relationships/hyperlink" Target="https://www.zotero.org/google-docs/?8FJojZ" TargetMode="External"/><Relationship Id="rId82" Type="http://schemas.openxmlformats.org/officeDocument/2006/relationships/hyperlink" Target="https://www.zotero.org/google-docs/?wyBUco" TargetMode="External"/><Relationship Id="rId152" Type="http://schemas.openxmlformats.org/officeDocument/2006/relationships/hyperlink" Target="https://www.zotero.org/google-docs/?S6mjPy" TargetMode="External"/><Relationship Id="rId173" Type="http://schemas.openxmlformats.org/officeDocument/2006/relationships/hyperlink" Target="https://www.zotero.org/google-docs/?S6mjPy" TargetMode="External"/><Relationship Id="rId194" Type="http://schemas.openxmlformats.org/officeDocument/2006/relationships/hyperlink" Target="https://www.zotero.org/google-docs/?S6mjPy" TargetMode="External"/><Relationship Id="rId19" Type="http://schemas.openxmlformats.org/officeDocument/2006/relationships/hyperlink" Target="https://www.zotero.org/google-docs/?B6dR7H" TargetMode="External"/><Relationship Id="rId14" Type="http://schemas.openxmlformats.org/officeDocument/2006/relationships/hyperlink" Target="https://www.zotero.org/google-docs/?4vcGvY" TargetMode="External"/><Relationship Id="rId30" Type="http://schemas.openxmlformats.org/officeDocument/2006/relationships/hyperlink" Target="https://www.zotero.org/google-docs/?uDUtCd" TargetMode="External"/><Relationship Id="rId35" Type="http://schemas.openxmlformats.org/officeDocument/2006/relationships/image" Target="media/image3.png"/><Relationship Id="rId56" Type="http://schemas.openxmlformats.org/officeDocument/2006/relationships/hyperlink" Target="https://www.zotero.org/google-docs/?kRQiug" TargetMode="External"/><Relationship Id="rId77" Type="http://schemas.openxmlformats.org/officeDocument/2006/relationships/hyperlink" Target="https://www.zotero.org/google-docs/?vJptlr" TargetMode="External"/><Relationship Id="rId100" Type="http://schemas.openxmlformats.org/officeDocument/2006/relationships/hyperlink" Target="https://www.zotero.org/google-docs/?PyZOSF" TargetMode="External"/><Relationship Id="rId105" Type="http://schemas.openxmlformats.org/officeDocument/2006/relationships/hyperlink" Target="https://www.zotero.org/google-docs/?xA2H8h" TargetMode="External"/><Relationship Id="rId126" Type="http://schemas.openxmlformats.org/officeDocument/2006/relationships/hyperlink" Target="https://www.zotero.org/google-docs/?S6mjPy" TargetMode="External"/><Relationship Id="rId147" Type="http://schemas.openxmlformats.org/officeDocument/2006/relationships/hyperlink" Target="https://www.zotero.org/google-docs/?S6mjPy" TargetMode="External"/><Relationship Id="rId168" Type="http://schemas.openxmlformats.org/officeDocument/2006/relationships/hyperlink" Target="https://www.zotero.org/google-docs/?S6mjPy" TargetMode="External"/><Relationship Id="rId8" Type="http://schemas.openxmlformats.org/officeDocument/2006/relationships/footer" Target="footer1.xml"/><Relationship Id="rId51" Type="http://schemas.openxmlformats.org/officeDocument/2006/relationships/hyperlink" Target="https://www.zotero.org/google-docs/?A6hfkR" TargetMode="External"/><Relationship Id="rId72" Type="http://schemas.openxmlformats.org/officeDocument/2006/relationships/hyperlink" Target="https://www.zotero.org/google-docs/?8sOEXQ" TargetMode="External"/><Relationship Id="rId93" Type="http://schemas.openxmlformats.org/officeDocument/2006/relationships/hyperlink" Target="https://www.zotero.org/google-docs/?rWvVaL" TargetMode="External"/><Relationship Id="rId98" Type="http://schemas.openxmlformats.org/officeDocument/2006/relationships/hyperlink" Target="https://www.zotero.org/google-docs/?I1ipv0" TargetMode="External"/><Relationship Id="rId121" Type="http://schemas.openxmlformats.org/officeDocument/2006/relationships/hyperlink" Target="https://www.zotero.org/google-docs/?S6mjPy" TargetMode="External"/><Relationship Id="rId142" Type="http://schemas.openxmlformats.org/officeDocument/2006/relationships/hyperlink" Target="https://www.zotero.org/google-docs/?S6mjPy" TargetMode="External"/><Relationship Id="rId163" Type="http://schemas.openxmlformats.org/officeDocument/2006/relationships/hyperlink" Target="https://www.zotero.org/google-docs/?S6mjPy" TargetMode="External"/><Relationship Id="rId184" Type="http://schemas.openxmlformats.org/officeDocument/2006/relationships/hyperlink" Target="https://www.zotero.org/google-docs/?S6mjPy" TargetMode="External"/><Relationship Id="rId189" Type="http://schemas.openxmlformats.org/officeDocument/2006/relationships/hyperlink" Target="https://www.zotero.org/google-docs/?S6mjPy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zotero.org/google-docs/?4SC755" TargetMode="External"/><Relationship Id="rId46" Type="http://schemas.openxmlformats.org/officeDocument/2006/relationships/image" Target="media/image4.png"/><Relationship Id="rId67" Type="http://schemas.openxmlformats.org/officeDocument/2006/relationships/hyperlink" Target="https://www.zotero.org/google-docs/?t76hOc" TargetMode="External"/><Relationship Id="rId116" Type="http://schemas.openxmlformats.org/officeDocument/2006/relationships/hyperlink" Target="https://www.zotero.org/google-docs/?S6mjPy" TargetMode="External"/><Relationship Id="rId137" Type="http://schemas.openxmlformats.org/officeDocument/2006/relationships/hyperlink" Target="https://www.zotero.org/google-docs/?S6mjPy" TargetMode="External"/><Relationship Id="rId158" Type="http://schemas.openxmlformats.org/officeDocument/2006/relationships/hyperlink" Target="https://www.zotero.org/google-docs/?S6mjPy" TargetMode="External"/><Relationship Id="rId20" Type="http://schemas.openxmlformats.org/officeDocument/2006/relationships/hyperlink" Target="https://www.zotero.org/google-docs/?LosWe2" TargetMode="External"/><Relationship Id="rId41" Type="http://schemas.openxmlformats.org/officeDocument/2006/relationships/hyperlink" Target="https://www.zotero.org/google-docs/?SdyrRS" TargetMode="External"/><Relationship Id="rId62" Type="http://schemas.openxmlformats.org/officeDocument/2006/relationships/hyperlink" Target="https://www.zotero.org/google-docs/?ocmfiF" TargetMode="External"/><Relationship Id="rId83" Type="http://schemas.openxmlformats.org/officeDocument/2006/relationships/hyperlink" Target="https://www.zotero.org/google-docs/?i0dHNi" TargetMode="External"/><Relationship Id="rId88" Type="http://schemas.openxmlformats.org/officeDocument/2006/relationships/hyperlink" Target="https://www.zotero.org/google-docs/?mOWu6O" TargetMode="External"/><Relationship Id="rId111" Type="http://schemas.openxmlformats.org/officeDocument/2006/relationships/hyperlink" Target="https://www.zotero.org/google-docs/?1Px2N8" TargetMode="External"/><Relationship Id="rId132" Type="http://schemas.openxmlformats.org/officeDocument/2006/relationships/hyperlink" Target="https://www.zotero.org/google-docs/?S6mjPy" TargetMode="External"/><Relationship Id="rId153" Type="http://schemas.openxmlformats.org/officeDocument/2006/relationships/hyperlink" Target="https://www.zotero.org/google-docs/?S6mjPy" TargetMode="External"/><Relationship Id="rId174" Type="http://schemas.openxmlformats.org/officeDocument/2006/relationships/hyperlink" Target="https://www.zotero.org/google-docs/?S6mjPy" TargetMode="External"/><Relationship Id="rId179" Type="http://schemas.openxmlformats.org/officeDocument/2006/relationships/hyperlink" Target="https://www.zotero.org/google-docs/?S6mjPy" TargetMode="External"/><Relationship Id="rId195" Type="http://schemas.openxmlformats.org/officeDocument/2006/relationships/fontTable" Target="fontTable.xml"/><Relationship Id="rId190" Type="http://schemas.openxmlformats.org/officeDocument/2006/relationships/hyperlink" Target="https://www.zotero.org/google-docs/?S6mjPy" TargetMode="External"/><Relationship Id="rId15" Type="http://schemas.openxmlformats.org/officeDocument/2006/relationships/hyperlink" Target="https://www.zotero.org/google-docs/?e215Lt" TargetMode="External"/><Relationship Id="rId36" Type="http://schemas.openxmlformats.org/officeDocument/2006/relationships/hyperlink" Target="https://www.zotero.org/google-docs/?4IVGaV" TargetMode="External"/><Relationship Id="rId57" Type="http://schemas.openxmlformats.org/officeDocument/2006/relationships/hyperlink" Target="https://www.zotero.org/google-docs/?gKzxaD" TargetMode="External"/><Relationship Id="rId106" Type="http://schemas.openxmlformats.org/officeDocument/2006/relationships/hyperlink" Target="https://www.zotero.org/google-docs/?0OMm8Z" TargetMode="External"/><Relationship Id="rId127" Type="http://schemas.openxmlformats.org/officeDocument/2006/relationships/hyperlink" Target="https://www.zotero.org/google-docs/?S6mjPy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www.zotero.org/google-docs/?7AOkI0" TargetMode="External"/><Relationship Id="rId52" Type="http://schemas.openxmlformats.org/officeDocument/2006/relationships/hyperlink" Target="https://www.zotero.org/google-docs/?BST2BQ" TargetMode="External"/><Relationship Id="rId73" Type="http://schemas.openxmlformats.org/officeDocument/2006/relationships/hyperlink" Target="https://www.zotero.org/google-docs/?SEjDNo" TargetMode="External"/><Relationship Id="rId78" Type="http://schemas.openxmlformats.org/officeDocument/2006/relationships/hyperlink" Target="https://www.zotero.org/google-docs/?y72Mw6" TargetMode="External"/><Relationship Id="rId94" Type="http://schemas.openxmlformats.org/officeDocument/2006/relationships/hyperlink" Target="https://www.zotero.org/google-docs/?5j4VXB" TargetMode="External"/><Relationship Id="rId99" Type="http://schemas.openxmlformats.org/officeDocument/2006/relationships/hyperlink" Target="https://www.zotero.org/google-docs/?aSKPOl" TargetMode="External"/><Relationship Id="rId101" Type="http://schemas.openxmlformats.org/officeDocument/2006/relationships/hyperlink" Target="https://www.zotero.org/google-docs/?WZRhfA" TargetMode="External"/><Relationship Id="rId122" Type="http://schemas.openxmlformats.org/officeDocument/2006/relationships/hyperlink" Target="https://www.zotero.org/google-docs/?S6mjPy" TargetMode="External"/><Relationship Id="rId143" Type="http://schemas.openxmlformats.org/officeDocument/2006/relationships/hyperlink" Target="https://www.zotero.org/google-docs/?S6mjPy" TargetMode="External"/><Relationship Id="rId148" Type="http://schemas.openxmlformats.org/officeDocument/2006/relationships/hyperlink" Target="https://www.zotero.org/google-docs/?S6mjPy" TargetMode="External"/><Relationship Id="rId164" Type="http://schemas.openxmlformats.org/officeDocument/2006/relationships/hyperlink" Target="https://www.zotero.org/google-docs/?S6mjPy" TargetMode="External"/><Relationship Id="rId169" Type="http://schemas.openxmlformats.org/officeDocument/2006/relationships/hyperlink" Target="https://www.zotero.org/google-docs/?S6mjPy" TargetMode="External"/><Relationship Id="rId185" Type="http://schemas.openxmlformats.org/officeDocument/2006/relationships/hyperlink" Target="https://www.zotero.org/google-docs/?S6mjPy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hyperlink" Target="https://www.zotero.org/google-docs/?S6mjPy" TargetMode="External"/><Relationship Id="rId26" Type="http://schemas.openxmlformats.org/officeDocument/2006/relationships/hyperlink" Target="https://www.zotero.org/google-docs/?n4YbNY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2C66"/>
    <w:rsid w:val="00CA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14749</Words>
  <Characters>84073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 Заря</cp:lastModifiedBy>
  <cp:revision>2</cp:revision>
  <dcterms:created xsi:type="dcterms:W3CDTF">2022-05-26T08:29:00Z</dcterms:created>
  <dcterms:modified xsi:type="dcterms:W3CDTF">2022-05-26T08:29:00Z</dcterms:modified>
</cp:coreProperties>
</file>