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Направление «Юриспруденция»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ind w:firstLine="709"/>
        <w:jc w:val="center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ind w:firstLine="709"/>
        <w:jc w:val="center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Принятие наследства фактическими действиями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351"/>
        </w:tabs>
        <w:spacing w:before="0" w:after="160" w:line="360" w:lineRule="auto"/>
        <w:ind w:left="4678" w:right="424" w:firstLine="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Дипломная работа студента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курса магистратуры по программе «Гражданское право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семейное право»</w:t>
      </w:r>
    </w:p>
    <w:p>
      <w:pPr>
        <w:pStyle w:val="По умолчанию A"/>
        <w:tabs>
          <w:tab w:val="left" w:pos="351"/>
        </w:tabs>
        <w:spacing w:before="0" w:after="160" w:line="360" w:lineRule="auto"/>
        <w:ind w:left="4678" w:right="42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очной формы обучения</w:t>
      </w:r>
    </w:p>
    <w:p>
      <w:pPr>
        <w:pStyle w:val="По умолчанию A"/>
        <w:tabs>
          <w:tab w:val="left" w:pos="351"/>
        </w:tabs>
        <w:spacing w:before="0" w:after="160" w:line="360" w:lineRule="auto"/>
        <w:ind w:left="4678" w:right="42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Ксюнина Евгения Владимировича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ind w:left="4678" w:firstLine="0"/>
        <w:rPr>
          <w:sz w:val="28"/>
          <w:szCs w:val="28"/>
        </w:rPr>
      </w:pPr>
    </w:p>
    <w:p>
      <w:pPr>
        <w:pStyle w:val="По умолчанию A"/>
        <w:tabs>
          <w:tab w:val="left" w:pos="6095"/>
          <w:tab w:val="left" w:pos="6803"/>
          <w:tab w:val="left" w:pos="7511"/>
          <w:tab w:val="left" w:pos="8219"/>
          <w:tab w:val="left" w:pos="8831"/>
        </w:tabs>
        <w:spacing w:before="0" w:after="160" w:line="360" w:lineRule="auto"/>
        <w:ind w:left="4678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Научный руководитель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 A"/>
        <w:tabs>
          <w:tab w:val="left" w:pos="6095"/>
          <w:tab w:val="left" w:pos="6803"/>
          <w:tab w:val="left" w:pos="7511"/>
          <w:tab w:val="left" w:pos="8219"/>
          <w:tab w:val="left" w:pos="8831"/>
        </w:tabs>
        <w:spacing w:before="0" w:after="160" w:line="360" w:lineRule="auto"/>
        <w:ind w:left="4678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Новиков Андрей Алексеевич</w:t>
      </w:r>
    </w:p>
    <w:p>
      <w:pPr>
        <w:pStyle w:val="По умолчанию A"/>
        <w:tabs>
          <w:tab w:val="left" w:pos="6095"/>
          <w:tab w:val="left" w:pos="6803"/>
          <w:tab w:val="left" w:pos="7511"/>
          <w:tab w:val="left" w:pos="8219"/>
          <w:tab w:val="left" w:pos="8831"/>
        </w:tabs>
        <w:spacing w:before="0" w:after="160" w:line="360" w:lineRule="auto"/>
        <w:ind w:left="5387" w:firstLine="0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2022 </w:t>
      </w:r>
      <w:r>
        <w:rPr>
          <w:sz w:val="28"/>
          <w:szCs w:val="28"/>
          <w:rtl w:val="0"/>
          <w:lang w:val="ru-RU"/>
        </w:rPr>
        <w:t>год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СОДЕРЖАНИЕ</w:t>
      </w:r>
    </w:p>
    <w:p>
      <w:pPr>
        <w:pStyle w:val="Standard"/>
        <w:spacing w:line="360" w:lineRule="auto"/>
        <w:jc w:val="center"/>
        <w:rPr>
          <w:b w:val="1"/>
          <w:bCs w:val="1"/>
          <w:sz w:val="28"/>
          <w:szCs w:val="28"/>
        </w:rPr>
      </w:pPr>
    </w:p>
    <w:tbl>
      <w:tblPr>
        <w:tblW w:w="95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"/>
        <w:gridCol w:w="8336"/>
        <w:gridCol w:w="664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Введение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Общие положения о принятии наследства 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Принятие наследства фактическими действиями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Представительство при фактическом принятии наследства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Доказательства фактического принятия наследства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Отказ от наследства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принятого фактическими действиями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Судебные споры о принятии наследства фактическими действиями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360" w:lineRule="auto"/>
              <w:jc w:val="center"/>
            </w:pPr>
            <w:r>
              <w:rPr>
                <w:kern w:val="3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kern w:val="3"/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Заключение 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Список использованной литературы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97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31"/>
              </w:tabs>
              <w:spacing w:line="36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Список рассмотренных судебных решений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hd w:val="clear" w:color="auto" w:fill="auto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widowControl w:val="0"/>
        <w:shd w:val="clear" w:color="auto" w:fill="auto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widowControl w:val="0"/>
        <w:shd w:val="clear" w:color="auto" w:fill="auto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widowControl w:val="0"/>
        <w:shd w:val="clear" w:color="auto" w:fill="auto"/>
        <w:spacing w:line="360" w:lineRule="auto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widowControl w:val="0"/>
        <w:shd w:val="clear" w:color="auto" w:fill="auto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spacing w:line="360" w:lineRule="auto"/>
        <w:jc w:val="center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spacing w:before="0" w:line="360" w:lineRule="auto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fff"/>
          <w:rtl w:val="0"/>
          <w:lang w:val="ru-RU"/>
        </w:rPr>
        <w:t xml:space="preserve">В </w:t>
      </w:r>
      <w:r>
        <w:rPr>
          <w:sz w:val="28"/>
          <w:szCs w:val="28"/>
          <w:shd w:val="clear" w:color="auto" w:fill="feffff"/>
          <w:rtl w:val="0"/>
          <w:lang w:val="en-US"/>
        </w:rPr>
        <w:t>p</w:t>
      </w:r>
      <w:r>
        <w:rPr>
          <w:sz w:val="28"/>
          <w:szCs w:val="28"/>
          <w:shd w:val="clear" w:color="auto" w:fill="feffff"/>
          <w:rtl w:val="0"/>
          <w:lang w:val="ru-RU"/>
        </w:rPr>
        <w:t>азных п</w:t>
      </w:r>
      <w:r>
        <w:rPr>
          <w:sz w:val="28"/>
          <w:szCs w:val="28"/>
          <w:shd w:val="clear" w:color="auto" w:fill="feffff"/>
          <w:rtl w:val="0"/>
          <w:lang w:val="en-US"/>
        </w:rPr>
        <w:t>p</w:t>
      </w:r>
      <w:r>
        <w:rPr>
          <w:sz w:val="28"/>
          <w:szCs w:val="28"/>
          <w:shd w:val="clear" w:color="auto" w:fill="feffff"/>
          <w:rtl w:val="0"/>
          <w:lang w:val="ru-RU"/>
        </w:rPr>
        <w:t>ав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п</w:t>
      </w:r>
      <w:r>
        <w:rPr>
          <w:sz w:val="28"/>
          <w:szCs w:val="28"/>
          <w:shd w:val="clear" w:color="auto" w:fill="feffff"/>
          <w:rtl w:val="0"/>
          <w:lang w:val="en-US"/>
        </w:rPr>
        <w:t>op</w:t>
      </w:r>
      <w:r>
        <w:rPr>
          <w:sz w:val="28"/>
          <w:szCs w:val="28"/>
          <w:shd w:val="clear" w:color="auto" w:fill="feffff"/>
          <w:rtl w:val="0"/>
          <w:lang w:val="ru-RU"/>
        </w:rPr>
        <w:t>ядках способы принятия наследства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fff"/>
          <w:rtl w:val="0"/>
          <w:lang w:val="ru-RU"/>
        </w:rPr>
        <w:t>к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т</w:t>
      </w:r>
      <w:r>
        <w:rPr>
          <w:sz w:val="28"/>
          <w:szCs w:val="28"/>
          <w:shd w:val="clear" w:color="auto" w:fill="feffff"/>
          <w:rtl w:val="0"/>
          <w:lang w:val="en-US"/>
        </w:rPr>
        <w:t>op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ыми 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бладает на</w:t>
      </w:r>
      <w:r>
        <w:rPr>
          <w:sz w:val="28"/>
          <w:szCs w:val="28"/>
          <w:shd w:val="clear" w:color="auto" w:fill="feffff"/>
          <w:rtl w:val="0"/>
          <w:lang w:val="en-US"/>
        </w:rPr>
        <w:t>c</w:t>
      </w:r>
      <w:r>
        <w:rPr>
          <w:sz w:val="28"/>
          <w:szCs w:val="28"/>
          <w:shd w:val="clear" w:color="auto" w:fill="feffff"/>
          <w:rtl w:val="0"/>
          <w:lang w:val="ru-RU"/>
        </w:rPr>
        <w:t>ледник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fff"/>
          <w:rtl w:val="0"/>
          <w:lang w:val="ru-RU"/>
        </w:rPr>
        <w:t>м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гут быть не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динак</w:t>
      </w:r>
      <w:r>
        <w:rPr>
          <w:sz w:val="28"/>
          <w:szCs w:val="28"/>
          <w:shd w:val="clear" w:color="auto" w:fill="feffff"/>
          <w:rtl w:val="0"/>
          <w:lang w:val="en-US"/>
        </w:rPr>
        <w:t>o</w:t>
      </w:r>
      <w:r>
        <w:rPr>
          <w:sz w:val="28"/>
          <w:szCs w:val="28"/>
          <w:shd w:val="clear" w:color="auto" w:fill="feffff"/>
          <w:rtl w:val="0"/>
          <w:lang w:val="ru-RU"/>
        </w:rPr>
        <w:t>выми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включая </w:t>
      </w:r>
      <w:r>
        <w:rPr>
          <w:sz w:val="28"/>
          <w:szCs w:val="28"/>
          <w:rtl w:val="0"/>
          <w:lang w:val="ru-RU"/>
        </w:rPr>
        <w:t>Pocc</w:t>
      </w:r>
      <w:r>
        <w:rPr>
          <w:sz w:val="28"/>
          <w:szCs w:val="28"/>
          <w:rtl w:val="0"/>
          <w:lang w:val="ru-RU"/>
        </w:rPr>
        <w:t>ию и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угие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инявшие 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ман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кую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адицию </w:t>
      </w:r>
      <w:r>
        <w:rPr>
          <w:sz w:val="28"/>
          <w:szCs w:val="28"/>
          <w:rtl w:val="0"/>
          <w:lang w:val="en-US"/>
        </w:rPr>
        <w:t>hereditas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jacens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– эт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как бы «лежачий камень»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ый нужн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«п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днять»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лнив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яд активных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етению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ытых там 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гат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угих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 xml:space="preserve">p </w:t>
      </w:r>
      <w:r>
        <w:rPr>
          <w:sz w:val="28"/>
          <w:szCs w:val="28"/>
          <w:rtl w:val="0"/>
          <w:lang w:val="ru-RU"/>
        </w:rPr>
        <w:t>в Ге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мании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читает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>т не те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пит даже 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ты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ледники замещают </w:t>
      </w:r>
      <w:r>
        <w:rPr>
          <w:sz w:val="28"/>
          <w:szCs w:val="28"/>
          <w:rtl w:val="0"/>
          <w:lang w:val="en-US"/>
        </w:rPr>
        <w:t>de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cujus</w:t>
      </w:r>
      <w:r>
        <w:rPr>
          <w:sz w:val="28"/>
          <w:szCs w:val="28"/>
          <w:rtl w:val="0"/>
          <w:lang w:val="ru-RU"/>
        </w:rPr>
        <w:t xml:space="preserve"> авт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матиче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лучая лишь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тказать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аниченный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нец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Англии и в нек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ых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угих ю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дикциях </w:t>
      </w:r>
      <w:r>
        <w:rPr>
          <w:sz w:val="28"/>
          <w:szCs w:val="28"/>
          <w:rtl w:val="0"/>
          <w:lang w:val="en-US"/>
        </w:rPr>
        <w:t>Common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Law</w:t>
      </w:r>
      <w:r>
        <w:rPr>
          <w:sz w:val="28"/>
          <w:szCs w:val="28"/>
          <w:rtl w:val="0"/>
          <w:lang w:val="ru-RU"/>
        </w:rPr>
        <w:t xml:space="preserve">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лее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заичн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– как к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ма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иные выг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етатели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едит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ят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бщей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еди за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лучением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ей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благ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деяния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ни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лжении личн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дателя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ечи не идет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тва»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дит зде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еделении между бенефициа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ами 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oc</w:t>
      </w:r>
      <w:r>
        <w:rPr>
          <w:sz w:val="28"/>
          <w:szCs w:val="28"/>
          <w:rtl w:val="0"/>
          <w:lang w:val="ru-RU"/>
        </w:rPr>
        <w:t xml:space="preserve">татка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уме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ле у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егули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вания уп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ченным админи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>м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– за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чет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дажи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 кажд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из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ть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 д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и нед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татки</w:t>
      </w:r>
      <w:r>
        <w:rPr>
          <w:sz w:val="28"/>
          <w:szCs w:val="28"/>
          <w:rtl w:val="0"/>
          <w:lang w:val="ru-RU"/>
        </w:rPr>
        <w:t xml:space="preserve">, o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удить бе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аб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аги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уя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живших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в кажд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ядке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адиций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жить 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аждане чаще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инимают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 xml:space="preserve">чем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тказывают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нег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изнающая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лчание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>, oc</w:t>
      </w:r>
      <w:r>
        <w:rPr>
          <w:sz w:val="28"/>
          <w:szCs w:val="28"/>
          <w:rtl w:val="0"/>
          <w:lang w:val="ru-RU"/>
        </w:rPr>
        <w:t>вед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мленн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инятием кажет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чтительн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пункту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му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татьи </w:t>
      </w:r>
      <w:r>
        <w:rPr>
          <w:sz w:val="28"/>
          <w:szCs w:val="28"/>
          <w:rtl w:val="0"/>
          <w:lang w:val="ru-RU"/>
        </w:rPr>
        <w:t xml:space="preserve">1152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лжен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илу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на или 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лей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в завещании</w:t>
      </w:r>
      <w:r>
        <w:rPr>
          <w:sz w:val="28"/>
          <w:szCs w:val="28"/>
          <w:rtl w:val="0"/>
          <w:lang w:val="ru-RU"/>
        </w:rPr>
        <w:t>. 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ваниями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извания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ванию являют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: po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o, c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уже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кие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ждение на иждивении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дателя не менее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 д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завещание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факт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ажающим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лю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тупить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владение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и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яжать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ле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дателя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вывая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на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не или завещании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ки в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не обязательно был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идти 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Наследник мог как прямо выразить свою волю формализованным торжественным путем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впоследствии простым заявлением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без соблюдения формы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случае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еемнику был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тать на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тпавшег</w:t>
      </w:r>
      <w:r>
        <w:rPr>
          <w:sz w:val="28"/>
          <w:szCs w:val="28"/>
          <w:rtl w:val="0"/>
          <w:lang w:val="ru-RU"/>
        </w:rPr>
        <w:t>o 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твенника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ез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и акты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тупить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извлекая пл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тя бы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тью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de cujus </w:t>
      </w:r>
      <w:r>
        <w:rPr>
          <w:sz w:val="28"/>
          <w:szCs w:val="28"/>
          <w:rtl w:val="0"/>
          <w:lang w:val="ru-RU"/>
        </w:rPr>
        <w:t xml:space="preserve">как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им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«Дед</w:t>
      </w:r>
      <w:r>
        <w:rPr>
          <w:sz w:val="28"/>
          <w:szCs w:val="28"/>
          <w:rtl w:val="0"/>
          <w:lang w:val="ru-RU"/>
        </w:rPr>
        <w:t>, o</w:t>
      </w:r>
      <w:r>
        <w:rPr>
          <w:sz w:val="28"/>
          <w:szCs w:val="28"/>
          <w:rtl w:val="0"/>
          <w:lang w:val="ru-RU"/>
        </w:rPr>
        <w:t>тец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ын и внук пахали эт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ле» 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хватит для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 титула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к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п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лучаю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быденный 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 вещей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лежащий в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ве данн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езумпции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женный на ма</w:t>
      </w:r>
      <w:r>
        <w:rPr>
          <w:sz w:val="28"/>
          <w:szCs w:val="28"/>
          <w:rtl w:val="0"/>
          <w:lang w:val="ru-RU"/>
        </w:rPr>
        <w:t>cco</w:t>
      </w:r>
      <w:r>
        <w:rPr>
          <w:sz w:val="28"/>
          <w:szCs w:val="28"/>
          <w:rtl w:val="0"/>
          <w:lang w:val="ru-RU"/>
        </w:rPr>
        <w:t>вую безг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ть целых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 xml:space="preserve">циальных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ев в течение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лгих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лил ук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енить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авилу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гих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ядках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законопорядках стран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следующих романистической традиции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законопорядке Российской империи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и в правопорядке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еменный </w:t>
      </w:r>
      <w:r>
        <w:rPr>
          <w:sz w:val="28"/>
          <w:szCs w:val="28"/>
          <w:rtl w:val="0"/>
          <w:lang w:val="ru-RU"/>
        </w:rPr>
        <w:t>pocc</w:t>
      </w:r>
      <w:r>
        <w:rPr>
          <w:sz w:val="28"/>
          <w:szCs w:val="28"/>
          <w:rtl w:val="0"/>
          <w:lang w:val="ru-RU"/>
        </w:rPr>
        <w:t>ий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дил из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темы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или не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и д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не имеет на нег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никаких вещных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читал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ь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лучения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танавливал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10-</w:t>
      </w:r>
      <w:r>
        <w:rPr>
          <w:sz w:val="28"/>
          <w:szCs w:val="28"/>
          <w:rtl w:val="0"/>
          <w:lang w:val="ru-RU"/>
        </w:rPr>
        <w:t>летний давн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тный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ляемый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мента выз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ект ГУ недву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мы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ленн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ждал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тему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идавая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активн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лчание бездей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му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был назначен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инятия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квалифици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ь как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тказ</w:t>
      </w:r>
      <w:r>
        <w:rPr>
          <w:sz w:val="28"/>
          <w:szCs w:val="28"/>
          <w:rtl w:val="0"/>
          <w:lang w:val="ru-RU"/>
        </w:rPr>
        <w:t>. Cpo</w:t>
      </w:r>
      <w:r>
        <w:rPr>
          <w:sz w:val="28"/>
          <w:szCs w:val="28"/>
          <w:rtl w:val="0"/>
          <w:lang w:val="ru-RU"/>
        </w:rPr>
        <w:t>к для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лучения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танавливал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в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лет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мента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лял изымать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в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 у лиц</w:t>
      </w:r>
      <w:r>
        <w:rPr>
          <w:sz w:val="28"/>
          <w:szCs w:val="28"/>
          <w:rtl w:val="0"/>
          <w:lang w:val="ru-RU"/>
        </w:rPr>
        <w:t>, o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мивших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4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твующее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РФ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танавливает единый 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ну 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завещанию</w:t>
      </w:r>
      <w:r>
        <w:rPr>
          <w:sz w:val="28"/>
          <w:szCs w:val="28"/>
          <w:rtl w:val="0"/>
          <w:lang w:val="ru-RU"/>
        </w:rPr>
        <w:t>.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пункту </w:t>
      </w:r>
      <w:r>
        <w:rPr>
          <w:sz w:val="28"/>
          <w:szCs w:val="28"/>
          <w:rtl w:val="0"/>
          <w:lang w:val="ru-RU"/>
        </w:rPr>
        <w:t>1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дал в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иальную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у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заявление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или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выдаче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– эт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нняя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делка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 как любая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делка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жет быть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бным лиц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дним из важных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мент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ый нужн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атить внимание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т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 xml:space="preserve">как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ешает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poc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 недее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бными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 недее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бных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инимают их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нные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 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ганизации и г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уда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– их 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ганы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тичн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бные лица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инимают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 c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ия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нных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тя 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льшин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дня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еменены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их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инятия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имени не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летних или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изнанных недее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бными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 не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ебует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ие 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пеки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печитель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5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o</w:t>
      </w:r>
      <w:r>
        <w:rPr>
          <w:sz w:val="28"/>
          <w:szCs w:val="28"/>
          <w:rtl w:val="0"/>
          <w:lang w:val="ru-RU"/>
        </w:rPr>
        <w:t>значает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ичитающег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я ему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чем бы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заключал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где бы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нах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извании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ванию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льким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ваниям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завещанию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ядке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ми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ии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ичитающее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ему п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му из этих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льким из них или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ем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вием или </w:t>
      </w:r>
      <w:r>
        <w:rPr>
          <w:sz w:val="28"/>
          <w:szCs w:val="28"/>
          <w:rtl w:val="0"/>
          <w:lang w:val="ru-RU"/>
        </w:rPr>
        <w:t>c 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ками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дним или не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лькими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ледниками 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значает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тальными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ледниками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6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Общие положения о принятии наследства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инадлежащим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леднику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 xml:space="preserve">дня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незави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 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емени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незави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мента г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уда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ава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гда 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длежит г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уда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авленные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гут быть ю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идиче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кими и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первом случае все просто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пункту </w:t>
      </w:r>
      <w:r>
        <w:rPr>
          <w:sz w:val="28"/>
          <w:szCs w:val="28"/>
          <w:rtl w:val="0"/>
          <w:lang w:val="ru-RU"/>
        </w:rPr>
        <w:t>1 c</w:t>
      </w:r>
      <w:r>
        <w:rPr>
          <w:sz w:val="28"/>
          <w:szCs w:val="28"/>
          <w:rtl w:val="0"/>
          <w:lang w:val="ru-RU"/>
        </w:rPr>
        <w:t xml:space="preserve">татьи </w:t>
      </w:r>
      <w:r>
        <w:rPr>
          <w:sz w:val="28"/>
          <w:szCs w:val="28"/>
          <w:rtl w:val="0"/>
          <w:lang w:val="ru-RU"/>
        </w:rPr>
        <w:t xml:space="preserve">1153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дачей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 или уп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лицу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заявления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или заявления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выдаче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ли заявление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угим лиц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или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ылает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дпи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на заявлении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лжна быть за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ез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лучае в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чие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нным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тавителем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 не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ебует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7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татьей </w:t>
      </w:r>
      <w:r>
        <w:rPr>
          <w:sz w:val="28"/>
          <w:szCs w:val="28"/>
          <w:rtl w:val="0"/>
          <w:lang w:val="ru-RU"/>
        </w:rPr>
        <w:t xml:space="preserve">1154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 течении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яцев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 xml:space="preserve">дня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>co c</w:t>
      </w:r>
      <w:r>
        <w:rPr>
          <w:sz w:val="28"/>
          <w:szCs w:val="28"/>
          <w:rtl w:val="0"/>
          <w:lang w:val="ru-RU"/>
        </w:rPr>
        <w:t xml:space="preserve">татьей </w:t>
      </w:r>
      <w:r>
        <w:rPr>
          <w:sz w:val="28"/>
          <w:szCs w:val="28"/>
          <w:rtl w:val="0"/>
          <w:lang w:val="ru-RU"/>
        </w:rPr>
        <w:t xml:space="preserve">1155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заявлению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тившег</w:t>
      </w:r>
      <w:r>
        <w:rPr>
          <w:sz w:val="28"/>
          <w:szCs w:val="28"/>
          <w:rtl w:val="0"/>
          <w:lang w:val="ru-RU"/>
        </w:rPr>
        <w:t>o cpo</w:t>
      </w:r>
      <w:r>
        <w:rPr>
          <w:sz w:val="28"/>
          <w:szCs w:val="28"/>
          <w:rtl w:val="0"/>
          <w:lang w:val="ru-RU"/>
        </w:rPr>
        <w:t>к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вленный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уд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в</w:t>
      </w:r>
      <w:r>
        <w:rPr>
          <w:sz w:val="28"/>
          <w:szCs w:val="28"/>
          <w:rtl w:val="0"/>
          <w:lang w:val="ru-RU"/>
        </w:rPr>
        <w:t>occ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вить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 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o, c</w:t>
      </w:r>
      <w:r>
        <w:rPr>
          <w:sz w:val="28"/>
          <w:szCs w:val="28"/>
          <w:rtl w:val="0"/>
          <w:lang w:val="ru-RU"/>
        </w:rPr>
        <w:t>уд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лжен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не знал и не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лжен был знать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или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тил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угим уважительным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ичинам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лжен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в течении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яцев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ле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как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ичины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ка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cpo</w:t>
      </w:r>
      <w:r>
        <w:rPr>
          <w:sz w:val="28"/>
          <w:szCs w:val="28"/>
          <w:rtl w:val="0"/>
          <w:lang w:val="ru-RU"/>
        </w:rPr>
        <w:t xml:space="preserve">ка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тпали</w:t>
      </w:r>
      <w:r>
        <w:rPr>
          <w:sz w:val="28"/>
          <w:szCs w:val="28"/>
          <w:rtl w:val="0"/>
          <w:lang w:val="ru-RU"/>
        </w:rPr>
        <w:t>. Cpo</w:t>
      </w:r>
      <w:r>
        <w:rPr>
          <w:sz w:val="28"/>
          <w:szCs w:val="28"/>
          <w:rtl w:val="0"/>
          <w:lang w:val="ru-RU"/>
        </w:rPr>
        <w:t>к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вленный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в</w:t>
      </w:r>
      <w:r>
        <w:rPr>
          <w:sz w:val="28"/>
          <w:szCs w:val="28"/>
          <w:rtl w:val="0"/>
          <w:lang w:val="ru-RU"/>
        </w:rPr>
        <w:t>occ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влен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ичины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ка уважительными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ичины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гут быть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азличными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Главн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изнал их уважительными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 xml:space="preserve">p, </w:t>
      </w:r>
      <w:r>
        <w:rPr>
          <w:sz w:val="28"/>
          <w:szCs w:val="28"/>
          <w:rtl w:val="0"/>
          <w:lang w:val="ru-RU"/>
        </w:rPr>
        <w:t>длительная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манди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длительная 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лезнь или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течении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для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без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ащения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ледники дадут пи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ьменн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ледники дают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твии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ведущег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дел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ли 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ие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не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твии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их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дпи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лжны быть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иальн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8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Принятие наследства фактическими действиями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пункте </w:t>
      </w:r>
      <w:r>
        <w:rPr>
          <w:sz w:val="28"/>
          <w:szCs w:val="28"/>
          <w:rtl w:val="0"/>
          <w:lang w:val="ru-RU"/>
        </w:rPr>
        <w:t>2 c</w:t>
      </w:r>
      <w:r>
        <w:rPr>
          <w:sz w:val="28"/>
          <w:szCs w:val="28"/>
          <w:rtl w:val="0"/>
          <w:lang w:val="ru-RU"/>
        </w:rPr>
        <w:t xml:space="preserve">татьи </w:t>
      </w:r>
      <w:r>
        <w:rPr>
          <w:sz w:val="28"/>
          <w:szCs w:val="28"/>
          <w:rtl w:val="0"/>
          <w:lang w:val="ru-RU"/>
        </w:rPr>
        <w:t xml:space="preserve">1153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мули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нятие принятия наследства фактическими действиями</w:t>
      </w:r>
      <w:r>
        <w:rPr>
          <w:sz w:val="28"/>
          <w:szCs w:val="28"/>
          <w:rtl w:val="0"/>
          <w:lang w:val="ru-RU"/>
        </w:rPr>
        <w:t>.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указанн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татье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инял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шил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Особенностью фактического принятия наследства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действия наследника прямо не направлены на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направлены на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иное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имеют свои самостоятельные 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их характер позволяет прийти к выводу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этих действиях косвенно содержится воля наследника на принятие наследства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9"/>
      </w:r>
      <w:r>
        <w:rPr>
          <w:sz w:val="28"/>
          <w:szCs w:val="28"/>
          <w:rtl w:val="0"/>
          <w:lang w:val="ru-RU"/>
        </w:rPr>
        <w:t xml:space="preserve">  Иными словами наследство принимается конклюдентными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Важным моментом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презумпция принятия признается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 не доказано иное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наследник считается принявшим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совершил действия свидетельствующие об этом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пока это не будет оспорено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Примером таких действий может быть следующее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или 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инял 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 п</w:t>
      </w:r>
      <w:r>
        <w:rPr>
          <w:sz w:val="28"/>
          <w:szCs w:val="28"/>
          <w:rtl w:val="0"/>
          <w:lang w:val="ru-RU"/>
        </w:rPr>
        <w:t>o co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анению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защитил ег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ягатель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 или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итязаний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етьих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извел за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чет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ды на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жание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o</w:t>
      </w:r>
      <w:r>
        <w:rPr>
          <w:sz w:val="28"/>
          <w:szCs w:val="28"/>
          <w:rtl w:val="0"/>
          <w:lang w:val="ru-RU"/>
        </w:rPr>
        <w:t xml:space="preserve">платил за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чет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лги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лучил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етьих лиц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ичитающие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дателю денежные </w:t>
      </w:r>
      <w:r>
        <w:rPr>
          <w:sz w:val="28"/>
          <w:szCs w:val="28"/>
          <w:rtl w:val="0"/>
          <w:lang w:val="ru-RU"/>
        </w:rPr>
        <w:t>cp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не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лены наиб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лее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аненные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шение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твует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пывающег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ечня таких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 нев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>o.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Однако может возникнуть вопрос о навязывании лицу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может возникнуть ситуация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наследник совершил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свидетельствующие о фактическом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хотел его принимать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супруг продолжает вести хозяйство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раньше вел с умершей супругой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в действиях наследника отсутствует воля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направленная на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Значит здесь нельзя говорить о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нельзя навязать лицу принять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Отсюда нужно сделать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важным элементом этой сделки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принятие наследства является односторонней сделкой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выступает воля наследника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именно эта воля должна приводить к желаемому результату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0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Как было сказано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принятие наследства является сделкой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ведь статья </w:t>
      </w:r>
      <w:r>
        <w:rPr>
          <w:sz w:val="28"/>
          <w:szCs w:val="28"/>
          <w:rtl w:val="0"/>
          <w:lang w:val="ru-RU"/>
        </w:rPr>
        <w:t xml:space="preserve">153 </w:t>
      </w:r>
      <w:r>
        <w:rPr>
          <w:sz w:val="28"/>
          <w:szCs w:val="28"/>
          <w:rtl w:val="0"/>
          <w:lang w:val="ru-RU"/>
        </w:rPr>
        <w:t>ГК РФ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сделкой признаются действия граждан или юридических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направленные на достижение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гражданско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правовых последствий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перенесение наследником на себя прав на наследственное имущество как раз полностью подходит под это описание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 как мы уже определили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воля является неотъемлемым элементом такой сделки как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можно было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принял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воля должна быть обнаружена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Вернемся 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супругом и продолжением ведения общего хозяйства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смерти супруги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данном случае речь будет идти скорее не о сделке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о юридическом поступке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значит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качестве сделки следует рассматривать не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которых выражается принятие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само фактическое принятие наследства как таковое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Теперь считаю необходимым поговорить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кто же может принять наследство путем совершения фактических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Очевидным является тот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принять наследство может лишь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призванный к наследованию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принять наследство путем совершения фактических действий может так же любой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призванный к наследованию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встает вопрос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же быть с недееспособными наследниками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уже было сказано 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принятие наследства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это сделка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недееспособное лицо не обладает сделкоспособностью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Получается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недееспособные лица не могут принять наследство своими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свидетельствующими о фактическом принятии наследства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1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Следующим моментом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я хочу обратить внимание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 общему правилу наследство принимается целиком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законодатель в п</w:t>
      </w:r>
      <w:r>
        <w:rPr>
          <w:sz w:val="28"/>
          <w:szCs w:val="28"/>
          <w:rtl w:val="0"/>
          <w:lang w:val="ru-RU"/>
        </w:rPr>
        <w:t xml:space="preserve">. 2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1152 </w:t>
      </w:r>
      <w:r>
        <w:rPr>
          <w:sz w:val="28"/>
          <w:szCs w:val="28"/>
          <w:rtl w:val="0"/>
          <w:lang w:val="ru-RU"/>
        </w:rPr>
        <w:t>ГК РФ предусмотрел исключение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Оно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может принять наследство как по всем основаниям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по одному из оснований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по закону или только по завещанию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определить по какому именно основанию наследник принимает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ему нужно четко выразить свою волю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фактическом же принятии наследства такая конкретизация не представляется возможной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тупление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тя бы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тью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мат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чем бы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заключал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ь и где бы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нах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Может возникнуть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же делать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наследник принял наследство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потом явился к нотариусу и написал заявление о принятии наследства по одному из оснований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практике встречаются мнения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таким образом наследник отказался от наследства по остальным основаниям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это не так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отказа от наследства по одному или всем основаниям требуется прямо выраженная воля на отказ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описанном случае отсутствует прямое выражение воли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встретил два мнения в литературе по поводу этого вопроса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Первый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такое заявление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составленное у нотариуса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будет лишь дополнительным подтверждением воли наследника на принятие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Второе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заявлением наследник опровергает презумпцию принятия наследства фактическими действиями и принимает наследство лишь по основанию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он указал в заявлении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отказываясь от наследства по остальным основаниям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днак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 xml:space="preserve">какими бы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лидными и бе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ными не выглядели в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лучае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указывающие на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епят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твует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казывать ему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Никт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бязан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ме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пециальн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енных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инимать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лучае ег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ти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иные заинте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ванные лица вп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аве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ить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твующую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шении нег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езумпцию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 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течении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тавив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твующие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 или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установлении факта принятия наследства важно выводить волю из действий лица логическим путем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проблема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есть такие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законодатель предлагает выявлять волю 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воля не только не осознавалась наследником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могла вовсе отсутствовать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принятии мер по охране наследственного имущества</w:t>
      </w:r>
      <w:r>
        <w:rPr>
          <w:sz w:val="28"/>
          <w:szCs w:val="28"/>
          <w:rtl w:val="0"/>
          <w:lang w:val="ru-RU"/>
        </w:rPr>
        <w:t xml:space="preserve">. C </w:t>
      </w:r>
      <w:r>
        <w:rPr>
          <w:sz w:val="28"/>
          <w:szCs w:val="28"/>
          <w:rtl w:val="0"/>
          <w:lang w:val="ru-RU"/>
        </w:rPr>
        <w:t>учет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убъективн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элемента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фундаментальн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важн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квалификации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нужно полагать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явн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леизъявления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указывающег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эк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ванный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тив 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владения и 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д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для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ключения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из 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еемник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2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 как фактическое принятие есть сделка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ей важна направленность воли на именно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логично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речь может заходить о пороках воли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судебная практика в спорах о фактическом принятии наследства не пользуется нормами о сделках и решает споры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основываясь на статье </w:t>
      </w:r>
      <w:r>
        <w:rPr>
          <w:sz w:val="28"/>
          <w:szCs w:val="28"/>
          <w:rtl w:val="0"/>
          <w:lang w:val="ru-RU"/>
        </w:rPr>
        <w:t xml:space="preserve">1153 </w:t>
      </w:r>
      <w:r>
        <w:rPr>
          <w:sz w:val="28"/>
          <w:szCs w:val="28"/>
          <w:rtl w:val="0"/>
          <w:lang w:val="ru-RU"/>
        </w:rPr>
        <w:t>ГК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практике споры о пороках воли  в данной ситуации рассматриваются крайне редко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это больше теоретические размышления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Важно так же упомянуть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вышеупомянутые фактические действия не будут свидетельствовать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наследника перешли наследственные права и обязанности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такие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лицо не могло понимать значение своих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действия были осуществлены под влиянием угрозы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Как уже было выяснено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существует презумпция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осуществив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свидетельствующие о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 считается его принявшим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уместна ли эта презумпция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Я считаю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уместна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мой взгляд прямое выражение воли в данном случае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лишь формальность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Ведь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начавший пользоваться имуществом как собственник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делает это так как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будто принял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бы всем наследникам каждый раз необходимо было бы являться к нотариусу и писать заявление о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прямо выражать свою волю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тут увеличивалась бы нагрузка на судебную систему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большое количество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пропустивших сроки для принятия наследства обращались бы в суды для восстановления сроков и своих прав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при таком варианте не получалось бы снизить траты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связанные с подачей заявления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оправдание существования данной презумпции нужно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право наследника признается лишь потому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 намеревался приобрести это право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принудительное принятие противоречит принципам гражданского 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 которых говорится в статье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ГК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Опровержение презумпции не составляет труда и совершается путем заявления у нотариуса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не принимал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Суммируя вышесказанное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делаю вывод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существование такой презумпции оправдано и не создает затруднений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организационных затрат и экономит деньги наследников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Представительство при фактическом принятии наследства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Гражданским кодексом закреплена возможность совершать юридические действия через представителя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Возможно ли принять наследство через представителя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С принятием наследства путем прямого волеизъявления все просто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 дает доверенность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поверенное лицо вместо него написало заявление о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родители в интересах несовершеннолетнего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законные представители подают заявление о принятии наследства от его лица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все сложнее с фактическим принятием наследства через представителя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4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начала разберем ситуацию с представительством по доверенности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Фактически принять наследство через представителя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действующего по доверенности невозможно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такое совершение может быть совершено только лично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выдать доверенность на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это означает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такими действиями он уполномочивает представителя на подачу нотариусу заявления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уполномочивает на прямое выражение воли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не стоить путать с ситуациями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наследник через доверенность уполномочивает представителя сделать то или иное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будет свидетельствовать о принятии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передать определенную сумму кредитору наследодателя в счет погашения его долгов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мой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сама выдача такой доверенности должна рассматриваться судом как фактическое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просматривается изъявление воли наследника на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Иная ситуация складывается с законным представительством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мой взгляд тут принятие фактическими действиями возможно по причине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тут представитель наделен полномочиями не наследником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которого он представляет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законом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причине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по той или иной причине не может самостоятельно принимать решения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о вступлении в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на представителя переносятся все правомочия представляемого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представитель своими фактическими действиями может принять наследство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100" w:after="100"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Касаемо недееспособных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ограниченно дееспособных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несовершеннолетних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есть еще один момент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на который стоит обратить внимание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Для защиты их прав и законных интересов законодатель установил норму в статье </w:t>
      </w:r>
      <w:r>
        <w:rPr>
          <w:kern w:val="0"/>
          <w:sz w:val="28"/>
          <w:szCs w:val="28"/>
          <w:rtl w:val="0"/>
          <w:lang w:val="ru-RU"/>
        </w:rPr>
        <w:t xml:space="preserve">1157 </w:t>
      </w:r>
      <w:r>
        <w:rPr>
          <w:kern w:val="0"/>
          <w:sz w:val="28"/>
          <w:szCs w:val="28"/>
          <w:rtl w:val="0"/>
          <w:lang w:val="ru-RU"/>
        </w:rPr>
        <w:t>ГК РФ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в которой говорится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что отказ таких лиц от наследства возможен лишь с предварительного разрешения органов опеки и попечительства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Доказательства фактического принятия наследства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иальн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актике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казывание факта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изв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азными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ГК приводит понятие «действия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свидетельствующие о принятии наследства»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  <w:rtl w:val="0"/>
          <w:lang w:val="ru-RU"/>
        </w:rPr>
        <w:t xml:space="preserve"> но это оценочное понятие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нотариусы должны решать вопрос о доказывании принятия на анализе каждой конкретной ситуации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Наиболее часто встречающимися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твами для нотариуса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гут быть</w:t>
      </w:r>
      <w:r>
        <w:rPr>
          <w:sz w:val="28"/>
          <w:szCs w:val="28"/>
          <w:rtl w:val="0"/>
          <w:lang w:val="ru-RU"/>
        </w:rPr>
        <w:t>: 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авки Ж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 или ЖЭК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живал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 xml:space="preserve">o 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 на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мент ег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; 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авки указанных 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течения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яцев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 xml:space="preserve">дня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взял как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 ценн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 взятых вещей не имеет ю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идиче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значения</w:t>
      </w:r>
      <w:r>
        <w:rPr>
          <w:sz w:val="28"/>
          <w:szCs w:val="28"/>
          <w:rtl w:val="0"/>
          <w:lang w:val="ru-RU"/>
        </w:rPr>
        <w:t>); 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авка нал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пекции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плате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етным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на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инадлежащее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извел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нт ква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ма</w:t>
      </w:r>
      <w:r>
        <w:rPr>
          <w:sz w:val="28"/>
          <w:szCs w:val="28"/>
          <w:rtl w:val="0"/>
          <w:lang w:val="ru-RU"/>
        </w:rPr>
        <w:t>, oc</w:t>
      </w:r>
      <w:r>
        <w:rPr>
          <w:sz w:val="28"/>
          <w:szCs w:val="28"/>
          <w:rtl w:val="0"/>
          <w:lang w:val="ru-RU"/>
        </w:rPr>
        <w:t>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твлял ух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 за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; 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авки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админи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ации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изв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дил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адки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аждений на земельн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уча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инадлежавшем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</w:t>
      </w:r>
      <w:r>
        <w:rPr>
          <w:sz w:val="28"/>
          <w:szCs w:val="28"/>
          <w:rtl w:val="0"/>
          <w:lang w:val="ru-RU"/>
        </w:rPr>
        <w:t>; o</w:t>
      </w:r>
      <w:r>
        <w:rPr>
          <w:sz w:val="28"/>
          <w:szCs w:val="28"/>
          <w:rtl w:val="0"/>
          <w:lang w:val="ru-RU"/>
        </w:rPr>
        <w:t>платил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лги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решение всегда основано на анализе конкретной ситуации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Нотариус должен тщательно выяснить все необходимые обстоятельства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посоветовать наследнику как и каким документом он может доказать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фактически принял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Важным моментом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нотариусы признают лишь письменные доказательства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не вызывают сомнений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он действует в сфере бесспорной юрисдикции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когда у нотариуса возникают вопросы по представленным доказательствам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дальнейшего решения вопроса наследники направляются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уже суд разбирается в сложившейся спорной ситуации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читаю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дим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к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иальн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актике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.36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вления Пленума №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шением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твенных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твующих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ледует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нимать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шение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енных п</w:t>
      </w:r>
      <w:r>
        <w:rPr>
          <w:sz w:val="28"/>
          <w:szCs w:val="28"/>
          <w:rtl w:val="0"/>
          <w:lang w:val="ru-RU"/>
        </w:rPr>
        <w:t>. 2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>ГК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иных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авлению</w:t>
      </w:r>
      <w:r>
        <w:rPr>
          <w:sz w:val="28"/>
          <w:szCs w:val="28"/>
          <w:rtl w:val="0"/>
          <w:lang w:val="ru-RU"/>
        </w:rPr>
        <w:t>, 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яжению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ванию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жанию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 надлежащем </w:t>
      </w:r>
      <w:r>
        <w:rPr>
          <w:sz w:val="28"/>
          <w:szCs w:val="28"/>
          <w:rtl w:val="0"/>
          <w:lang w:val="ru-RU"/>
        </w:rPr>
        <w:t>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янии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ых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 как к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каче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 таких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гут вы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тупать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еление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инадлежащее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 жил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мещение или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живание в нем на день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земельн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тка</w:t>
      </w:r>
      <w:r>
        <w:rPr>
          <w:sz w:val="28"/>
          <w:szCs w:val="28"/>
          <w:rtl w:val="0"/>
          <w:lang w:val="ru-RU"/>
        </w:rPr>
        <w:t>, oc</w:t>
      </w:r>
      <w:r>
        <w:rPr>
          <w:sz w:val="28"/>
          <w:szCs w:val="28"/>
          <w:rtl w:val="0"/>
          <w:lang w:val="ru-RU"/>
        </w:rPr>
        <w:t>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твление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ммунальных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луг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., o</w:t>
      </w:r>
      <w:r>
        <w:rPr>
          <w:sz w:val="28"/>
          <w:szCs w:val="28"/>
          <w:rtl w:val="0"/>
          <w:lang w:val="ru-RU"/>
        </w:rPr>
        <w:t>б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уже уп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минал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ь выше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важн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деталью 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т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такие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гут быть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шены как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амим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угими лицами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учению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Теперь хочу разобрать некоторые способы принятия наследства фактическими действиями поподробнее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Наличие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бщей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на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ля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>е вх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дит в </w:t>
      </w:r>
      <w:r>
        <w:rPr>
          <w:sz w:val="28"/>
          <w:szCs w:val="28"/>
          <w:rtl w:val="0"/>
          <w:lang w:val="ru-RU"/>
        </w:rPr>
        <w:t>coc</w:t>
      </w:r>
      <w:r>
        <w:rPr>
          <w:sz w:val="28"/>
          <w:szCs w:val="28"/>
          <w:rtl w:val="0"/>
          <w:lang w:val="ru-RU"/>
        </w:rPr>
        <w:t>тав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ам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ебе не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твует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вание 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важн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так как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иальная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актика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шении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мления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твенных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 на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инадлежащее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 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леднику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бщей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кладывает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егда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авильн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 xml:space="preserve">p, </w:t>
      </w:r>
      <w:r>
        <w:rPr>
          <w:sz w:val="28"/>
          <w:szCs w:val="28"/>
          <w:rtl w:val="0"/>
          <w:lang w:val="ru-RU"/>
        </w:rPr>
        <w:t>мате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ыну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инадлежала ква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бщей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мент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 мате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ын был 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ван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 житель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в 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те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днак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наличие жил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мещения в их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бщей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в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инимает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ыми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ами как факт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бных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итуациях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не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му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жет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вать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ьменн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заявление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 в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вленный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 этом было сказано в п</w:t>
      </w:r>
      <w:r>
        <w:rPr>
          <w:sz w:val="28"/>
          <w:szCs w:val="28"/>
          <w:rtl w:val="0"/>
          <w:lang w:val="ru-RU"/>
        </w:rPr>
        <w:t xml:space="preserve">. 36 </w:t>
      </w:r>
      <w:r>
        <w:rPr>
          <w:sz w:val="28"/>
          <w:szCs w:val="28"/>
          <w:rtl w:val="0"/>
          <w:lang w:val="ru-RU"/>
        </w:rPr>
        <w:t>Постановления Пленума Верховного суда Российской Федерации №</w:t>
      </w:r>
      <w:r>
        <w:rPr>
          <w:sz w:val="28"/>
          <w:szCs w:val="28"/>
          <w:rtl w:val="0"/>
          <w:lang w:val="ru-RU"/>
        </w:rPr>
        <w:t xml:space="preserve">9, </w:t>
      </w:r>
      <w:r>
        <w:rPr>
          <w:sz w:val="28"/>
          <w:szCs w:val="28"/>
          <w:rtl w:val="0"/>
          <w:lang w:val="ru-RU"/>
        </w:rPr>
        <w:t>что наличие совместного с наследодателем права общей собственности на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доля в праве на которое входит в состав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 по себе не свидетельствует о фактическом принятии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ранее позиция Верховного Суда была иная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Верховный Суд РФ считал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обладавший совместным имуществом с наследодателем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принимает наследство </w:t>
      </w:r>
      <w:r>
        <w:rPr>
          <w:sz w:val="28"/>
          <w:szCs w:val="28"/>
          <w:rtl w:val="0"/>
          <w:lang w:val="en-US"/>
        </w:rPr>
        <w:t>ipso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jure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совместные собственники вместе распоряжаются и владеют общим имуществом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Однако совместное проживание с наследодателем на момент его смерти расценивается полностью противоположно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наследник докажет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момент смерти наследодателя он проживал с ним совместно и после продолжает проживать там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вести быт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пользоваться вещами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суды рассматривают действия второго как уже в качестве наследника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Для доказательства совместного проживания можно предоставить справку «форма 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будет указано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наследодатель и наследник были вместе зарегистрированы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Есть еще важный момент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касающийся совместного проживания с наследодателем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наследник является недееспособным и на момент открытия наследства совместно проживал с наследодателем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независимо от волеизъявления законного представителя недееспособный наследник будет признан принявшим наследство как судом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нотариусом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Совместная регистрация с наследодателем создает презумпцию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Логика данной презумпции исходит из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гражданин регистрируется в месте где он постоянно или преимущественно проживает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и  в силу добросовестности участников гражданского оборота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 не доказано иное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считать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гражданин проживает по месту регистрации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регистрация гражданина подтверждается паспортом гражданина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отметкой о регистрации по месту жительства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временным удостоверением личности гражданина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содержащее сведения об адресе места жительства либо справкой о регистрации по месту жительства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Такое доказательство признается бесспорным и нотариусы принимают 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направляя наследников в суд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эта презумпция оспорима и может быть опровергнута в установленном порядке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наследники  второй очереди могут оспорить решение нотариуса о фактическом принятии наследства наследником первой очереди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доказав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момент открытия наследства и после он не проживал по адресу регистрации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 другом месте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Как был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>o p</w:t>
      </w:r>
      <w:r>
        <w:rPr>
          <w:sz w:val="28"/>
          <w:szCs w:val="28"/>
          <w:rtl w:val="0"/>
          <w:lang w:val="ru-RU"/>
        </w:rPr>
        <w:t>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вании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же п</w:t>
      </w:r>
      <w:r>
        <w:rPr>
          <w:sz w:val="28"/>
          <w:szCs w:val="28"/>
          <w:rtl w:val="0"/>
          <w:lang w:val="ru-RU"/>
        </w:rPr>
        <w:t xml:space="preserve">. 36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вления Пленума №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в целях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ждения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 2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>ГК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гут 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тавлены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авка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живании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 xml:space="preserve">o 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квитанция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 уплате нал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бе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егательная книжка на имя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т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инадлежавшег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op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яда на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ведение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нтных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днак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мнению нек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ых ю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наличие 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бе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егательн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книжки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ПТ</w:t>
      </w:r>
      <w:r>
        <w:rPr>
          <w:sz w:val="28"/>
          <w:szCs w:val="28"/>
          <w:rtl w:val="0"/>
          <w:lang w:val="ru-RU"/>
        </w:rPr>
        <w:t xml:space="preserve">C, </w:t>
      </w:r>
      <w:r>
        <w:rPr>
          <w:sz w:val="28"/>
          <w:szCs w:val="28"/>
          <w:rtl w:val="0"/>
          <w:lang w:val="ru-RU"/>
        </w:rPr>
        <w:t>либо иных документов на имущество далек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бе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ждает факт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как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ба указанных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кумента не являют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гичн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бы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делать выв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именен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удами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судам следует аккуратно применять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раз у наследника есть документы на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он принял наследство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мой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между наследниками нет спорта и суд рассматривает дело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применение данного подхода 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есть спор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такой подход стоить применять с особой осторожностью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 же факт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твии иных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 не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чевиден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твии у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тавить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кументы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жащие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ведения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ятель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ые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 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ылает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как на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их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ваний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 факт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 наличии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твующие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вания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мат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ивают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в 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ядке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изв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отличие от нотариусов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рассматривают не только письменные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иные виды доказательств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свидетельские показания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Вопреки мнениям многих юристам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говорят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организация достойных похорон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несение расходов на организацию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является принятием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нужно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это является ошибкой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6"/>
      </w:r>
      <w:r>
        <w:rPr>
          <w:sz w:val="28"/>
          <w:szCs w:val="28"/>
          <w:rtl w:val="0"/>
          <w:lang w:val="ru-RU"/>
        </w:rPr>
        <w:t xml:space="preserve"> Сама по себе оплата похорон не является фактическим принятием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больше связано с соблюдением традиции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заботой об ушедшем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памятью о нем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лучение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мпен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ации на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плату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итуальных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луг и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циальн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бия на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ебение не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твует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по тем же причинам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помимо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 на эти выплаты принадлежит не только наследнику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любому лицу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совершившему расходы на погребение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расходы на достойные похороны были осуществлены за счет наследственного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эти действия уже смогут рассматриваться как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наследник распорядился наследственным имуществом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 если наследник начал владеть вещами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 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какое имущество оказалось у него во владении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 факт владения наследственным имуществом будет означать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Верховный суд РФ в своих решениях не раз обращал внимание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для признания факта принятия наследства достаточно начать пользоваться даже предметами домашней обстановки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забрать фотографию или книгу из квартиры наследодателя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7"/>
      </w:r>
      <w:r>
        <w:rPr>
          <w:sz w:val="28"/>
          <w:szCs w:val="28"/>
          <w:rtl w:val="0"/>
          <w:lang w:val="ru-RU"/>
        </w:rPr>
        <w:t xml:space="preserve"> Основным моментом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судам следует обращать внимание не на стоимость и значимость наследственного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распорядился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 намерения наследника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смотреть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чего наследник взял вещь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наследник забирает вещь в качестве наследственного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следует признавать такие действия как фактическое принятие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если же он берет какую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вещь в память о покойном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тут очевидно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такие действия наследника не должны толковаться как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Если же наследник обратился в суд для признания своего права на наследственное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само такое обращение должно рассматриваться как доказательство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тем самым наследник просит защиты его права на наследственное имущество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с судебным решением все сложнее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последствия иска будут зависеть от срока такого обращения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Если наследник обратился в течение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месяцев со дня смерти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уже говорилось 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 факт обращения в суд будет являться доказательством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же обращение в суд имеет место быть по истечении шестимесячного строка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тут ситуация будет решаться не из самого факта обращения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будет сопряжено с восстановлением пропущенного срока для принятие наследства и признанием наследника принявшим наследство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Отдельно можно обратить внимание на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ли обращение к нотариусу доказательством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наследник обратился в нотариальную контору за консультацией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получил необходимый список документов для открытия наследственного 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получил некую бумагу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прописан список необходимых документов и дата проведения консультации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дальше в шестимесячный срок наследственное дело так и не открыл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заявление о принятии наследства не написал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Среди юристов бытует мнение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наличие такой бумаги может являться для суда доказательством принятия наследства фактическими действиями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8"/>
      </w:r>
      <w:r>
        <w:rPr>
          <w:sz w:val="28"/>
          <w:szCs w:val="28"/>
          <w:rtl w:val="0"/>
          <w:lang w:val="ru-RU"/>
        </w:rPr>
        <w:t xml:space="preserve"> Но это не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верным толкованием такой ситуации будет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 гораздо большей долей вероятности наследник после полученной консультации передумал и решил не вступать в права наследования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Важным моментом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стоит обратить внимание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законе не сказано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фактически принять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нужно открыто и добросовестно владеть имуществом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 может и скрывать имущество от других наследников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случае он будет отвечать за свои неправомерные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нельзя будет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наследство он не принял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це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именения п</w:t>
      </w:r>
      <w:r>
        <w:rPr>
          <w:sz w:val="28"/>
          <w:szCs w:val="28"/>
          <w:rtl w:val="0"/>
          <w:lang w:val="ru-RU"/>
        </w:rPr>
        <w:t>. 2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1553 </w:t>
      </w:r>
      <w:r>
        <w:rPr>
          <w:sz w:val="28"/>
          <w:szCs w:val="28"/>
          <w:rtl w:val="0"/>
          <w:lang w:val="ru-RU"/>
        </w:rPr>
        <w:t>ГК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зникла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блема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 xml:space="preserve">вязанная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 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шенные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нклюдентные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 xml:space="preserve">, c 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мальн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ны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тем не менее 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ажают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o.</w:t>
      </w:r>
      <w:r>
        <w:rPr>
          <w:sz w:val="28"/>
          <w:szCs w:val="28"/>
          <w:vertAlign w:val="superscript"/>
        </w:rPr>
        <w:footnoteReference w:id="19"/>
      </w:r>
      <w:r>
        <w:rPr>
          <w:sz w:val="28"/>
          <w:szCs w:val="28"/>
          <w:rtl w:val="0"/>
          <w:lang w:val="ru-RU"/>
        </w:rPr>
        <w:t xml:space="preserve">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 xml:space="preserve">p,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живающий 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инадлежащем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дателю жил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мещении и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лжающий там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живать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ле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ит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твующие платежи</w:t>
      </w:r>
      <w:r>
        <w:rPr>
          <w:sz w:val="28"/>
          <w:szCs w:val="28"/>
          <w:rtl w:val="0"/>
          <w:lang w:val="ru-RU"/>
        </w:rPr>
        <w:t>, oc</w:t>
      </w:r>
      <w:r>
        <w:rPr>
          <w:sz w:val="28"/>
          <w:szCs w:val="28"/>
          <w:rtl w:val="0"/>
          <w:lang w:val="ru-RU"/>
        </w:rPr>
        <w:t>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твляет текущий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нт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имеет наме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ения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жилья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аивает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тату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нанимателя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тую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читают 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в течение ше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яцев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>дня ег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ытия не заявил 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тказе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Даже в тех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гда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живавший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 xml:space="preserve">o 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течении ше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яцев заявляет 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ем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дя из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н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 oc</w:t>
      </w:r>
      <w:r>
        <w:rPr>
          <w:sz w:val="28"/>
          <w:szCs w:val="28"/>
          <w:rtl w:val="0"/>
          <w:lang w:val="ru-RU"/>
        </w:rPr>
        <w:t>тавляют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лю в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и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мендуют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казывать факт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ядке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0"/>
      </w:r>
      <w:r>
        <w:rPr>
          <w:sz w:val="28"/>
          <w:szCs w:val="28"/>
          <w:rtl w:val="0"/>
          <w:lang w:val="ru-RU"/>
        </w:rPr>
        <w:t xml:space="preserve"> Такую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зицию 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яд ли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ех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итуациях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назвать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авильн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иведенн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лучае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леизъявление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не был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 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ил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 как к будущему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 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элемента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не 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знавал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п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>ждают какие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идиче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кие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>. Oc</w:t>
      </w:r>
      <w:r>
        <w:rPr>
          <w:sz w:val="28"/>
          <w:szCs w:val="28"/>
          <w:rtl w:val="0"/>
          <w:lang w:val="ru-RU"/>
        </w:rPr>
        <w:t>тавление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ев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ащает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бязанн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 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ушением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 как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угих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желающих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мить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1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Следует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вный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 занял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ду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уктивную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зицию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37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вления Пленума №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шивший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ые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гут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вать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а в иных целях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казывать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твие у нег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ения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в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 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течении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>ка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тавив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твующие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либ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ативши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ь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 xml:space="preserve">заявлением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влении факта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ме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факт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ле ег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заявлению заинте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ванных лиц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Таким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кает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жение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езумпции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уже было сказано 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тупивший в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читает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 не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 C</w:t>
      </w:r>
      <w:r>
        <w:rPr>
          <w:sz w:val="28"/>
          <w:szCs w:val="28"/>
          <w:rtl w:val="0"/>
          <w:lang w:val="ru-RU"/>
        </w:rPr>
        <w:t>амым убедительным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быть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заявление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шении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ти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те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гда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бладание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не заявляет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твительн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езюми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 Oc</w:t>
      </w:r>
      <w:r>
        <w:rPr>
          <w:sz w:val="28"/>
          <w:szCs w:val="28"/>
          <w:rtl w:val="0"/>
          <w:lang w:val="ru-RU"/>
        </w:rPr>
        <w:t>тавление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ли в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не п</w:t>
      </w:r>
      <w:r>
        <w:rPr>
          <w:sz w:val="28"/>
          <w:szCs w:val="28"/>
          <w:rtl w:val="0"/>
          <w:lang w:val="ru-RU"/>
        </w:rPr>
        <w:t>poc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дим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ные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таким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 и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казывать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таким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 был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на них лежит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бязанн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тавления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твующих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гда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актике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пытывают зат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уднения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влении факта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итуациях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гда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 </w:t>
      </w:r>
      <w:r>
        <w:rPr>
          <w:sz w:val="28"/>
          <w:szCs w:val="28"/>
          <w:rtl w:val="0"/>
          <w:lang w:val="ru-RU"/>
        </w:rPr>
        <w:t>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ял на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учете п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ад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не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живал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 xml:space="preserve">p, </w:t>
      </w:r>
      <w:r>
        <w:rPr>
          <w:sz w:val="28"/>
          <w:szCs w:val="28"/>
          <w:rtl w:val="0"/>
          <w:lang w:val="ru-RU"/>
        </w:rPr>
        <w:t>к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менту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 был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ужден 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у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тбывал наказание в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тах лишения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мами жилищн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ажданин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тбывающий наказание в 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тах лишения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ды не ут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ачивает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 жилым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мещением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живал д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2"/>
      </w:r>
      <w:r>
        <w:rPr>
          <w:sz w:val="28"/>
          <w:szCs w:val="28"/>
          <w:rtl w:val="0"/>
          <w:lang w:val="ru-RU"/>
        </w:rPr>
        <w:t xml:space="preserve"> O</w:t>
      </w:r>
      <w:r>
        <w:rPr>
          <w:sz w:val="28"/>
          <w:szCs w:val="28"/>
          <w:rtl w:val="0"/>
          <w:lang w:val="ru-RU"/>
        </w:rPr>
        <w:t>днак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лучай не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лжен вызывать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</w:t>
      </w:r>
      <w:r>
        <w:rPr>
          <w:sz w:val="28"/>
          <w:szCs w:val="28"/>
          <w:rtl w:val="0"/>
          <w:lang w:val="ru-RU"/>
        </w:rPr>
        <w:t>o co</w:t>
      </w:r>
      <w:r>
        <w:rPr>
          <w:sz w:val="28"/>
          <w:szCs w:val="28"/>
          <w:rtl w:val="0"/>
          <w:lang w:val="ru-RU"/>
        </w:rPr>
        <w:t>мнений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>читать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, 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ящий на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учете п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ад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дателем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читает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дят из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езумпции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факт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ации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ажданина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ждает факт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вательн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тупление 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бладанием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твительн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ти факт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ации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как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ждает факт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бы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делать выв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не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дим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в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шил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еделенные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шении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как к будущему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иведенн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итуации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не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бладание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путем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дачи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 заявления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инявшим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читать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не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пункт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2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 не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инял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шил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твующие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указанн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татье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лены лишь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тдельные наиб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лее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аненные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твии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шение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ых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твует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еделение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ллегии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 делам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 xml:space="preserve">20.10.2003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22-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03-5</w:t>
      </w:r>
      <w:r>
        <w:rPr>
          <w:sz w:val="28"/>
          <w:szCs w:val="28"/>
          <w:vertAlign w:val="superscript"/>
        </w:rPr>
        <w:footnoteReference w:id="24"/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Ш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А и 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атили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ь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к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ажданке Х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изнании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аке 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имя Х недей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твительным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влении факта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их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ваний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ни указали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ледующее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авгу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 </w:t>
      </w:r>
      <w:r>
        <w:rPr>
          <w:sz w:val="28"/>
          <w:szCs w:val="28"/>
          <w:rtl w:val="0"/>
          <w:lang w:val="ru-RU"/>
        </w:rPr>
        <w:t>1948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тупила в 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ванный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т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ни имели дв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их детей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чь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ына А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тц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ящему делу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1961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ду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ели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в г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>де Бе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лане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живали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ей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емьей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1966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ду Ш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еехала в г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д Владикавказ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вязи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ее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шения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 xml:space="preserve">мужем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тали неп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иязненными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гнут не был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дети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тали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 xml:space="preserve">живать </w:t>
      </w:r>
      <w:r>
        <w:rPr>
          <w:sz w:val="28"/>
          <w:szCs w:val="28"/>
          <w:rtl w:val="0"/>
          <w:lang w:val="ru-RU"/>
        </w:rPr>
        <w:t>c o</w:t>
      </w:r>
      <w:r>
        <w:rPr>
          <w:sz w:val="28"/>
          <w:szCs w:val="28"/>
          <w:rtl w:val="0"/>
          <w:lang w:val="ru-RU"/>
        </w:rPr>
        <w:t>тц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ле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ти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дети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иняли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o. Oc</w:t>
      </w:r>
      <w:r>
        <w:rPr>
          <w:sz w:val="28"/>
          <w:szCs w:val="28"/>
          <w:rtl w:val="0"/>
          <w:lang w:val="ru-RU"/>
        </w:rPr>
        <w:t xml:space="preserve">енью </w:t>
      </w:r>
      <w:r>
        <w:rPr>
          <w:sz w:val="28"/>
          <w:szCs w:val="28"/>
          <w:rtl w:val="0"/>
          <w:lang w:val="ru-RU"/>
        </w:rPr>
        <w:t xml:space="preserve">1999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 им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изве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тветчица 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1978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ду 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вала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 xml:space="preserve">их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тц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лучив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мила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на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атила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ь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ечным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к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И</w:t>
      </w:r>
      <w:r>
        <w:rPr>
          <w:sz w:val="28"/>
          <w:szCs w:val="28"/>
          <w:rtl w:val="0"/>
          <w:lang w:val="ru-RU"/>
        </w:rPr>
        <w:t xml:space="preserve">. o </w:t>
      </w:r>
      <w:r>
        <w:rPr>
          <w:sz w:val="28"/>
          <w:szCs w:val="28"/>
          <w:rtl w:val="0"/>
          <w:lang w:val="ru-RU"/>
        </w:rPr>
        <w:t>вы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елении их из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тцы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делу Ш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ее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чь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ения дела уме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ли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ешением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ежн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p</w:t>
      </w:r>
      <w:r>
        <w:rPr>
          <w:sz w:val="28"/>
          <w:szCs w:val="28"/>
          <w:rtl w:val="0"/>
          <w:lang w:val="ru-RU"/>
        </w:rPr>
        <w:t>ай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публики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ная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етия – Алания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>12.08.2002 (oc</w:t>
      </w:r>
      <w:r>
        <w:rPr>
          <w:sz w:val="28"/>
          <w:szCs w:val="28"/>
          <w:rtl w:val="0"/>
          <w:lang w:val="ru-RU"/>
        </w:rPr>
        <w:t xml:space="preserve">тавленным без изменения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ллегии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 делам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публики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ная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етия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Алания </w:t>
      </w:r>
      <w:r>
        <w:rPr>
          <w:sz w:val="28"/>
          <w:szCs w:val="28"/>
          <w:rtl w:val="0"/>
          <w:lang w:val="ru-RU"/>
        </w:rPr>
        <w:t xml:space="preserve">03.09.2003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в 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влетв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ении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ка 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тказан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ечный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 Х 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влетв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влением В</w:t>
      </w:r>
      <w:r>
        <w:rPr>
          <w:sz w:val="28"/>
          <w:szCs w:val="28"/>
          <w:rtl w:val="0"/>
          <w:lang w:val="ru-RU"/>
        </w:rPr>
        <w:t>C P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публики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еве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ная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етия – Алания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 xml:space="preserve">23.12.2002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ешение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уда 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еделение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ллегии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тавлены без изменения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надз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жал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бе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poc</w:t>
      </w:r>
      <w:r>
        <w:rPr>
          <w:sz w:val="28"/>
          <w:szCs w:val="28"/>
          <w:rtl w:val="0"/>
          <w:lang w:val="ru-RU"/>
        </w:rPr>
        <w:t xml:space="preserve">ил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удебные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вления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тменить и дел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авить на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ение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удебная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ллегия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 делам В</w:t>
      </w:r>
      <w:r>
        <w:rPr>
          <w:sz w:val="28"/>
          <w:szCs w:val="28"/>
          <w:rtl w:val="0"/>
          <w:lang w:val="ru-RU"/>
        </w:rPr>
        <w:t>C 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 xml:space="preserve">20.10.2003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 жал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бу 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влетв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ила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указав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ледующее</w:t>
      </w:r>
      <w:r>
        <w:rPr>
          <w:sz w:val="28"/>
          <w:szCs w:val="28"/>
          <w:rtl w:val="0"/>
          <w:lang w:val="ru-RU"/>
        </w:rPr>
        <w:t>: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татье </w:t>
      </w:r>
      <w:r>
        <w:rPr>
          <w:sz w:val="28"/>
          <w:szCs w:val="28"/>
          <w:rtl w:val="0"/>
          <w:lang w:val="ru-RU"/>
        </w:rPr>
        <w:t xml:space="preserve">14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27 C</w:t>
      </w:r>
      <w:r>
        <w:rPr>
          <w:sz w:val="28"/>
          <w:szCs w:val="28"/>
          <w:rtl w:val="0"/>
          <w:lang w:val="ru-RU"/>
        </w:rPr>
        <w:t xml:space="preserve">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Ф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недей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твительным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ли 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тя бы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из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тупающих в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уже </w:t>
      </w:r>
      <w:r>
        <w:rPr>
          <w:sz w:val="28"/>
          <w:szCs w:val="28"/>
          <w:rtl w:val="0"/>
          <w:lang w:val="ru-RU"/>
        </w:rPr>
        <w:t>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ит в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аке</w:t>
      </w:r>
      <w:r>
        <w:rPr>
          <w:sz w:val="28"/>
          <w:szCs w:val="28"/>
          <w:rtl w:val="0"/>
          <w:lang w:val="ru-RU"/>
        </w:rPr>
        <w:t>. 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 и Ш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вали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авгу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та </w:t>
      </w:r>
      <w:r>
        <w:rPr>
          <w:sz w:val="28"/>
          <w:szCs w:val="28"/>
          <w:rtl w:val="0"/>
          <w:lang w:val="ru-RU"/>
        </w:rPr>
        <w:t xml:space="preserve">1948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гнув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ака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 xml:space="preserve">Ш </w:t>
      </w:r>
      <w:r>
        <w:rPr>
          <w:sz w:val="28"/>
          <w:szCs w:val="28"/>
          <w:rtl w:val="0"/>
          <w:lang w:val="ru-RU"/>
        </w:rPr>
        <w:t xml:space="preserve">03.01.1978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еги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вал 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ак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ме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>co c</w:t>
      </w:r>
      <w:r>
        <w:rPr>
          <w:sz w:val="28"/>
          <w:szCs w:val="28"/>
          <w:rtl w:val="0"/>
          <w:lang w:val="ru-RU"/>
        </w:rPr>
        <w:t xml:space="preserve">татьей </w:t>
      </w:r>
      <w:r>
        <w:rPr>
          <w:sz w:val="28"/>
          <w:szCs w:val="28"/>
          <w:rtl w:val="0"/>
          <w:lang w:val="ru-RU"/>
        </w:rPr>
        <w:t xml:space="preserve">532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CP (</w:t>
      </w:r>
      <w:r>
        <w:rPr>
          <w:sz w:val="28"/>
          <w:szCs w:val="28"/>
          <w:rtl w:val="0"/>
          <w:lang w:val="ru-RU"/>
        </w:rPr>
        <w:t>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вавшег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мент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ных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шений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ну в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вую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ледниками в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авных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лях являют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дети 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илу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на являли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ледниками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 xml:space="preserve">ле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ти их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тца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ды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дал в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вленный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cpo</w:t>
      </w:r>
      <w:r>
        <w:rPr>
          <w:sz w:val="28"/>
          <w:szCs w:val="28"/>
          <w:rtl w:val="0"/>
          <w:lang w:val="ru-RU"/>
        </w:rPr>
        <w:t xml:space="preserve">к заявление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гли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лужить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ванием к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тказу в 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влетв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ении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изнании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ака недей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твительным</w:t>
      </w:r>
      <w:r>
        <w:rPr>
          <w:sz w:val="28"/>
          <w:szCs w:val="28"/>
          <w:rtl w:val="0"/>
          <w:lang w:val="ru-RU"/>
        </w:rPr>
        <w:t>. 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 p</w:t>
      </w:r>
      <w:r>
        <w:rPr>
          <w:sz w:val="28"/>
          <w:szCs w:val="28"/>
          <w:rtl w:val="0"/>
          <w:lang w:val="ru-RU"/>
        </w:rPr>
        <w:t>азъя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нениям пленума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CP co</w:t>
      </w:r>
      <w:r>
        <w:rPr>
          <w:sz w:val="28"/>
          <w:szCs w:val="28"/>
          <w:rtl w:val="0"/>
          <w:lang w:val="ru-RU"/>
        </w:rPr>
        <w:t>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жащим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 в пункте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вления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 </w:t>
      </w:r>
      <w:r>
        <w:rPr>
          <w:sz w:val="28"/>
          <w:szCs w:val="28"/>
          <w:rtl w:val="0"/>
          <w:lang w:val="ru-RU"/>
        </w:rPr>
        <w:t xml:space="preserve">23.04.1991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 №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ых 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poc</w:t>
      </w:r>
      <w:r>
        <w:rPr>
          <w:sz w:val="28"/>
          <w:szCs w:val="28"/>
          <w:rtl w:val="0"/>
          <w:lang w:val="ru-RU"/>
        </w:rPr>
        <w:t>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зникающих у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делам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лучение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видетель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аве на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–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 xml:space="preserve">а 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бязанн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ледника </w:t>
      </w:r>
      <w:r>
        <w:rPr>
          <w:sz w:val="28"/>
          <w:szCs w:val="28"/>
          <w:rtl w:val="0"/>
          <w:lang w:val="ru-RU"/>
        </w:rPr>
        <w:t>(c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557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CP).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инял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гда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льку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</w:t>
      </w:r>
      <w:r>
        <w:rPr>
          <w:sz w:val="28"/>
          <w:szCs w:val="28"/>
          <w:rtl w:val="0"/>
          <w:lang w:val="ru-RU"/>
        </w:rPr>
        <w:t>o 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opo</w:t>
      </w:r>
      <w:r>
        <w:rPr>
          <w:sz w:val="28"/>
          <w:szCs w:val="28"/>
          <w:rtl w:val="0"/>
          <w:lang w:val="ru-RU"/>
        </w:rPr>
        <w:t xml:space="preserve">к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как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эт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лжн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быть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ма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на не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вание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ыми личными вещами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дателя не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жет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лужить 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ванием для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изнания факта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тва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шиб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чен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инятые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личные вещи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тца не являли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нельзя 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ить 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туплении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 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ящим из 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ма и надв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ных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ек</w:t>
      </w:r>
      <w:r>
        <w:rPr>
          <w:sz w:val="28"/>
          <w:szCs w:val="28"/>
          <w:rtl w:val="0"/>
          <w:lang w:val="ru-RU"/>
        </w:rPr>
        <w:t>. O</w:t>
      </w:r>
      <w:r>
        <w:rPr>
          <w:sz w:val="28"/>
          <w:szCs w:val="28"/>
          <w:rtl w:val="0"/>
          <w:lang w:val="ru-RU"/>
        </w:rPr>
        <w:t>днак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po</w:t>
      </w:r>
      <w:r>
        <w:rPr>
          <w:sz w:val="28"/>
          <w:szCs w:val="28"/>
          <w:rtl w:val="0"/>
          <w:lang w:val="ru-RU"/>
        </w:rPr>
        <w:t>тив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ечит 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ваниям 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льку к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му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тву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ит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люб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инадлежавшее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дателю на день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включая вещи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твенные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ава и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бязанн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Так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гла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татье </w:t>
      </w:r>
      <w:r>
        <w:rPr>
          <w:sz w:val="28"/>
          <w:szCs w:val="28"/>
          <w:rtl w:val="0"/>
          <w:lang w:val="ru-RU"/>
        </w:rPr>
        <w:t xml:space="preserve">213 </w:t>
      </w:r>
      <w:r>
        <w:rPr>
          <w:sz w:val="28"/>
          <w:szCs w:val="28"/>
          <w:rtl w:val="0"/>
          <w:lang w:val="ru-RU"/>
        </w:rPr>
        <w:t xml:space="preserve">ГК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едакции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вавшей на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мент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Г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ти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дить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люб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е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за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ключением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тдельных вид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 xml:space="preserve">ые в </w:t>
      </w:r>
      <w:r>
        <w:rPr>
          <w:sz w:val="28"/>
          <w:szCs w:val="28"/>
          <w:rtl w:val="0"/>
          <w:lang w:val="ru-RU"/>
        </w:rPr>
        <w:t>coo</w:t>
      </w:r>
      <w:r>
        <w:rPr>
          <w:sz w:val="28"/>
          <w:szCs w:val="28"/>
          <w:rtl w:val="0"/>
          <w:lang w:val="ru-RU"/>
        </w:rPr>
        <w:t>твет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твии </w:t>
      </w:r>
      <w:r>
        <w:rPr>
          <w:sz w:val="28"/>
          <w:szCs w:val="28"/>
          <w:rtl w:val="0"/>
          <w:lang w:val="ru-RU"/>
        </w:rPr>
        <w:t xml:space="preserve">c </w:t>
      </w:r>
      <w:r>
        <w:rPr>
          <w:sz w:val="28"/>
          <w:szCs w:val="28"/>
          <w:rtl w:val="0"/>
          <w:lang w:val="ru-RU"/>
        </w:rPr>
        <w:t>зак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не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инадлежать 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Такая же позиция была и в предшествующий период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илу п</w:t>
      </w:r>
      <w:r>
        <w:rPr>
          <w:sz w:val="28"/>
          <w:szCs w:val="28"/>
          <w:rtl w:val="0"/>
          <w:lang w:val="ru-RU"/>
        </w:rPr>
        <w:t xml:space="preserve">. 11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вления Пленума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PC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CP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26.03.1974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туплением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дтве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ждающим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ледует иметь в виду любые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авлению</w:t>
      </w:r>
      <w:r>
        <w:rPr>
          <w:sz w:val="28"/>
          <w:szCs w:val="28"/>
          <w:rtl w:val="0"/>
          <w:lang w:val="ru-RU"/>
        </w:rPr>
        <w:t>, 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яжению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ванию этим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дде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жанию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 xml:space="preserve">в надлежащем </w:t>
      </w:r>
      <w:r>
        <w:rPr>
          <w:sz w:val="28"/>
          <w:szCs w:val="28"/>
          <w:rtl w:val="0"/>
          <w:lang w:val="ru-RU"/>
        </w:rPr>
        <w:t>coc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янии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уплату нал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вых взн</w:t>
      </w:r>
      <w:r>
        <w:rPr>
          <w:sz w:val="28"/>
          <w:szCs w:val="28"/>
          <w:rtl w:val="0"/>
          <w:lang w:val="ru-RU"/>
        </w:rPr>
        <w:t>oco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угих платежей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 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ледует иметь в виду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данные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твия 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гут быть </w:t>
      </w:r>
      <w:r>
        <w:rPr>
          <w:sz w:val="28"/>
          <w:szCs w:val="28"/>
          <w:rtl w:val="0"/>
          <w:lang w:val="ru-RU"/>
        </w:rPr>
        <w:t>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шены как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амим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учению д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угими лицами в течении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яцев </w:t>
      </w:r>
      <w:r>
        <w:rPr>
          <w:sz w:val="28"/>
          <w:szCs w:val="28"/>
          <w:rtl w:val="0"/>
          <w:lang w:val="ru-RU"/>
        </w:rPr>
        <w:t xml:space="preserve">co </w:t>
      </w:r>
      <w:r>
        <w:rPr>
          <w:sz w:val="28"/>
          <w:szCs w:val="28"/>
          <w:rtl w:val="0"/>
          <w:lang w:val="ru-RU"/>
        </w:rPr>
        <w:t xml:space="preserve">дня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тк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ытия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</w:t>
      </w:r>
      <w:r>
        <w:rPr>
          <w:sz w:val="28"/>
          <w:szCs w:val="28"/>
          <w:rtl w:val="0"/>
          <w:lang w:val="ru-RU"/>
        </w:rPr>
        <w:t>. Coc</w:t>
      </w:r>
      <w:r>
        <w:rPr>
          <w:sz w:val="28"/>
          <w:szCs w:val="28"/>
          <w:rtl w:val="0"/>
          <w:lang w:val="ru-RU"/>
        </w:rPr>
        <w:t>лавши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ь на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иведенные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жения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уды ка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аци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нн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и надз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танций указали на т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не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вал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ммунальные у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луги не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плачивал</w:t>
      </w:r>
      <w:r>
        <w:rPr>
          <w:sz w:val="28"/>
          <w:szCs w:val="28"/>
          <w:rtl w:val="0"/>
          <w:lang w:val="ru-RU"/>
        </w:rPr>
        <w:t>, 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вательн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твенным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 не 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 выв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делан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удами без учета т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o, </w:t>
      </w:r>
      <w:r>
        <w:rPr>
          <w:sz w:val="28"/>
          <w:szCs w:val="28"/>
          <w:rtl w:val="0"/>
          <w:lang w:val="ru-RU"/>
        </w:rPr>
        <w:t>чт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иведенный в п</w:t>
      </w:r>
      <w:r>
        <w:rPr>
          <w:sz w:val="28"/>
          <w:szCs w:val="28"/>
          <w:rtl w:val="0"/>
          <w:lang w:val="ru-RU"/>
        </w:rPr>
        <w:t>oc</w:t>
      </w:r>
      <w:r>
        <w:rPr>
          <w:sz w:val="28"/>
          <w:szCs w:val="28"/>
          <w:rtl w:val="0"/>
          <w:lang w:val="ru-RU"/>
        </w:rPr>
        <w:t>тан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влении пленума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ечень дей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твий</w:t>
      </w:r>
      <w:r>
        <w:rPr>
          <w:sz w:val="28"/>
          <w:szCs w:val="28"/>
          <w:rtl w:val="0"/>
          <w:lang w:val="ru-RU"/>
        </w:rPr>
        <w:t>, co</w:t>
      </w:r>
      <w:r>
        <w:rPr>
          <w:sz w:val="28"/>
          <w:szCs w:val="28"/>
          <w:rtl w:val="0"/>
          <w:lang w:val="ru-RU"/>
        </w:rPr>
        <w:t>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шаемых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уп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авлению</w:t>
      </w:r>
      <w:r>
        <w:rPr>
          <w:sz w:val="28"/>
          <w:szCs w:val="28"/>
          <w:rtl w:val="0"/>
          <w:lang w:val="ru-RU"/>
        </w:rPr>
        <w:t>, 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op</w:t>
      </w:r>
      <w:r>
        <w:rPr>
          <w:sz w:val="28"/>
          <w:szCs w:val="28"/>
          <w:rtl w:val="0"/>
          <w:lang w:val="ru-RU"/>
        </w:rPr>
        <w:t>яжению и п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льз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ванию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м не являет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я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че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пывающим и не и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ключает фактиче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тупления на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ледника в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владение имуще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тва путем 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инятия ег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ча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>. C</w:t>
      </w:r>
      <w:r>
        <w:rPr>
          <w:sz w:val="28"/>
          <w:szCs w:val="28"/>
          <w:rtl w:val="0"/>
          <w:lang w:val="ru-RU"/>
        </w:rPr>
        <w:t>удебная к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ллегия п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аждан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ким делам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тменила указанные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 xml:space="preserve">удебные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ешения и нап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авила дел</w:t>
      </w:r>
      <w:r>
        <w:rPr>
          <w:sz w:val="28"/>
          <w:szCs w:val="28"/>
          <w:rtl w:val="0"/>
          <w:lang w:val="ru-RU"/>
        </w:rPr>
        <w:t xml:space="preserve">o </w:t>
      </w:r>
      <w:r>
        <w:rPr>
          <w:sz w:val="28"/>
          <w:szCs w:val="28"/>
          <w:rtl w:val="0"/>
          <w:lang w:val="ru-RU"/>
        </w:rPr>
        <w:t>на 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 xml:space="preserve">е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cc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ение в 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уд пе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й ин</w:t>
      </w:r>
      <w:r>
        <w:rPr>
          <w:sz w:val="28"/>
          <w:szCs w:val="28"/>
          <w:rtl w:val="0"/>
          <w:lang w:val="ru-RU"/>
        </w:rPr>
        <w:t>c</w:t>
      </w:r>
      <w:r>
        <w:rPr>
          <w:sz w:val="28"/>
          <w:szCs w:val="28"/>
          <w:rtl w:val="0"/>
          <w:lang w:val="ru-RU"/>
        </w:rPr>
        <w:t>танции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5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Отказ от наследства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принятого фактическими действиями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Еще одной важной деталью является отказ от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принятого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Выше уже было сказано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общее правило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принявший наследство имеет право отказаться от него в течение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месяцев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момента открытия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в течение срока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отведенного для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наследнику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принявшему наследство совершением фактических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законодатель предоставляет чуть большие права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Суд может принять отказ такого наследника и после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отведенный законом шестимесячный срок истечет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в данном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 не содержит указаний в каком порядке и в течение какого срока может быть опровергнут факт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связано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совершил определенный фактические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 не подозревать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тем самым он приобрел права на наследственное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 самом деле у этого наследника были совсем другие мотивы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давая такие преференции наследникам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фактически принявшим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наследодатель пытается избежать навязывания лицу наследственного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наделения его этим имуществом против его воли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Но помимо самого наследника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отказывается от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фактическое принятие может быть оспорено и другими наследниками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защиты своих интересов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другие наследники в праве опровергнуть презумпцию фактического принятия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Делается это путем предоставления доказательств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не совершал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свидетельствующих о фактическом принятии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возможно сделать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обратившись к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суд идти не обязательно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нотариус сочтет доказательства бесспорными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же нотариусу представленные доказательства покажутся неубедительными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дело будет направлено в суд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Примером таких доказательств может быть справка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подтверждающая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не проживал совместно с наследодателем в сроки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установленные для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случае предоставления такой справки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хоть наследник и был совместно прописан с наследодателем на момент смерти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для нотариуса презумпция будет опровергнута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что в свою очередь будет означать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наследство не принимал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Важно так же отличать отказ от наследства и непринятие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Главные отличия заключаются в правовых  последствиях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Отказ от наследства бесповоротен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непринятие наследства не влечет невозможности принять наследство в будущем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открытия наследства наследник отказался от наследства и умер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таком случае нельзя говорить о наследственной трансмиссии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если наследник просто не принял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в таком случае его смерть своим последствием будет иметь наследственную трансмиссию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Отличием так же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отказ от наследства может быть подан только в течение шестимесячного срока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опровержение презумпции принятия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уже было сказано 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срока не имеет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</w:pPr>
      <w:r>
        <w:rPr>
          <w:b w:val="1"/>
          <w:bCs w:val="1"/>
          <w:sz w:val="28"/>
          <w:szCs w:val="28"/>
          <w:rtl w:val="0"/>
          <w:lang w:val="ru-RU"/>
        </w:rPr>
        <w:t>Судебные споры о принятии наследства фактическими действиями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Как было сказано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некоторых случаях необходимо обращаться в суд для установления факта принятия наследства в судебном порядке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при написании данной работы я проанализировал судебную практику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так же понять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какие доказательства принимают суды при доказывании факта принятия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Мною был проведен мониторинг судебной практики за </w:t>
      </w:r>
      <w:r>
        <w:rPr>
          <w:sz w:val="28"/>
          <w:szCs w:val="28"/>
          <w:rtl w:val="0"/>
          <w:lang w:val="ru-RU"/>
        </w:rPr>
        <w:t xml:space="preserve">2019-2020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который включает в себя </w:t>
      </w:r>
      <w:r>
        <w:rPr>
          <w:sz w:val="28"/>
          <w:szCs w:val="28"/>
          <w:rtl w:val="0"/>
          <w:lang w:val="ru-RU"/>
        </w:rPr>
        <w:t xml:space="preserve">50 </w:t>
      </w:r>
      <w:r>
        <w:rPr>
          <w:sz w:val="28"/>
          <w:szCs w:val="28"/>
          <w:rtl w:val="0"/>
          <w:lang w:val="ru-RU"/>
        </w:rPr>
        <w:t>судебных решений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 решения по выбранным делам были вынесены судами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Обращаясь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граждане направляют свои иски к администрации того или иного района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к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который отказался выдавать свидетельства о праве на наследство в связи с пропуском наследником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месячного срока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отведенного для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ответчиком по таким искам часто выступает МТУ Росимущества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различные банки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которых имеются вклады наследодателя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ru-RU"/>
        </w:rPr>
        <w:footnoteReference w:id="26"/>
      </w:r>
      <w:r>
        <w:rPr>
          <w:sz w:val="28"/>
          <w:szCs w:val="28"/>
          <w:rtl w:val="0"/>
          <w:lang w:val="ru-RU"/>
        </w:rPr>
        <w:t xml:space="preserve"> Случаются 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один из наследников не явился к нотариусу в отведенный для принятия срок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лишь принял наследство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нотариусу не было известно о наличии такого наследника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свидетельства о праве на наследство были выданы остальным наследникам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таком случае истец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принявший наследство лишь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указывает в качестве ответчиков остальных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были выданы свидетельства о праве на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требованием аннулировать вышеуказанные свидетельства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принятия им наследства фактическими действиями и признания за ним права собственности на наследственное имущество в соответствии с его долей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27"/>
      </w:r>
      <w:r>
        <w:rPr>
          <w:sz w:val="28"/>
          <w:szCs w:val="28"/>
          <w:rtl w:val="0"/>
          <w:lang w:val="ru-RU"/>
        </w:rPr>
        <w:t xml:space="preserve"> Это основная масса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являющихся ответчиками по данной категории дел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Среди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просмотренных мною дел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основном истцы требуют от суда установление факта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имеющего юридическое значение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установить факт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признание права собственности на наследственное имущество в порядке наследования за истцом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ходу проведения мною мониторинга судебной практики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встречались 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истцы так же требовали от суда признания родства с наследодателем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признании ранее выданных свидетельств о праве на наследство недействительными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shd w:val="clear" w:color="auto" w:fill="cf7b79"/>
          <w:lang w:val="ru-RU"/>
        </w:rPr>
      </w:pPr>
      <w:r>
        <w:rPr>
          <w:sz w:val="28"/>
          <w:szCs w:val="28"/>
          <w:rtl w:val="0"/>
          <w:lang w:val="ru-RU"/>
        </w:rPr>
        <w:t xml:space="preserve">В силу буквального смысла статьи </w:t>
      </w:r>
      <w:r>
        <w:rPr>
          <w:sz w:val="28"/>
          <w:szCs w:val="28"/>
          <w:rtl w:val="0"/>
          <w:lang w:val="ru-RU"/>
        </w:rPr>
        <w:t xml:space="preserve">1152 </w:t>
      </w:r>
      <w:r>
        <w:rPr>
          <w:sz w:val="28"/>
          <w:szCs w:val="28"/>
          <w:rtl w:val="0"/>
          <w:lang w:val="ru-RU"/>
        </w:rPr>
        <w:t>ГК РФ вступление наследника во владение любой вещью наследодателя из состава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управление любой его частью рассматривается на практике как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это правило должно строго соблюдаться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поскольку это проявление одного из принципов наследственного права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принципа универсальности наследственного правопреемства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ru-RU"/>
        </w:rPr>
        <w:footnoteReference w:id="28"/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Важный моментом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судьи обращают внимание при разрешении таких споров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действия направленные на принятие наследства должны быть совершены в установленный для этого шестимесячный срок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заявление нотариусу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в случае с принятием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наследников нет преимущества по срокам перед теми наследниками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обратились к нотариусу с заявлением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Обращаясь в суд с требованием установления факта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истец будет должен не только доказать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 совершил необходимые действия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считаться принявшим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совершил эти действия в рамках отведенного срока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решениях наиболее встречающимися примерами принятия наследства фактическими действиями являются проживание в квартире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его смерти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наследник начинает пользоваться вещами умершего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 перевозит к себе мебель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начал носить его одежду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показывает судебная практика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судов достаточно даже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наследник возьмет одну книгу или один </w:t>
      </w:r>
      <w:r>
        <w:rPr>
          <w:sz w:val="28"/>
          <w:szCs w:val="28"/>
          <w:rtl w:val="0"/>
          <w:lang w:val="en-US"/>
        </w:rPr>
        <w:t>DVD</w:t>
      </w:r>
      <w:r>
        <w:rPr>
          <w:sz w:val="28"/>
          <w:szCs w:val="28"/>
          <w:rtl w:val="0"/>
          <w:lang w:val="ru-RU"/>
        </w:rPr>
        <w:t xml:space="preserve"> диск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это уже будет считаться принятием наследства фактическими действиями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29"/>
      </w:r>
      <w:r>
        <w:rPr>
          <w:sz w:val="28"/>
          <w:szCs w:val="28"/>
          <w:rtl w:val="0"/>
          <w:lang w:val="ru-RU"/>
        </w:rPr>
        <w:t xml:space="preserve"> Еще одним распространенным видом принятия является оплата долгов наследодателя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в этот список можно включить действия истца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направленные на сохранение наследственного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защиту его от посягательств или притязаний третьих лиц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делах часто встречалось упоминание истцами в доказательство принятия ими наследства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они понесли расходы на оплату ритуальных услуг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это общее заблуждение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эти действия не являются свидетельством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принимает наследство фактическими действиями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 теперь о каждом поподробнее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Начну с такого принятия как проживание в квартире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наиболее распространенный способ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ссылается большинство наследников при обращении в суд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истцы говорят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во время проживания в спорной квартире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сделали ремонт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оплачивали коммунальные платежи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встречаются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истцы говорят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сдавали квартиру в наем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свою очередь так же является владением и управлением наследственным имуществом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нам об этом говорит п</w:t>
      </w:r>
      <w:r>
        <w:rPr>
          <w:sz w:val="28"/>
          <w:szCs w:val="28"/>
          <w:rtl w:val="0"/>
          <w:lang w:val="ru-RU"/>
        </w:rPr>
        <w:t xml:space="preserve">. 2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>Гражданского кодекса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суде нужно ведь и доказать эти факты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доказать большинство из таких действий достаточно лишь свидетельских показаний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суды охотно верят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Свидетельские показания это основное на что ссылаются истцы при показывании факта проживания в квартире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Вдобавок к этому нужно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свидетельские показания в качестве доказательств встречаются чаще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в каждом втором деле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того чтобы доказать факт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был сделан ремонт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так же сослаться на свидетельские показания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еще истцы представляют в качестве доказательств договор на выполнение ремонтных услуг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как это было в деле номер </w:t>
      </w:r>
      <w:r>
        <w:rPr>
          <w:sz w:val="28"/>
          <w:szCs w:val="28"/>
          <w:rtl w:val="0"/>
          <w:lang w:val="ru-RU"/>
        </w:rPr>
        <w:t xml:space="preserve">32, </w:t>
      </w:r>
      <w:r>
        <w:rPr>
          <w:sz w:val="28"/>
          <w:szCs w:val="28"/>
          <w:rtl w:val="0"/>
          <w:lang w:val="ru-RU"/>
        </w:rPr>
        <w:t>либо заказ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наряды на ремонт квартиры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30"/>
      </w:r>
      <w:r>
        <w:rPr>
          <w:sz w:val="28"/>
          <w:szCs w:val="28"/>
          <w:rtl w:val="0"/>
          <w:lang w:val="ru-RU"/>
        </w:rPr>
        <w:t xml:space="preserve"> С оплатой ЖКХ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коммунальных услуг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услуг за интернет в квартире и так далее все намного проще и очевиднее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тут наследники представляют квитанции об осуществлении того или иного платежа в период шести месяцев после смерти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суду этого достаточно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счесть это за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Бесспорным доказательством является квитанция либо выписка по счету в том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истец осуществлял платеж своей банковской картой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тогда суду сразу видно от кого исходил платеж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проводилась эта банковская операция и за какую услугу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касается сдачи квартиры в наем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примере дела номер </w:t>
      </w:r>
      <w:r>
        <w:rPr>
          <w:sz w:val="28"/>
          <w:szCs w:val="28"/>
          <w:rtl w:val="0"/>
          <w:lang w:val="ru-RU"/>
        </w:rPr>
        <w:t xml:space="preserve">41, </w:t>
      </w:r>
      <w:r>
        <w:rPr>
          <w:sz w:val="28"/>
          <w:szCs w:val="28"/>
          <w:rtl w:val="0"/>
          <w:lang w:val="ru-RU"/>
        </w:rPr>
        <w:t>можно сказать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суд примет в доказательства расчеты о сдаче квартиры в наем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31"/>
      </w:r>
      <w:r>
        <w:rPr>
          <w:sz w:val="28"/>
          <w:szCs w:val="28"/>
          <w:rtl w:val="0"/>
          <w:lang w:val="ru-RU"/>
        </w:rPr>
        <w:t xml:space="preserve"> Так же может быть предоставлен договор о найме жилого помещения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считаю необходимым еще раз сказать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основном нотариусы признают в бесспорном порядке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принял наследство фактическими действиями в установленный срок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если наследником представлена справка Формы </w:t>
      </w:r>
      <w:r>
        <w:rPr>
          <w:sz w:val="28"/>
          <w:szCs w:val="28"/>
          <w:rtl w:val="0"/>
          <w:lang w:val="ru-RU"/>
        </w:rPr>
        <w:t xml:space="preserve">9, </w:t>
      </w:r>
      <w:r>
        <w:rPr>
          <w:sz w:val="28"/>
          <w:szCs w:val="28"/>
          <w:rtl w:val="0"/>
          <w:lang w:val="ru-RU"/>
        </w:rPr>
        <w:t>в которой указано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момент смерти он с наследодателем были совместно прописаны в квартире наследодателя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Если же форма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покажет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они были прописаны совместно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квартира принадлежала наследодателю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нотариус может и направить в суд для установления факта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из такой справки буде не так очевидно явствовать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вступил во владение и управление вещами покойного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часть нотариусов не видят в этом проблем и все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таки выдают свидетельства о праве на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направляя наследников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трактуя данную ситуацию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наследодатель не мог проживать и не иметь личных вещей в квартире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после смерти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 наследник обратился к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 у него есть желание принять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 и вещами он должен был пользоваться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истец начал пользоваться вещами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распоряжаться ими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Тут сложно доказать эти факты иным способом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кроме как сослаться на свидетельские показания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в деле №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>наследственным имуществом являлся автомобиль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которых наследник оформил страховой полис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и предъявил суду в качестве доказательства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что суд счет это достаточным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признать за истцом право собственности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32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Доказательствами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отдал долг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могут быть как расписка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выписка со счета наследника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свидетельские показания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это было в деле №</w:t>
      </w:r>
      <w:r>
        <w:rPr>
          <w:sz w:val="28"/>
          <w:szCs w:val="28"/>
          <w:rtl w:val="0"/>
          <w:lang w:val="ru-RU"/>
        </w:rPr>
        <w:t>2.</w:t>
      </w:r>
      <w:r>
        <w:rPr>
          <w:sz w:val="28"/>
          <w:szCs w:val="28"/>
          <w:vertAlign w:val="superscript"/>
          <w:lang w:val="en-US"/>
        </w:rPr>
        <w:footnoteReference w:id="33"/>
      </w:r>
      <w:r>
        <w:rPr>
          <w:sz w:val="28"/>
          <w:szCs w:val="28"/>
          <w:rtl w:val="0"/>
          <w:lang w:val="ru-RU"/>
        </w:rPr>
        <w:t xml:space="preserve"> В этом деле истец за наследодателя вернул займ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расписку об этом не получил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потребовалось через суд доказывать факт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кредитор наследодателя выступил свидетелем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истцом ему были возвращены средства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он занимал первому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Еще один интересный случай принятия наследства фактическими действиями является опять же дело №</w:t>
      </w:r>
      <w:r>
        <w:rPr>
          <w:sz w:val="28"/>
          <w:szCs w:val="28"/>
          <w:rtl w:val="0"/>
          <w:lang w:val="ru-RU"/>
        </w:rPr>
        <w:t xml:space="preserve">28. </w:t>
      </w:r>
      <w:r>
        <w:rPr>
          <w:sz w:val="28"/>
          <w:szCs w:val="28"/>
          <w:rtl w:val="0"/>
          <w:lang w:val="ru-RU"/>
        </w:rPr>
        <w:t xml:space="preserve">В этом деле часть наследственного имущества являлась </w:t>
      </w:r>
      <w:r>
        <w:rPr>
          <w:sz w:val="28"/>
          <w:szCs w:val="28"/>
          <w:rtl w:val="0"/>
          <w:lang w:val="ru-RU"/>
        </w:rPr>
        <w:t xml:space="preserve">1/11 </w:t>
      </w:r>
      <w:r>
        <w:rPr>
          <w:sz w:val="28"/>
          <w:szCs w:val="28"/>
          <w:rtl w:val="0"/>
          <w:lang w:val="ru-RU"/>
        </w:rPr>
        <w:t>доля в Обществе с ограниченной ответственностью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Общим внеочередным собранием участников Общества для было решено передать вышеуказанную долю для доверительного управления истцу в целях охраны доли и для нормального хода работы Общества до даты законного вступления в наследство наследников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Данное обстоятельство было расценено судом как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за наследником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истцом было признано право на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 можно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такие действия так же принимаются судами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34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основном в рассмотренных делах происходило наследование по закону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также встречались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наследование происходило по завещанию или завещательному распоряжению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одно из таких дел я хотел бы обратить внимание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Это дело № </w:t>
      </w:r>
      <w:r>
        <w:rPr>
          <w:sz w:val="28"/>
          <w:szCs w:val="28"/>
          <w:rtl w:val="0"/>
          <w:lang w:val="ru-RU"/>
        </w:rPr>
        <w:t xml:space="preserve">2-1626/2020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рассматривалось Красносельский районным судом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Истец требовала установить факт принятия наследства и признания за ней право на это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деле наследодатель оставил завещательное распоряжение в банке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которому завещал свой вклад истцу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не являлась его родственником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Истец в установленный шестимесячный срок к нотариусу для принятия наследства не явилась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соответствии с чем ей было отказано в выдаче свидетельства о праве на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суде истец говорила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указанный срок не обратилась к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в этот срок фактическими действиями приняла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после смерти наследодателя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помогая разбирать вещи родственникам покойного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взяла в память о покойном одну из его книг и часы с разрешения родственников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и не имела на нее права с точки зрения наследственного 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не являлась родственницей наследодателя и книга ей завещана не была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интересно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оценив в совокупности все доказательства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принимая во внимание согласие остальных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суд счел эти действия подпадающими под п</w:t>
      </w:r>
      <w:r>
        <w:rPr>
          <w:sz w:val="28"/>
          <w:szCs w:val="28"/>
          <w:rtl w:val="0"/>
          <w:lang w:val="ru-RU"/>
        </w:rPr>
        <w:t xml:space="preserve">. 2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1153 </w:t>
      </w:r>
      <w:r>
        <w:rPr>
          <w:sz w:val="28"/>
          <w:szCs w:val="28"/>
          <w:rtl w:val="0"/>
          <w:lang w:val="ru-RU"/>
        </w:rPr>
        <w:t>ГК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признал это принятием наследства фактическими действиями и признал за истцом право собственности на завещанные вклады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  <w:lang w:val="en-US"/>
        </w:rPr>
        <w:footnoteReference w:id="35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Рассматривая судебные решения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заметил тенденцию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</w:t>
      </w:r>
      <w:r>
        <w:rPr>
          <w:sz w:val="28"/>
          <w:szCs w:val="28"/>
          <w:rtl w:val="0"/>
          <w:lang w:val="ru-RU"/>
        </w:rPr>
        <w:t xml:space="preserve">90% </w:t>
      </w:r>
      <w:r>
        <w:rPr>
          <w:sz w:val="28"/>
          <w:szCs w:val="28"/>
          <w:rtl w:val="0"/>
          <w:lang w:val="ru-RU"/>
        </w:rPr>
        <w:t>рассмотренных мною дел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имеется фраза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суд полностью доверяет изложенным в иске обстоятельствам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фраза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отсутствие противоречий с другой стороной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суд не видит причин не доверять истцу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Часто встречается формулировка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написанная как под копирку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«Суд полностью доверяет изложенным в иске обстоятельствам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объяснениям истца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данных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ставящих под сомнение установленные обстоятельства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имеется»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стоит справедливо заметить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этих же </w:t>
      </w:r>
      <w:r>
        <w:rPr>
          <w:sz w:val="28"/>
          <w:szCs w:val="28"/>
          <w:rtl w:val="0"/>
          <w:lang w:val="ru-RU"/>
        </w:rPr>
        <w:t xml:space="preserve">90% </w:t>
      </w:r>
      <w:r>
        <w:rPr>
          <w:sz w:val="28"/>
          <w:szCs w:val="28"/>
          <w:rtl w:val="0"/>
          <w:lang w:val="ru-RU"/>
        </w:rPr>
        <w:t>дел нет спора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 обращается в суд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признать за собой право собственности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никем не оспаривается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деле номер </w:t>
      </w:r>
      <w:r>
        <w:rPr>
          <w:sz w:val="28"/>
          <w:szCs w:val="28"/>
          <w:rtl w:val="0"/>
          <w:lang w:val="ru-RU"/>
        </w:rPr>
        <w:t xml:space="preserve">29 </w:t>
      </w:r>
      <w:r>
        <w:rPr>
          <w:sz w:val="28"/>
          <w:szCs w:val="28"/>
          <w:rtl w:val="0"/>
          <w:lang w:val="ru-RU"/>
        </w:rPr>
        <w:t>есть фраза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 отсутствии у наследника возможности представить документы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содержащие сведения об обстоятельствах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которые он ссылается как на обоснование своих требований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судом может быть установлен факт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при наличии спора соответствующие требования рассматриваются в порядке искового производства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суды больше стоят на стороне истца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нет спора между наследниками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настроены удовлетворить его требования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нет явных предпосылок обратному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Резюмируя вышесказанное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сделать несколького выводов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Первое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принятие наследства фактическими действиями часто порождает многочисленные споры и вопросы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В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наследник с начала принял наследство фактическими действиями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 последствии явился к нотариусу и написал заявление о принятии наследства лишь по одному из оснований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практике у нотариусов возникают вопросы и споры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некоторые нотариусы неверно считают такое заявление отказом наследника от наследства по остальным основаниям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Верными являются другие взгляды на эту ситуацию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первый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прямое волеизъявление в виде заявления у нотариуса является лишь дополнительным подтверждением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второй взгляд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заявлением наследник опровергает презумпцию  фактического принятия наследства и принимает наследство лишь по тому основанию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указано в заявлении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Единого мнения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же решать данную ситуацию у юристов 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само наличие двух взглядов является проблемой наследственного права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В некоторых случаях законодатель предлагает выявлять волю наследника на принятие наследства 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её 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воля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направленная на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попросту отсутствовала наследником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выделять наследнику часть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оставляя её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говорят нотариусы «открытой»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Примером таких ситуаций может быть принятие наследником мер по охране наследственного имущества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Мотивом для сохранения наследственного имущества является не принятие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нечто иное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сохранение его для других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или мотивом может являеться память и уважение к умершему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таких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вышеупомянутый наследник не является к нотариусу и ни принимает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отказывается от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остальных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получили свидетельства о праве на наследства возникают определенные сложности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продажей квартиры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поступившей в их общую долевую собственность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одна из долей остается в подвешенном состоянии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Законодатель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вкладывая в свои нормы смысл защитить интересы первого наследника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учел интересы остальных наследников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ведь нет законного инструмента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можно было бы понудить наследника явиться к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выразить свою истинную волю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Наследники для устранения неопределенности ситуации вынуждены обращатся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признать первого не принявшим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создает дополнительную нагрузку на судебную систему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Существует спорный подход судов к совместному проживанию недееспособного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ограниченно дееспособного или несовершеннолетнего лица с наследодателем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Несмотря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такое лицо не может самостоятельно распоряжаться наследственным имуществом в силу закона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суды признают сам факт проживания принятием наследства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Факт регистрации наследника с наследодателем на момент открытия наследства бесспорно признается доказательством фактического принятия наследства и создает некую презумпцию принятия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предоставлении нотариусу справки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указано что наследник и наследодатель были совместно прописаны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нотариус не отправляет дело в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признает такого наследника принявшим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в свою очередь вызывает споры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практике складываются ситуации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наследник был прописан совместно с умершим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проживал в другом месте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все равно был признан принявшим наследство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таком случае наследникам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 этим не согласны приходится собирать доказательства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доказывающие факт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наследник проживал в другом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для них может являться серьезным затруднением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Логика законодателя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силу добросовестности участников гражданского оборота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 не доказано иное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считать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гражданин проживает по месту регистрации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Еще одним спорным вопросом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ли факт наличия совместного имущества у наследника и наследодателя фактом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доказывающим фактическое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Некоторые нотариусы ошибочно считают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вышеупомянутое условие можно считать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доказательство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это не всегда соответсвует фактическим обстоятельствам 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наследник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сособственник может и не распоряжаться этим имуществом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пользоваться им и не владеть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 это лишь основные споры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возникающие на практике в связи с принятием наследства путем совершения фактических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Такие споры создают нагрузку на судебную систему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бы всем наследникам каждый раз необходимо было бы являться к нотариусу и прямо выражать свою волю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нагрузка на судебную систему была бы еще больше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Второе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1153 </w:t>
      </w:r>
      <w:r>
        <w:rPr>
          <w:sz w:val="28"/>
          <w:szCs w:val="28"/>
          <w:rtl w:val="0"/>
          <w:lang w:val="ru-RU"/>
        </w:rPr>
        <w:t>ГК РФ 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для принятия наследства фактическими действиями наследнику необходимо вступить во владение или управление наследственным имуществом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Проанализировав судебную практику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сделать вывод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важно какое имущество оказалось у наследника во владении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 факт владения наследственным имуществом будет означать принятие наследства фактическими действиями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Третье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законе нет исчерпывающего списка доказательств принятия наследства фактическими действиями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Лишь некоторые доказательства признаны бесспорными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может принять нотариус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такие как факт совместной регистрации наследника и наследодателя на момент открытия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преобладающих случаях присутствует спорная ситуация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какими бы очевидными не были доказательства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нотариус не вправе решать вопрос о принятии наследства фактическими действиями самостоятельно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тогда вопрос может быть решен только в судебном порядке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Каждый случай индивидуален и суд всегда отдельно рассматривает каждое доказательство фактического принятия наследства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after="80"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Проведя анализ законодательства и судебной практики на указанную 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считаю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важно объяснять гражданам плюсы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можно так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пропагандировать принимать наследство прямым волеизъявлением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заявлением у нотариуса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Поскольку принятие наследства фактическими действиями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это косвенное волеизъявление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косвенное волеизъявление потенциально содержит в себе спор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Подав заявление о принятии наследства нотариусу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наследники обезопасят себя и защитят свои права надлежащим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поможет избежать споров между наследниками по поводу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 самым снизится нагрузка на судебную систему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наследникам не придется вести длительный и затратный судебный процесс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C</w:t>
      </w:r>
      <w:r>
        <w:rPr>
          <w:b w:val="1"/>
          <w:bCs w:val="1"/>
          <w:sz w:val="28"/>
          <w:szCs w:val="28"/>
          <w:rtl w:val="0"/>
          <w:lang w:val="ru-RU"/>
        </w:rPr>
        <w:t>пи</w:t>
      </w:r>
      <w:r>
        <w:rPr>
          <w:b w:val="1"/>
          <w:bCs w:val="1"/>
          <w:sz w:val="28"/>
          <w:szCs w:val="28"/>
          <w:rtl w:val="0"/>
          <w:lang w:val="ru-RU"/>
        </w:rPr>
        <w:t>co</w:t>
      </w:r>
      <w:r>
        <w:rPr>
          <w:b w:val="1"/>
          <w:bCs w:val="1"/>
          <w:sz w:val="28"/>
          <w:szCs w:val="28"/>
          <w:rtl w:val="0"/>
          <w:lang w:val="ru-RU"/>
        </w:rPr>
        <w:t>к использованной лите</w:t>
      </w:r>
      <w:r>
        <w:rPr>
          <w:b w:val="1"/>
          <w:bCs w:val="1"/>
          <w:sz w:val="28"/>
          <w:szCs w:val="28"/>
          <w:rtl w:val="0"/>
          <w:lang w:val="ru-RU"/>
        </w:rPr>
        <w:t>p</w:t>
      </w:r>
      <w:r>
        <w:rPr>
          <w:b w:val="1"/>
          <w:bCs w:val="1"/>
          <w:sz w:val="28"/>
          <w:szCs w:val="28"/>
          <w:rtl w:val="0"/>
          <w:lang w:val="ru-RU"/>
        </w:rPr>
        <w:t>ату</w:t>
      </w:r>
      <w:r>
        <w:rPr>
          <w:b w:val="1"/>
          <w:bCs w:val="1"/>
          <w:sz w:val="28"/>
          <w:szCs w:val="28"/>
          <w:rtl w:val="0"/>
          <w:lang w:val="ru-RU"/>
        </w:rPr>
        <w:t>p</w:t>
      </w:r>
      <w:r>
        <w:rPr>
          <w:b w:val="1"/>
          <w:bCs w:val="1"/>
          <w:sz w:val="28"/>
          <w:szCs w:val="28"/>
          <w:rtl w:val="0"/>
          <w:lang w:val="ru-RU"/>
        </w:rPr>
        <w:t>ы</w:t>
      </w:r>
    </w:p>
    <w:p>
      <w:pPr>
        <w:pStyle w:val="По умолчанию A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Учеб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.-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бие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В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т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Феде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палата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Pocc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 - 2-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изд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-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М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Клуве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, 2004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2016.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207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ий зак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датель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тва и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актика ег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именения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Изд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 5-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аб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2006.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522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 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татейный 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ий к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татьям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1110-1185, 1224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аждан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дек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Pocc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ий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Феде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ации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Ю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Пет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-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татут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2018.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510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Pocc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ий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Феде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ации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Учеб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мет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бие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Ю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айт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-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2002.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352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Вла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Ю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Калинин 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мендации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азцы 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матив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Акты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удеб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бие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актике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д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Феде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717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ии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(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ГК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ча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ть т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етья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аздел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5), 5-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издание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аб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д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лненн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pc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Клуве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2005.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Т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8"/>
          <w:szCs w:val="28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62623"/>
          <w:sz w:val="28"/>
          <w:szCs w:val="28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>Бюллетень Ве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вн</w:t>
      </w:r>
      <w:r>
        <w:rPr>
          <w:sz w:val="28"/>
          <w:szCs w:val="28"/>
          <w:rtl w:val="0"/>
          <w:lang w:val="ru-RU"/>
        </w:rPr>
        <w:t>o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o C</w:t>
      </w:r>
      <w:r>
        <w:rPr>
          <w:sz w:val="28"/>
          <w:szCs w:val="28"/>
          <w:rtl w:val="0"/>
          <w:lang w:val="ru-RU"/>
        </w:rPr>
        <w:t xml:space="preserve">уда </w:t>
      </w:r>
      <w:r>
        <w:rPr>
          <w:sz w:val="28"/>
          <w:szCs w:val="28"/>
          <w:rtl w:val="0"/>
          <w:lang w:val="ru-RU"/>
        </w:rPr>
        <w:t>P</w:t>
      </w:r>
      <w:r>
        <w:rPr>
          <w:sz w:val="28"/>
          <w:szCs w:val="28"/>
          <w:rtl w:val="0"/>
          <w:lang w:val="ru-RU"/>
        </w:rPr>
        <w:t xml:space="preserve">Ф </w:t>
      </w:r>
      <w:r>
        <w:rPr>
          <w:sz w:val="28"/>
          <w:szCs w:val="28"/>
          <w:rtl w:val="0"/>
          <w:lang w:val="ru-RU"/>
        </w:rPr>
        <w:t>2004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12.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Основы законодательства Российской Федерации о нотариате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: </w:t>
      </w:r>
      <w:r>
        <w:rPr>
          <w:sz w:val="28"/>
          <w:szCs w:val="28"/>
          <w:rtl w:val="0"/>
          <w:lang w:val="ru-RU"/>
        </w:rPr>
        <w:t>утв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ВС РФ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февр</w:t>
      </w:r>
      <w:r>
        <w:rPr>
          <w:sz w:val="28"/>
          <w:szCs w:val="28"/>
          <w:rtl w:val="0"/>
          <w:lang w:val="ru-RU"/>
        </w:rPr>
        <w:t xml:space="preserve">. 1993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4462-1 // </w:t>
      </w:r>
      <w:r>
        <w:rPr>
          <w:sz w:val="28"/>
          <w:szCs w:val="28"/>
          <w:rtl w:val="0"/>
          <w:lang w:val="ru-RU"/>
        </w:rPr>
        <w:t>Российская газета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1993 -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49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дек</w:t>
      </w:r>
      <w:r>
        <w:rPr>
          <w:sz w:val="28"/>
          <w:szCs w:val="28"/>
          <w:rtl w:val="0"/>
          <w:lang w:val="ru-RU"/>
        </w:rPr>
        <w:t xml:space="preserve">. 2020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– СПС «КонсультантПлюс»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Гражданский кодекс Российской Федерации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часть первая</w:t>
      </w:r>
      <w:r>
        <w:rPr>
          <w:sz w:val="28"/>
          <w:szCs w:val="28"/>
          <w:rtl w:val="0"/>
          <w:lang w:val="ru-RU"/>
        </w:rPr>
        <w:t>)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: </w:t>
      </w:r>
      <w:r>
        <w:rPr>
          <w:sz w:val="28"/>
          <w:szCs w:val="28"/>
          <w:rtl w:val="0"/>
          <w:lang w:val="ru-RU"/>
        </w:rPr>
        <w:t>фед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закон от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нояб</w:t>
      </w:r>
      <w:r>
        <w:rPr>
          <w:sz w:val="28"/>
          <w:szCs w:val="28"/>
          <w:rtl w:val="0"/>
          <w:lang w:val="ru-RU"/>
        </w:rPr>
        <w:t xml:space="preserve">. 1994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51-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Собр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Законодательства Рос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Федерации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1994. -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32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ред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09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– СПС «КонсультантПлюс»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Гражданское право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 xml:space="preserve">. I . /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Сергеева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Толстого</w:t>
      </w:r>
      <w:r>
        <w:rPr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группа «Проспект»</w:t>
      </w:r>
      <w:r>
        <w:rPr>
          <w:sz w:val="28"/>
          <w:szCs w:val="28"/>
          <w:rtl w:val="0"/>
          <w:lang w:val="ru-RU"/>
        </w:rPr>
        <w:t>,  2010.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Чтения по гражданскому праву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.2: </w:t>
      </w:r>
      <w:r>
        <w:rPr>
          <w:sz w:val="28"/>
          <w:szCs w:val="28"/>
          <w:rtl w:val="0"/>
          <w:lang w:val="ru-RU"/>
        </w:rPr>
        <w:t>Учение о вещах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Учение о юридической сделке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Дювернула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 2004.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Наследственное право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постатейный комментарий к статьям </w:t>
      </w:r>
      <w:r>
        <w:rPr>
          <w:sz w:val="28"/>
          <w:szCs w:val="28"/>
          <w:rtl w:val="0"/>
          <w:lang w:val="ru-RU"/>
        </w:rPr>
        <w:t>1110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1185, 1224 </w:t>
      </w:r>
      <w:r>
        <w:rPr>
          <w:sz w:val="28"/>
          <w:szCs w:val="28"/>
          <w:rtl w:val="0"/>
          <w:lang w:val="ru-RU"/>
        </w:rPr>
        <w:t xml:space="preserve">ГК РФ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Логос</w:t>
      </w:r>
      <w:r>
        <w:rPr>
          <w:sz w:val="28"/>
          <w:szCs w:val="28"/>
          <w:rtl w:val="0"/>
          <w:lang w:val="ru-RU"/>
        </w:rPr>
        <w:t xml:space="preserve">, 2018.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1255 (</w:t>
      </w:r>
      <w:r>
        <w:rPr>
          <w:sz w:val="28"/>
          <w:szCs w:val="28"/>
          <w:rtl w:val="0"/>
          <w:lang w:val="ru-RU"/>
        </w:rPr>
        <w:t xml:space="preserve">автор комментария к статье </w:t>
      </w:r>
      <w:r>
        <w:rPr>
          <w:sz w:val="28"/>
          <w:szCs w:val="28"/>
          <w:rtl w:val="0"/>
          <w:lang w:val="ru-RU"/>
        </w:rPr>
        <w:t xml:space="preserve">1151 </w:t>
      </w:r>
      <w:r>
        <w:rPr>
          <w:sz w:val="28"/>
          <w:szCs w:val="28"/>
          <w:rtl w:val="0"/>
          <w:lang w:val="ru-RU"/>
        </w:rPr>
        <w:t>ГК РФ —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Будылин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Договор с покойником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Реформа наследственного права России и зарубежный опыт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Закон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 xml:space="preserve">2017. N 6. </w:t>
      </w:r>
      <w:r>
        <w:rPr>
          <w:sz w:val="28"/>
          <w:szCs w:val="28"/>
          <w:rtl w:val="0"/>
          <w:lang w:val="en-US"/>
        </w:rPr>
        <w:t>С</w:t>
      </w:r>
      <w:r>
        <w:rPr>
          <w:sz w:val="28"/>
          <w:szCs w:val="28"/>
          <w:rtl w:val="0"/>
          <w:lang w:val="en-US"/>
        </w:rPr>
        <w:t>. 32 - 43.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Navarro S. Freedom of Testation Versus Freedom to Enter Into Succession Agreement and Transaction Costs // The Law of Succession: Testamentary Freedom: European Perspectives (European Studies of Private Law. Vol. 5) / Ed. by M. Anderson, E. Arroyo i Amayuelas. P</w:t>
      </w:r>
      <w:r>
        <w:rPr>
          <w:sz w:val="28"/>
          <w:szCs w:val="28"/>
          <w:rtl w:val="0"/>
          <w:lang w:val="ru-RU"/>
        </w:rPr>
        <w:t xml:space="preserve">. 125; </w:t>
      </w:r>
      <w:r>
        <w:rPr>
          <w:sz w:val="28"/>
          <w:szCs w:val="28"/>
          <w:rtl w:val="0"/>
          <w:lang w:val="ru-RU"/>
        </w:rPr>
        <w:t>Основы наследственного права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Франции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Германии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Под общ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., 2015.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61 (</w:t>
      </w:r>
      <w:r>
        <w:rPr>
          <w:sz w:val="28"/>
          <w:szCs w:val="28"/>
          <w:rtl w:val="0"/>
          <w:lang w:val="ru-RU"/>
        </w:rPr>
        <w:t xml:space="preserve">автор соответствующей главы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Путинцева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Петров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Наследственное право России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состояние и перспективы развития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сравнительно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правовое исследование</w:t>
      </w:r>
      <w:r>
        <w:rPr>
          <w:sz w:val="28"/>
          <w:szCs w:val="28"/>
          <w:rtl w:val="0"/>
          <w:lang w:val="ru-RU"/>
        </w:rPr>
        <w:t xml:space="preserve">) /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>Москва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sz w:val="28"/>
          <w:szCs w:val="28"/>
          <w:rtl w:val="0"/>
          <w:lang w:val="en-US"/>
        </w:rPr>
        <w:t>М</w:t>
      </w: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>Логос</w:t>
      </w:r>
      <w:r>
        <w:rPr>
          <w:sz w:val="28"/>
          <w:szCs w:val="28"/>
          <w:rtl w:val="0"/>
          <w:lang w:val="en-US"/>
        </w:rPr>
        <w:t xml:space="preserve">, 2017. 152 </w:t>
      </w:r>
      <w:r>
        <w:rPr>
          <w:sz w:val="28"/>
          <w:szCs w:val="28"/>
          <w:rtl w:val="0"/>
          <w:lang w:val="en-US"/>
        </w:rPr>
        <w:t>с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Белов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Наследование и наследственное правопреемство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фактическое отношение и его правовая форма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en-US"/>
        </w:rPr>
        <w:t>Belov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V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>Inheritance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and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Hereditary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Succession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De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Facto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Relationship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and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its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Legal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Form</w:t>
      </w:r>
      <w:r>
        <w:rPr>
          <w:sz w:val="28"/>
          <w:szCs w:val="28"/>
          <w:rtl w:val="0"/>
          <w:lang w:val="ru-RU"/>
        </w:rPr>
        <w:t>] (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Russian</w:t>
      </w:r>
      <w:r>
        <w:rPr>
          <w:sz w:val="28"/>
          <w:szCs w:val="28"/>
          <w:rtl w:val="0"/>
          <w:lang w:val="ru-RU"/>
        </w:rPr>
        <w:t xml:space="preserve">) // </w:t>
      </w:r>
      <w:r>
        <w:rPr>
          <w:sz w:val="28"/>
          <w:szCs w:val="28"/>
          <w:rtl w:val="0"/>
          <w:lang w:val="en-US"/>
        </w:rPr>
        <w:t>Inheritance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Law</w:t>
      </w:r>
      <w:r>
        <w:rPr>
          <w:sz w:val="28"/>
          <w:szCs w:val="28"/>
          <w:rtl w:val="0"/>
          <w:lang w:val="ru-RU"/>
        </w:rPr>
        <w:t xml:space="preserve">. 2014. </w:t>
      </w:r>
      <w:r>
        <w:rPr>
          <w:sz w:val="28"/>
          <w:szCs w:val="28"/>
          <w:rtl w:val="0"/>
          <w:lang w:val="en-US"/>
        </w:rPr>
        <w:t>No. 1.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Наследственное право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Учебник для магистров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Абраменков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Чугунов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>В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>А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 xml:space="preserve">Белов </w:t>
      </w:r>
      <w:r>
        <w:rPr>
          <w:sz w:val="28"/>
          <w:szCs w:val="28"/>
          <w:rtl w:val="0"/>
          <w:lang w:val="en-US"/>
        </w:rPr>
        <w:t>[Inheritance Law: Textbook for Masters / M.S. Abramenkov, P.V. Chugunov; Ed. by V.A. Belov] (in Russian). Moscow: Iurait, 2013.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Фактическое принятие наследства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Рассказова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«Вестник гражданского права»</w:t>
      </w:r>
      <w:r>
        <w:rPr>
          <w:sz w:val="28"/>
          <w:szCs w:val="28"/>
          <w:rtl w:val="0"/>
          <w:lang w:val="ru-RU"/>
        </w:rPr>
        <w:t xml:space="preserve">, 2016,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 xml:space="preserve"> 5.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u w:color="464c55"/>
          <w:rtl w:val="0"/>
          <w:lang w:val="ru-RU"/>
        </w:rPr>
        <w:t>Право на принятие наследства</w:t>
      </w:r>
      <w:r>
        <w:rPr>
          <w:sz w:val="28"/>
          <w:szCs w:val="28"/>
          <w:u w:color="464c55"/>
          <w:rtl w:val="0"/>
          <w:lang w:val="ru-RU"/>
        </w:rPr>
        <w:t xml:space="preserve">. </w:t>
      </w:r>
      <w:r>
        <w:rPr>
          <w:sz w:val="28"/>
          <w:szCs w:val="28"/>
          <w:u w:color="464c55"/>
          <w:rtl w:val="0"/>
          <w:lang w:val="ru-RU"/>
        </w:rPr>
        <w:t>Н</w:t>
      </w:r>
      <w:r>
        <w:rPr>
          <w:sz w:val="28"/>
          <w:szCs w:val="28"/>
          <w:u w:color="464c55"/>
          <w:rtl w:val="0"/>
          <w:lang w:val="ru-RU"/>
        </w:rPr>
        <w:t>.</w:t>
      </w:r>
      <w:r>
        <w:rPr>
          <w:sz w:val="28"/>
          <w:szCs w:val="28"/>
          <w:u w:color="464c55"/>
          <w:rtl w:val="0"/>
          <w:lang w:val="ru-RU"/>
        </w:rPr>
        <w:t>Ю</w:t>
      </w:r>
      <w:r>
        <w:rPr>
          <w:sz w:val="28"/>
          <w:szCs w:val="28"/>
          <w:u w:color="464c55"/>
          <w:rtl w:val="0"/>
          <w:lang w:val="ru-RU"/>
        </w:rPr>
        <w:t xml:space="preserve">. </w:t>
      </w:r>
      <w:r>
        <w:rPr>
          <w:sz w:val="28"/>
          <w:szCs w:val="28"/>
          <w:u w:color="464c55"/>
          <w:rtl w:val="0"/>
          <w:lang w:val="ru-RU"/>
        </w:rPr>
        <w:t>Рассказова</w:t>
      </w:r>
      <w:r>
        <w:rPr>
          <w:sz w:val="28"/>
          <w:szCs w:val="28"/>
          <w:u w:color="464c55"/>
          <w:rtl w:val="0"/>
          <w:lang w:val="ru-RU"/>
        </w:rPr>
        <w:t xml:space="preserve">, </w:t>
      </w:r>
      <w:r>
        <w:rPr>
          <w:sz w:val="28"/>
          <w:szCs w:val="28"/>
          <w:u w:color="464c55"/>
          <w:rtl w:val="0"/>
          <w:lang w:val="ru-RU"/>
        </w:rPr>
        <w:t>«Закон»</w:t>
      </w:r>
      <w:r>
        <w:rPr>
          <w:sz w:val="28"/>
          <w:szCs w:val="28"/>
          <w:u w:color="464c55"/>
          <w:rtl w:val="0"/>
          <w:lang w:val="ru-RU"/>
        </w:rPr>
        <w:t xml:space="preserve">, </w:t>
      </w:r>
      <w:r>
        <w:rPr>
          <w:sz w:val="28"/>
          <w:szCs w:val="28"/>
          <w:u w:color="464c55"/>
          <w:rtl w:val="0"/>
          <w:lang w:val="en-US"/>
        </w:rPr>
        <w:t>N</w:t>
      </w:r>
      <w:r>
        <w:rPr>
          <w:sz w:val="28"/>
          <w:szCs w:val="28"/>
          <w:u w:color="464c55"/>
          <w:rtl w:val="0"/>
          <w:lang w:val="ru-RU"/>
        </w:rPr>
        <w:t xml:space="preserve"> 10, </w:t>
      </w:r>
      <w:r>
        <w:rPr>
          <w:sz w:val="28"/>
          <w:szCs w:val="28"/>
          <w:u w:color="464c55"/>
          <w:rtl w:val="0"/>
          <w:lang w:val="ru-RU"/>
        </w:rPr>
        <w:t xml:space="preserve">октябрь </w:t>
      </w:r>
      <w:r>
        <w:rPr>
          <w:sz w:val="28"/>
          <w:szCs w:val="28"/>
          <w:u w:color="464c55"/>
          <w:rtl w:val="0"/>
          <w:lang w:val="ru-RU"/>
        </w:rPr>
        <w:t xml:space="preserve">2006 </w:t>
      </w:r>
      <w:r>
        <w:rPr>
          <w:sz w:val="28"/>
          <w:szCs w:val="28"/>
          <w:u w:color="464c55"/>
          <w:rtl w:val="0"/>
          <w:lang w:val="ru-RU"/>
        </w:rPr>
        <w:t>г</w:t>
      </w:r>
      <w:r>
        <w:rPr>
          <w:sz w:val="28"/>
          <w:szCs w:val="28"/>
          <w:u w:color="464c55"/>
          <w:rtl w:val="0"/>
          <w:lang w:val="ru-RU"/>
        </w:rPr>
        <w:t>.</w:t>
      </w: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u w:color="464c55"/>
          <w:rtl w:val="0"/>
          <w:lang w:val="ru-RU"/>
        </w:rPr>
        <w:t xml:space="preserve">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Комментарий к Гражданскому кодексу Российской Федерации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Часть третья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(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постатейный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) /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И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В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Елисеев и др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.;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под ред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А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П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Сергеева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 xml:space="preserve">, 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Ю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К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Толстого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М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 xml:space="preserve">., 2005. 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С</w:t>
      </w:r>
      <w:r>
        <w:rPr>
          <w:outline w:val="0"/>
          <w:color w:val="22272f"/>
          <w:sz w:val="28"/>
          <w:szCs w:val="28"/>
          <w:u w:color="22272f"/>
          <w:rtl w:val="0"/>
          <w:lang w:val="en-US"/>
          <w14:textFill>
            <w14:solidFill>
              <w14:srgbClr w14:val="22272F"/>
            </w14:solidFill>
          </w14:textFill>
        </w:rPr>
        <w:t>. 123.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 Гражданское право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учебник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в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3-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х томах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3 /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под ред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проф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А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Сергеева и проф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Ю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К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Толстого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М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., 2003.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С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644.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Автор главы Ю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К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Толстой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rPr>
          <w:b w:val="1"/>
          <w:bCs w:val="1"/>
          <w:sz w:val="28"/>
          <w:szCs w:val="28"/>
          <w:lang w:val="ru-RU"/>
        </w:rPr>
      </w:pPr>
    </w:p>
    <w:p>
      <w:pPr>
        <w:pStyle w:val="Standard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Список рассмотренных судебных решений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2-3398/2020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2-1800/2020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Дело №</w:t>
      </w:r>
      <w:r>
        <w:rPr>
          <w:sz w:val="28"/>
          <w:szCs w:val="28"/>
          <w:rtl w:val="0"/>
          <w:lang w:val="ru-RU"/>
        </w:rPr>
        <w:t xml:space="preserve">***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Дзержинский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2-3301/2020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2-1724/2020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Октябрьский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2-1817/2020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Кировский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Дело №</w:t>
      </w:r>
      <w:r>
        <w:rPr>
          <w:sz w:val="28"/>
          <w:szCs w:val="28"/>
          <w:rtl w:val="0"/>
          <w:lang w:val="ru-RU"/>
        </w:rPr>
        <w:t xml:space="preserve">***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07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Приморский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8.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2-98/2020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9.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2-2\20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14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10. </w:t>
      </w:r>
      <w:r>
        <w:rPr>
          <w:sz w:val="28"/>
          <w:szCs w:val="28"/>
          <w:rtl w:val="0"/>
          <w:lang w:val="ru-RU"/>
        </w:rPr>
        <w:t>Дело №</w:t>
      </w:r>
      <w:r>
        <w:rPr>
          <w:sz w:val="28"/>
          <w:szCs w:val="28"/>
          <w:rtl w:val="0"/>
          <w:lang w:val="ru-RU"/>
        </w:rPr>
        <w:t xml:space="preserve">2-936/2020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11.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2-972\20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19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12. </w:t>
      </w:r>
      <w:r>
        <w:rPr>
          <w:sz w:val="28"/>
          <w:szCs w:val="28"/>
          <w:rtl w:val="0"/>
          <w:lang w:val="ru-RU"/>
        </w:rPr>
        <w:t>Дело №</w:t>
      </w:r>
      <w:r>
        <w:rPr>
          <w:sz w:val="28"/>
          <w:szCs w:val="28"/>
          <w:rtl w:val="0"/>
          <w:lang w:val="ru-RU"/>
        </w:rPr>
        <w:t xml:space="preserve">2-1112/2020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14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13.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2-1319/2020 (2-6998/2019)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14.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2-594/2020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Красногвардейский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15.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2-1059/2020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Красногвардейский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16.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2-557/2020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17.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2-640/20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05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18.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2-1028/20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19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Фрунзенский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19.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2-169/2020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Смольнинский районный суд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20.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2-1626/2020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21.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2-1739/2020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Петроградский районный суд Санкт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22.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2-142/2020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23.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2-672/2020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29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Василеостровский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24.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2-103/2020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Ленинский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25.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2-1170/2020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05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26.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2-1118/2020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27.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2-44/2020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06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2020, </w:t>
      </w:r>
      <w:r>
        <w:rPr>
          <w:sz w:val="28"/>
          <w:szCs w:val="28"/>
          <w:rtl w:val="0"/>
          <w:lang w:val="ru-RU"/>
        </w:rPr>
        <w:t>Выборгский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28.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2-1764/2020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Петроградский районный суд Санкт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29.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2-442/2020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30.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>2-918\20</w:t>
      </w:r>
      <w:r>
        <w:rPr>
          <w:sz w:val="28"/>
          <w:szCs w:val="28"/>
          <w:rtl w:val="0"/>
          <w:lang w:val="ru-RU"/>
        </w:rPr>
        <w:t xml:space="preserve">г от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31.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22515/2019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Пушкинский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32.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2-2516/2019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Петроградский районный суд Санкт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33.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2-3289/2019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Василеостровский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34.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2-4357/2019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03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35. </w:t>
      </w:r>
      <w:r>
        <w:rPr>
          <w:sz w:val="28"/>
          <w:szCs w:val="28"/>
          <w:rtl w:val="0"/>
          <w:lang w:val="ru-RU"/>
        </w:rPr>
        <w:t>Дело №</w:t>
      </w:r>
      <w:r>
        <w:rPr>
          <w:sz w:val="28"/>
          <w:szCs w:val="28"/>
          <w:rtl w:val="0"/>
          <w:lang w:val="ru-RU"/>
        </w:rPr>
        <w:t xml:space="preserve">2-4737/2019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13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Красногвардейский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36.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2-5957/2019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Октябрьский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37.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2-6090/2019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Выборгский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38.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2-6870/19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09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Колпинский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39.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2-257/2020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Красногвардейский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40.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2-979/2020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14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41.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2-2371/2019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02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Фрунзенский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42.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2-2276/19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Приморский районный суд города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43.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2-1621/2019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Петродворцовый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44.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**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**.**.****, </w:t>
      </w:r>
      <w:r>
        <w:rPr>
          <w:sz w:val="28"/>
          <w:szCs w:val="28"/>
          <w:rtl w:val="0"/>
          <w:lang w:val="ru-RU"/>
        </w:rPr>
        <w:t>Куйбышевский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45.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2-4996/2019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Красносельский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46.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2-5057/2019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04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Фрунзенский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47.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2-6061/2019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Калининский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48.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2-8425/2019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сентябри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Приморский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49.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2-7757/19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Приморский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31"/>
        </w:tabs>
        <w:spacing w:before="0" w:line="360" w:lineRule="auto"/>
      </w:pPr>
      <w:r>
        <w:rPr>
          <w:sz w:val="28"/>
          <w:szCs w:val="28"/>
          <w:rtl w:val="0"/>
          <w:lang w:val="ru-RU"/>
        </w:rPr>
        <w:t xml:space="preserve">50. </w:t>
      </w:r>
      <w:r>
        <w:rPr>
          <w:sz w:val="28"/>
          <w:szCs w:val="28"/>
          <w:rtl w:val="0"/>
          <w:lang w:val="ru-RU"/>
        </w:rPr>
        <w:t xml:space="preserve">Дело № </w:t>
      </w:r>
      <w:r>
        <w:rPr>
          <w:sz w:val="28"/>
          <w:szCs w:val="28"/>
          <w:rtl w:val="0"/>
          <w:lang w:val="ru-RU"/>
        </w:rPr>
        <w:t xml:space="preserve">2-3463/2019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09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Красногвардейский районный суд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69" w:bottom="1134" w:left="1700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1"/>
      <w:tabs>
        <w:tab w:val="right" w:pos="9311"/>
        <w:tab w:val="clear" w:pos="9638"/>
      </w:tabs>
      <w:jc w:val="center"/>
    </w:pPr>
    <w:r>
      <w:rPr>
        <w:lang w:val="ru-RU"/>
      </w:rPr>
      <w:fldChar w:fldCharType="begin" w:fldLock="0"/>
    </w:r>
    <w:r>
      <w:rPr>
        <w:lang w:val="ru-RU"/>
      </w:rPr>
      <w:instrText xml:space="preserve"> PAGE </w:instrText>
    </w:r>
    <w:r>
      <w:rPr>
        <w:lang w:val="ru-RU"/>
      </w:rPr>
      <w:fldChar w:fldCharType="separate" w:fldLock="0"/>
    </w:r>
    <w:r>
      <w:rPr>
        <w:lang w:val="ru-RU"/>
      </w:rPr>
    </w:r>
    <w:r>
      <w:rPr>
        <w:lang w:val="ru-RU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 Pocc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ий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й Феде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ации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Учеб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– мет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бие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Ю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айт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-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2002.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352 c.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Вла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 Ю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Калинин 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</w:p>
  </w:footnote>
  <w:footnote w:id="2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>Статья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Фактическое принятие наследства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Рассказова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.)</w:t>
      </w:r>
      <w:r>
        <w:rPr>
          <w:lang w:val="ru-RU"/>
        </w:rPr>
        <w:br w:type="textWrapping"/>
      </w:r>
      <w:r>
        <w:rPr>
          <w:rtl w:val="0"/>
          <w:lang w:val="ru-RU"/>
        </w:rPr>
        <w:t>("</w:t>
      </w:r>
      <w:r>
        <w:rPr>
          <w:rtl w:val="0"/>
          <w:lang w:val="ru-RU"/>
        </w:rPr>
        <w:t>Вестник гражданского права</w:t>
      </w:r>
      <w:r>
        <w:rPr>
          <w:rtl w:val="0"/>
          <w:lang w:val="ru-RU"/>
        </w:rPr>
        <w:t xml:space="preserve">", 2016, </w:t>
      </w:r>
      <w:r>
        <w:rPr>
          <w:rtl w:val="0"/>
          <w:lang w:val="en-US"/>
        </w:rPr>
        <w:t>N</w:t>
      </w:r>
      <w:r>
        <w:rPr>
          <w:rtl w:val="0"/>
          <w:lang w:val="ru-RU"/>
        </w:rPr>
        <w:t xml:space="preserve"> 5)</w:t>
      </w:r>
    </w:p>
  </w:footnote>
  <w:footnote w:id="3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vertAlign w:val="superscript"/>
          <w:rtl w:val="0"/>
          <w:lang w:val="en-US"/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книга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Учеб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.-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бие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2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/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Феде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Pocc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 - 2-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изд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-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pc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Клуве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p, 2004</w:t>
      </w:r>
    </w:p>
  </w:footnote>
  <w:footnote w:id="4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книга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Учеб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.-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бие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2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/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Феде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Pocc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 - 2-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изд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-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pc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Клуве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p, 2004</w:t>
      </w:r>
    </w:p>
  </w:footnote>
  <w:footnote w:id="5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Петров 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Наследственное право России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состояние и перспективы развития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сравнительно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правовое исследование</w:t>
      </w:r>
      <w:r>
        <w:rPr>
          <w:sz w:val="24"/>
          <w:szCs w:val="24"/>
          <w:rtl w:val="0"/>
          <w:lang w:val="ru-RU"/>
        </w:rPr>
        <w:t xml:space="preserve">) / 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Петров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Логос</w:t>
      </w:r>
      <w:r>
        <w:rPr>
          <w:sz w:val="24"/>
          <w:szCs w:val="24"/>
          <w:rtl w:val="0"/>
          <w:lang w:val="ru-RU"/>
        </w:rPr>
        <w:t xml:space="preserve">, 2017. 152 </w:t>
      </w:r>
      <w:r>
        <w:rPr>
          <w:sz w:val="24"/>
          <w:szCs w:val="24"/>
          <w:rtl w:val="0"/>
          <w:lang w:val="ru-RU"/>
        </w:rPr>
        <w:t>с</w:t>
      </w:r>
    </w:p>
  </w:footnote>
  <w:footnote w:id="6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ии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(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ГК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ча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ть 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етья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аздел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5), 5-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издание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лненн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Клуве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2005.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Т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0"/>
          <w:szCs w:val="20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</w:footnote>
  <w:footnote w:id="7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актике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д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Феде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717 c.</w:t>
      </w:r>
    </w:p>
  </w:footnote>
  <w:footnote w:id="8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актике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д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Феде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717 c.</w:t>
      </w:r>
    </w:p>
  </w:footnote>
  <w:footnote w:id="9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u w:color="464c55"/>
          <w:rtl w:val="0"/>
          <w:lang w:val="ru-RU"/>
        </w:rPr>
        <w:t>Право на принятие наследства</w:t>
      </w:r>
      <w:r>
        <w:rPr>
          <w:sz w:val="24"/>
          <w:szCs w:val="24"/>
          <w:u w:color="464c55"/>
          <w:rtl w:val="0"/>
          <w:lang w:val="ru-RU"/>
        </w:rPr>
        <w:t xml:space="preserve">. </w:t>
      </w:r>
      <w:r>
        <w:rPr>
          <w:sz w:val="24"/>
          <w:szCs w:val="24"/>
          <w:u w:color="464c55"/>
          <w:rtl w:val="0"/>
          <w:lang w:val="ru-RU"/>
        </w:rPr>
        <w:t>Н</w:t>
      </w:r>
      <w:r>
        <w:rPr>
          <w:sz w:val="24"/>
          <w:szCs w:val="24"/>
          <w:u w:color="464c55"/>
          <w:rtl w:val="0"/>
          <w:lang w:val="ru-RU"/>
        </w:rPr>
        <w:t>.</w:t>
      </w:r>
      <w:r>
        <w:rPr>
          <w:sz w:val="24"/>
          <w:szCs w:val="24"/>
          <w:u w:color="464c55"/>
          <w:rtl w:val="0"/>
          <w:lang w:val="ru-RU"/>
        </w:rPr>
        <w:t>Ю</w:t>
      </w:r>
      <w:r>
        <w:rPr>
          <w:sz w:val="24"/>
          <w:szCs w:val="24"/>
          <w:u w:color="464c55"/>
          <w:rtl w:val="0"/>
          <w:lang w:val="ru-RU"/>
        </w:rPr>
        <w:t xml:space="preserve">. </w:t>
      </w:r>
      <w:r>
        <w:rPr>
          <w:sz w:val="24"/>
          <w:szCs w:val="24"/>
          <w:u w:color="464c55"/>
          <w:rtl w:val="0"/>
          <w:lang w:val="ru-RU"/>
        </w:rPr>
        <w:t>Рассказова</w:t>
      </w:r>
      <w:r>
        <w:rPr>
          <w:sz w:val="24"/>
          <w:szCs w:val="24"/>
          <w:u w:color="464c55"/>
          <w:rtl w:val="0"/>
          <w:lang w:val="ru-RU"/>
        </w:rPr>
        <w:t xml:space="preserve">, </w:t>
      </w:r>
      <w:r>
        <w:rPr>
          <w:sz w:val="24"/>
          <w:szCs w:val="24"/>
          <w:u w:color="464c55"/>
          <w:rtl w:val="0"/>
          <w:lang w:val="ru-RU"/>
        </w:rPr>
        <w:t>«Закон»</w:t>
      </w:r>
      <w:r>
        <w:rPr>
          <w:sz w:val="24"/>
          <w:szCs w:val="24"/>
          <w:u w:color="464c55"/>
          <w:rtl w:val="0"/>
          <w:lang w:val="ru-RU"/>
        </w:rPr>
        <w:t xml:space="preserve">, </w:t>
      </w:r>
      <w:r>
        <w:rPr>
          <w:sz w:val="24"/>
          <w:szCs w:val="24"/>
          <w:u w:color="464c55"/>
          <w:rtl w:val="0"/>
          <w:lang w:val="en-US"/>
        </w:rPr>
        <w:t>N</w:t>
      </w:r>
      <w:r>
        <w:rPr>
          <w:sz w:val="24"/>
          <w:szCs w:val="24"/>
          <w:u w:color="464c55"/>
          <w:rtl w:val="0"/>
          <w:lang w:val="ru-RU"/>
        </w:rPr>
        <w:t xml:space="preserve"> 10, </w:t>
      </w:r>
      <w:r>
        <w:rPr>
          <w:sz w:val="24"/>
          <w:szCs w:val="24"/>
          <w:u w:color="464c55"/>
          <w:rtl w:val="0"/>
          <w:lang w:val="ru-RU"/>
        </w:rPr>
        <w:t xml:space="preserve">октябрь </w:t>
      </w:r>
      <w:r>
        <w:rPr>
          <w:sz w:val="24"/>
          <w:szCs w:val="24"/>
          <w:u w:color="464c55"/>
          <w:rtl w:val="0"/>
          <w:lang w:val="ru-RU"/>
        </w:rPr>
        <w:t xml:space="preserve">2006 </w:t>
      </w:r>
      <w:r>
        <w:rPr>
          <w:sz w:val="24"/>
          <w:szCs w:val="24"/>
          <w:u w:color="464c55"/>
          <w:rtl w:val="0"/>
          <w:lang w:val="ru-RU"/>
        </w:rPr>
        <w:t>г</w:t>
      </w:r>
      <w:r>
        <w:rPr>
          <w:sz w:val="24"/>
          <w:szCs w:val="24"/>
          <w:u w:color="464c55"/>
          <w:rtl w:val="0"/>
          <w:lang w:val="ru-RU"/>
        </w:rPr>
        <w:t>.</w:t>
      </w:r>
    </w:p>
  </w:footnote>
  <w:footnote w:id="10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Чтения по гражданскому праву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.2: </w:t>
      </w:r>
      <w:r>
        <w:rPr>
          <w:sz w:val="24"/>
          <w:szCs w:val="24"/>
          <w:rtl w:val="0"/>
          <w:lang w:val="ru-RU"/>
        </w:rPr>
        <w:t>Учение о вещах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Учение о юридической сделке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Дювернула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., 2004</w:t>
      </w:r>
    </w:p>
  </w:footnote>
  <w:footnote w:id="11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на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 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актике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д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 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Феде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717 c.</w:t>
      </w:r>
    </w:p>
  </w:footnote>
  <w:footnote w:id="12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ек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мендации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, 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азцы 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матив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Акты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, 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удеб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актика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акт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бие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</w:t>
      </w:r>
    </w:p>
  </w:footnote>
  <w:footnote w:id="13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Чтения по гражданскому праву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.2: </w:t>
      </w:r>
      <w:r>
        <w:rPr>
          <w:sz w:val="24"/>
          <w:szCs w:val="24"/>
          <w:rtl w:val="0"/>
          <w:lang w:val="ru-RU"/>
        </w:rPr>
        <w:t>Учение о вещах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Учение о юридической сделке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Дювернула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., 2004</w:t>
      </w:r>
    </w:p>
  </w:footnote>
  <w:footnote w:id="14">
    <w:p>
      <w:pPr>
        <w:pStyle w:val="Standard"/>
        <w:spacing w:before="100" w:after="100" w:line="276" w:lineRule="auto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Наследственное право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постатейный комментарий к статьям </w:t>
      </w:r>
      <w:r>
        <w:rPr>
          <w:rtl w:val="0"/>
          <w:lang w:val="ru-RU"/>
        </w:rPr>
        <w:t>1110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1185, 1224 </w:t>
      </w:r>
      <w:r>
        <w:rPr>
          <w:rtl w:val="0"/>
          <w:lang w:val="ru-RU"/>
        </w:rPr>
        <w:t xml:space="preserve">ГК РФ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Отв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Логос</w:t>
      </w:r>
      <w:r>
        <w:rPr>
          <w:rtl w:val="0"/>
          <w:lang w:val="ru-RU"/>
        </w:rPr>
        <w:t xml:space="preserve">, 2018.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1255 (</w:t>
      </w:r>
      <w:r>
        <w:rPr>
          <w:rtl w:val="0"/>
          <w:lang w:val="ru-RU"/>
        </w:rPr>
        <w:t xml:space="preserve">автор комментария к статье </w:t>
      </w:r>
      <w:r>
        <w:rPr>
          <w:rtl w:val="0"/>
          <w:lang w:val="ru-RU"/>
        </w:rPr>
        <w:t xml:space="preserve">1151 </w:t>
      </w:r>
      <w:r>
        <w:rPr>
          <w:rtl w:val="0"/>
          <w:lang w:val="ru-RU"/>
        </w:rPr>
        <w:t>ГК РФ —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Петров</w:t>
      </w:r>
      <w:r>
        <w:rPr>
          <w:rtl w:val="0"/>
          <w:lang w:val="ru-RU"/>
        </w:rPr>
        <w:t>)</w:t>
      </w:r>
    </w:p>
  </w:footnote>
  <w:footnote w:id="15">
    <w:p>
      <w:pPr>
        <w:pStyle w:val="footnote text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Основы законодательства Российской Федерации о нотариате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ru-RU"/>
        </w:rPr>
        <w:t>Электронный ресурс</w:t>
      </w:r>
      <w:r>
        <w:rPr>
          <w:sz w:val="24"/>
          <w:szCs w:val="24"/>
          <w:rtl w:val="0"/>
          <w:lang w:val="ru-RU"/>
        </w:rPr>
        <w:t xml:space="preserve">] : </w:t>
      </w:r>
      <w:r>
        <w:rPr>
          <w:sz w:val="24"/>
          <w:szCs w:val="24"/>
          <w:rtl w:val="0"/>
          <w:lang w:val="ru-RU"/>
        </w:rPr>
        <w:t>утв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ВС РФ </w:t>
      </w:r>
      <w:r>
        <w:rPr>
          <w:sz w:val="24"/>
          <w:szCs w:val="24"/>
          <w:rtl w:val="0"/>
          <w:lang w:val="ru-RU"/>
        </w:rPr>
        <w:t xml:space="preserve">11 </w:t>
      </w:r>
      <w:r>
        <w:rPr>
          <w:sz w:val="24"/>
          <w:szCs w:val="24"/>
          <w:rtl w:val="0"/>
          <w:lang w:val="ru-RU"/>
        </w:rPr>
        <w:t>февр</w:t>
      </w:r>
      <w:r>
        <w:rPr>
          <w:sz w:val="24"/>
          <w:szCs w:val="24"/>
          <w:rtl w:val="0"/>
          <w:lang w:val="ru-RU"/>
        </w:rPr>
        <w:t xml:space="preserve">. 1993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4462-1 // </w:t>
      </w:r>
      <w:r>
        <w:rPr>
          <w:sz w:val="24"/>
          <w:szCs w:val="24"/>
          <w:rtl w:val="0"/>
          <w:lang w:val="ru-RU"/>
        </w:rPr>
        <w:t>Российская газета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1993 -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49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ред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дек</w:t>
      </w:r>
      <w:r>
        <w:rPr>
          <w:sz w:val="24"/>
          <w:szCs w:val="24"/>
          <w:rtl w:val="0"/>
          <w:lang w:val="ru-RU"/>
        </w:rPr>
        <w:t xml:space="preserve">. 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– СПС «КонсультантПлюс»</w:t>
      </w:r>
      <w:r>
        <w:rPr>
          <w:sz w:val="24"/>
          <w:szCs w:val="24"/>
          <w:rtl w:val="0"/>
          <w:lang w:val="ru-RU"/>
        </w:rPr>
        <w:t>.</w:t>
      </w:r>
    </w:p>
  </w:footnote>
  <w:footnote w:id="16">
    <w:p>
      <w:pPr>
        <w:pStyle w:val="footnote text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sz w:val="24"/>
          <w:szCs w:val="24"/>
          <w:rtl w:val="0"/>
          <w:lang w:val="ru-RU"/>
        </w:rPr>
        <w:t xml:space="preserve">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Гражданское право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учебник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в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3-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х томах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3 /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под ред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проф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А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Сергеева и проф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Ю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К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Толстого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М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., 2003.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С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644.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Автор главы Ю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К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outline w:val="0"/>
          <w:color w:val="22272f"/>
          <w:sz w:val="24"/>
          <w:szCs w:val="24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Толстой</w:t>
      </w:r>
    </w:p>
  </w:footnote>
  <w:footnote w:id="17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ии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(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ГК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ча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ть 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етья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аздел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5), 5-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издание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аб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лненн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лте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Клуве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2005.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</w:footnote>
  <w:footnote w:id="18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мендации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азцы 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матив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Акты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удеб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бие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</w:p>
  </w:footnote>
  <w:footnote w:id="19">
    <w:p>
      <w:pPr>
        <w:pStyle w:val="footnote text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Основы законодательства Российской Федерации о нотариате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ru-RU"/>
        </w:rPr>
        <w:t>Электронный ресурс</w:t>
      </w:r>
      <w:r>
        <w:rPr>
          <w:sz w:val="24"/>
          <w:szCs w:val="24"/>
          <w:rtl w:val="0"/>
          <w:lang w:val="ru-RU"/>
        </w:rPr>
        <w:t xml:space="preserve">] : </w:t>
      </w:r>
      <w:r>
        <w:rPr>
          <w:sz w:val="24"/>
          <w:szCs w:val="24"/>
          <w:rtl w:val="0"/>
          <w:lang w:val="ru-RU"/>
        </w:rPr>
        <w:t>утв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ВС РФ </w:t>
      </w:r>
      <w:r>
        <w:rPr>
          <w:sz w:val="24"/>
          <w:szCs w:val="24"/>
          <w:rtl w:val="0"/>
          <w:lang w:val="ru-RU"/>
        </w:rPr>
        <w:t xml:space="preserve">11 </w:t>
      </w:r>
      <w:r>
        <w:rPr>
          <w:sz w:val="24"/>
          <w:szCs w:val="24"/>
          <w:rtl w:val="0"/>
          <w:lang w:val="ru-RU"/>
        </w:rPr>
        <w:t>февр</w:t>
      </w:r>
      <w:r>
        <w:rPr>
          <w:sz w:val="24"/>
          <w:szCs w:val="24"/>
          <w:rtl w:val="0"/>
          <w:lang w:val="ru-RU"/>
        </w:rPr>
        <w:t xml:space="preserve">. 1993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4462-1 // </w:t>
      </w:r>
      <w:r>
        <w:rPr>
          <w:sz w:val="24"/>
          <w:szCs w:val="24"/>
          <w:rtl w:val="0"/>
          <w:lang w:val="ru-RU"/>
        </w:rPr>
        <w:t>Российская газета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1993 -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49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ред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дек</w:t>
      </w:r>
      <w:r>
        <w:rPr>
          <w:sz w:val="24"/>
          <w:szCs w:val="24"/>
          <w:rtl w:val="0"/>
          <w:lang w:val="ru-RU"/>
        </w:rPr>
        <w:t xml:space="preserve">. 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– СПС «КонсультантПлюс»</w:t>
      </w:r>
      <w:r>
        <w:rPr>
          <w:sz w:val="24"/>
          <w:szCs w:val="24"/>
          <w:rtl w:val="0"/>
          <w:lang w:val="ru-RU"/>
        </w:rPr>
        <w:t>.</w:t>
      </w:r>
    </w:p>
  </w:footnote>
  <w:footnote w:id="20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 книга 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и 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в 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актике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д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 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 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 Феде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– М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.: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717 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</w:p>
  </w:footnote>
  <w:footnote w:id="21">
    <w:p>
      <w:pPr>
        <w:pStyle w:val="Standard"/>
        <w:jc w:val="both"/>
      </w:pPr>
      <w:r>
        <w:rPr>
          <w:sz w:val="28"/>
          <w:szCs w:val="28"/>
          <w:vertAlign w:val="superscript"/>
        </w:rPr>
        <w:footnoteRef/>
      </w:r>
      <w:r>
        <w:rPr>
          <w:vertAlign w:val="superscript"/>
          <w:rtl w:val="0"/>
          <w:lang w:val="en-US"/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2016.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207 c.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</w:p>
  </w:footnote>
  <w:footnote w:id="22">
    <w:p>
      <w:pPr>
        <w:pStyle w:val="Текст сноски1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 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мендации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, 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азцы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матив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Акты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,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удеб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бие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</w:p>
  </w:footnote>
  <w:footnote w:id="23">
    <w:p>
      <w:pPr>
        <w:pStyle w:val="Standard"/>
        <w:spacing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е 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o: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татейный 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ий к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татьям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1110-1185, 1224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аждан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дек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а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Pocc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ий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й Феде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ации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/ 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тв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 P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Ю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Пет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po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-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татут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2018.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510 c.</w:t>
      </w:r>
    </w:p>
  </w:footnote>
  <w:footnote w:id="24"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vertAlign w:val="superscript"/>
          <w:rtl w:val="0"/>
          <w:lang w:val="ru-RU"/>
        </w:rPr>
        <w:t xml:space="preserve"> </w:t>
      </w:r>
      <w:r>
        <w:rPr>
          <w:rFonts w:ascii="Cambria" w:hAnsi="Cambria" w:hint="default"/>
          <w:rtl w:val="0"/>
          <w:lang w:val="ru-RU"/>
        </w:rPr>
        <w:t>Бюллетень Ве</w:t>
      </w:r>
      <w:r>
        <w:rPr>
          <w:rFonts w:ascii="Cambria" w:hAnsi="Cambria"/>
          <w:rtl w:val="0"/>
          <w:lang w:val="ru-RU"/>
        </w:rPr>
        <w:t>p</w:t>
      </w:r>
      <w:r>
        <w:rPr>
          <w:rFonts w:ascii="Cambria" w:hAnsi="Cambria" w:hint="default"/>
          <w:rtl w:val="0"/>
          <w:lang w:val="ru-RU"/>
        </w:rPr>
        <w:t>х</w:t>
      </w:r>
      <w:r>
        <w:rPr>
          <w:rFonts w:ascii="Cambria" w:hAnsi="Cambria"/>
          <w:rtl w:val="0"/>
          <w:lang w:val="ru-RU"/>
        </w:rPr>
        <w:t>o</w:t>
      </w:r>
      <w:r>
        <w:rPr>
          <w:rFonts w:ascii="Cambria" w:hAnsi="Cambria" w:hint="default"/>
          <w:rtl w:val="0"/>
          <w:lang w:val="ru-RU"/>
        </w:rPr>
        <w:t>вн</w:t>
      </w:r>
      <w:r>
        <w:rPr>
          <w:rFonts w:ascii="Cambria" w:hAnsi="Cambria"/>
          <w:rtl w:val="0"/>
          <w:lang w:val="ru-RU"/>
        </w:rPr>
        <w:t>o</w:t>
      </w:r>
      <w:r>
        <w:rPr>
          <w:rFonts w:ascii="Cambria" w:hAnsi="Cambria" w:hint="default"/>
          <w:rtl w:val="0"/>
          <w:lang w:val="ru-RU"/>
        </w:rPr>
        <w:t>г</w:t>
      </w:r>
      <w:r>
        <w:rPr>
          <w:rFonts w:ascii="Cambria" w:hAnsi="Cambria"/>
          <w:rtl w:val="0"/>
          <w:lang w:val="ru-RU"/>
        </w:rPr>
        <w:t>o C</w:t>
      </w:r>
      <w:r>
        <w:rPr>
          <w:rFonts w:ascii="Cambria" w:hAnsi="Cambria" w:hint="default"/>
          <w:rtl w:val="0"/>
          <w:lang w:val="ru-RU"/>
        </w:rPr>
        <w:t xml:space="preserve">уда </w:t>
      </w:r>
      <w:r>
        <w:rPr>
          <w:rFonts w:ascii="Cambria" w:hAnsi="Cambria"/>
          <w:rtl w:val="0"/>
          <w:lang w:val="ru-RU"/>
        </w:rPr>
        <w:t>P</w:t>
      </w:r>
      <w:r>
        <w:rPr>
          <w:rFonts w:ascii="Cambria" w:hAnsi="Cambria" w:hint="default"/>
          <w:rtl w:val="0"/>
          <w:lang w:val="ru-RU"/>
        </w:rPr>
        <w:t xml:space="preserve">Ф </w:t>
      </w:r>
      <w:r>
        <w:rPr>
          <w:rFonts w:ascii="Cambria" w:hAnsi="Cambria"/>
          <w:rtl w:val="0"/>
          <w:lang w:val="ru-RU"/>
        </w:rPr>
        <w:t>2004</w:t>
      </w:r>
      <w:r>
        <w:rPr>
          <w:rFonts w:ascii="Cambria" w:hAnsi="Cambria" w:hint="default"/>
          <w:rtl w:val="0"/>
          <w:lang w:val="ru-RU"/>
        </w:rPr>
        <w:t>г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№</w:t>
      </w:r>
      <w:r>
        <w:rPr>
          <w:rFonts w:ascii="Cambria" w:hAnsi="Cambria"/>
          <w:rtl w:val="0"/>
          <w:lang w:val="ru-RU"/>
        </w:rPr>
        <w:t>12</w:t>
      </w:r>
    </w:p>
  </w:footnote>
  <w:footnote w:id="25">
    <w:p>
      <w:pPr>
        <w:pStyle w:val="По умолчанию A"/>
        <w:tabs>
          <w:tab w:val="left" w:pos="3119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</w:tabs>
        <w:spacing w:before="0" w:line="276" w:lineRule="auto"/>
        <w:jc w:val="both"/>
      </w:pPr>
      <w:r>
        <w:rPr>
          <w:sz w:val="28"/>
          <w:szCs w:val="28"/>
          <w:vertAlign w:val="superscript"/>
        </w:rPr>
        <w:footnoteRef/>
      </w:r>
      <w:r>
        <w:rPr>
          <w:rFonts w:ascii="Cambria" w:hAnsi="Cambria"/>
          <w:rtl w:val="0"/>
          <w:lang w:val="en-US"/>
        </w:rPr>
        <w:t xml:space="preserve"> 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льная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книга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иу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: 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емейн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/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Г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Медведева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;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Цент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ваний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Феде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p.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палате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.: C</w:t>
      </w:r>
      <w:r>
        <w:rPr>
          <w:outline w:val="0"/>
          <w:color w:val="262623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татут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2015.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– </w:t>
      </w:r>
      <w:r>
        <w:rPr>
          <w:outline w:val="0"/>
          <w:color w:val="262623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717</w:t>
      </w:r>
      <w:r>
        <w:rPr>
          <w:outline w:val="0"/>
          <w:color w:val="262623"/>
          <w:sz w:val="20"/>
          <w:szCs w:val="20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c.</w:t>
      </w:r>
    </w:p>
  </w:footnote>
  <w:footnote w:id="26">
    <w:p>
      <w:pPr>
        <w:pStyle w:val="Текст сноски1"/>
        <w:spacing w:line="276" w:lineRule="auto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en-US"/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лед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твенн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o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иальн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й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актике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ммента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ии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мет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д</w:t>
      </w:r>
      <w:r>
        <w:rPr>
          <w:outline w:val="0"/>
          <w:color w:val="262623"/>
          <w:sz w:val="24"/>
          <w:szCs w:val="24"/>
          <w:u w:color="262623"/>
          <w:rtl w:val="0"/>
          <w:lang w:val="en-US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ек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мендации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, 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б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азцы д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н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матив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Акты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, c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удеб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актика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: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акт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oco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бие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/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Т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И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Зайцева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,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П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.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 xml:space="preserve">. 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К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p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ашенник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o</w:t>
      </w:r>
      <w:r>
        <w:rPr>
          <w:outline w:val="0"/>
          <w:color w:val="262623"/>
          <w:sz w:val="24"/>
          <w:szCs w:val="24"/>
          <w:u w:color="262623"/>
          <w:rtl w:val="0"/>
          <w:lang w:val="ru-RU"/>
          <w14:textFill>
            <w14:solidFill>
              <w14:srgbClr w14:val="262623"/>
            </w14:solidFill>
          </w14:textFill>
        </w:rPr>
        <w:t>в</w:t>
      </w:r>
    </w:p>
  </w:footnote>
  <w:footnote w:id="27"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Fonts w:ascii="Cambria" w:hAnsi="Cambria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2-98/2020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28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Красносельский районный суд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28">
    <w:p>
      <w:pPr>
        <w:pStyle w:val="footnote text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sz w:val="24"/>
          <w:szCs w:val="24"/>
          <w:u w:color="464c55"/>
          <w:rtl w:val="0"/>
          <w:lang w:val="ru-RU"/>
        </w:rPr>
        <w:t>Право на принятие наследства</w:t>
      </w:r>
      <w:r>
        <w:rPr>
          <w:sz w:val="24"/>
          <w:szCs w:val="24"/>
          <w:u w:color="464c55"/>
          <w:rtl w:val="0"/>
          <w:lang w:val="ru-RU"/>
        </w:rPr>
        <w:t xml:space="preserve">. </w:t>
      </w:r>
      <w:r>
        <w:rPr>
          <w:sz w:val="24"/>
          <w:szCs w:val="24"/>
          <w:u w:color="464c55"/>
          <w:rtl w:val="0"/>
          <w:lang w:val="ru-RU"/>
        </w:rPr>
        <w:t>Н</w:t>
      </w:r>
      <w:r>
        <w:rPr>
          <w:sz w:val="24"/>
          <w:szCs w:val="24"/>
          <w:u w:color="464c55"/>
          <w:rtl w:val="0"/>
          <w:lang w:val="ru-RU"/>
        </w:rPr>
        <w:t>.</w:t>
      </w:r>
      <w:r>
        <w:rPr>
          <w:sz w:val="24"/>
          <w:szCs w:val="24"/>
          <w:u w:color="464c55"/>
          <w:rtl w:val="0"/>
          <w:lang w:val="ru-RU"/>
        </w:rPr>
        <w:t>Ю</w:t>
      </w:r>
      <w:r>
        <w:rPr>
          <w:sz w:val="24"/>
          <w:szCs w:val="24"/>
          <w:u w:color="464c55"/>
          <w:rtl w:val="0"/>
          <w:lang w:val="ru-RU"/>
        </w:rPr>
        <w:t xml:space="preserve">. </w:t>
      </w:r>
      <w:r>
        <w:rPr>
          <w:sz w:val="24"/>
          <w:szCs w:val="24"/>
          <w:u w:color="464c55"/>
          <w:rtl w:val="0"/>
          <w:lang w:val="ru-RU"/>
        </w:rPr>
        <w:t>Рассказова</w:t>
      </w:r>
      <w:r>
        <w:rPr>
          <w:sz w:val="24"/>
          <w:szCs w:val="24"/>
          <w:u w:color="464c55"/>
          <w:rtl w:val="0"/>
          <w:lang w:val="ru-RU"/>
        </w:rPr>
        <w:t xml:space="preserve">, </w:t>
      </w:r>
      <w:r>
        <w:rPr>
          <w:sz w:val="24"/>
          <w:szCs w:val="24"/>
          <w:u w:color="464c55"/>
          <w:rtl w:val="0"/>
          <w:lang w:val="ru-RU"/>
        </w:rPr>
        <w:t>«Закон»</w:t>
      </w:r>
      <w:r>
        <w:rPr>
          <w:sz w:val="24"/>
          <w:szCs w:val="24"/>
          <w:u w:color="464c55"/>
          <w:rtl w:val="0"/>
          <w:lang w:val="ru-RU"/>
        </w:rPr>
        <w:t xml:space="preserve">, </w:t>
      </w:r>
      <w:r>
        <w:rPr>
          <w:sz w:val="24"/>
          <w:szCs w:val="24"/>
          <w:u w:color="464c55"/>
          <w:rtl w:val="0"/>
          <w:lang w:val="en-US"/>
        </w:rPr>
        <w:t>N</w:t>
      </w:r>
      <w:r>
        <w:rPr>
          <w:sz w:val="24"/>
          <w:szCs w:val="24"/>
          <w:u w:color="464c55"/>
          <w:rtl w:val="0"/>
          <w:lang w:val="ru-RU"/>
        </w:rPr>
        <w:t xml:space="preserve"> 10, </w:t>
      </w:r>
      <w:r>
        <w:rPr>
          <w:sz w:val="24"/>
          <w:szCs w:val="24"/>
          <w:u w:color="464c55"/>
          <w:rtl w:val="0"/>
          <w:lang w:val="ru-RU"/>
        </w:rPr>
        <w:t xml:space="preserve">октябрь </w:t>
      </w:r>
      <w:r>
        <w:rPr>
          <w:sz w:val="24"/>
          <w:szCs w:val="24"/>
          <w:u w:color="464c55"/>
          <w:rtl w:val="0"/>
          <w:lang w:val="ru-RU"/>
        </w:rPr>
        <w:t xml:space="preserve">2006 </w:t>
      </w:r>
      <w:r>
        <w:rPr>
          <w:sz w:val="24"/>
          <w:szCs w:val="24"/>
          <w:u w:color="464c55"/>
          <w:rtl w:val="0"/>
          <w:lang w:val="ru-RU"/>
        </w:rPr>
        <w:t>г</w:t>
      </w:r>
      <w:r>
        <w:rPr>
          <w:sz w:val="24"/>
          <w:szCs w:val="24"/>
          <w:u w:color="464c55"/>
          <w:rtl w:val="0"/>
          <w:lang w:val="ru-RU"/>
        </w:rPr>
        <w:t>.</w:t>
      </w:r>
    </w:p>
  </w:footnote>
  <w:footnote w:id="29"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2-1626/2020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Красносельский районный суд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0"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2-2516/2019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Петроградский районный суд Санкт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1"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2-2371/2019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02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Фрунзенский районный суд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2"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2-1764/2020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Петроградский районный суд Санкт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3"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2-1800/2020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Невский районный суд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4"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2-1764/2020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Петроградский районный суд Санкт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  <w:footnote w:id="35"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Дело № </w:t>
      </w:r>
      <w:r>
        <w:rPr>
          <w:rtl w:val="0"/>
          <w:lang w:val="ru-RU"/>
        </w:rPr>
        <w:t xml:space="preserve">2-1626/2020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Красносельский районный суд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1">
    <w:name w:val="Нижний колонтитул1"/>
    <w:next w:val="Нижний колонтитул1"/>
    <w:pPr>
      <w:keepNext w:val="0"/>
      <w:keepLines w:val="0"/>
      <w:pageBreakBefore w:val="0"/>
      <w:widowControl w:val="1"/>
      <w:shd w:val="clear" w:color="auto" w:fill="ffffff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 сноски1">
    <w:name w:val="Текст сноски1"/>
    <w:next w:val="Текст сноски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3"/>
      <w:position w:val="0"/>
      <w:sz w:val="20"/>
      <w:szCs w:val="20"/>
      <w:u w:val="none" w:color="00000a"/>
      <w:shd w:val="nil" w:color="auto" w:fill="auto"/>
      <w:vertAlign w:val="baseline"/>
      <w:lang w:val="ru-RU"/>
      <w14:textFill>
        <w14:solidFill>
          <w14:srgbClr w14:val="00000A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