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2F2" w:rsidRPr="0093582B" w:rsidRDefault="004F42F2" w:rsidP="00EA43B5">
      <w:pPr>
        <w:spacing w:after="0" w:line="360" w:lineRule="auto"/>
        <w:jc w:val="center"/>
        <w:rPr>
          <w:rFonts w:asciiTheme="majorHAnsi" w:hAnsiTheme="majorHAnsi" w:cstheme="majorHAnsi"/>
          <w:sz w:val="28"/>
          <w:szCs w:val="28"/>
        </w:rPr>
      </w:pPr>
      <w:r w:rsidRPr="0093582B">
        <w:rPr>
          <w:rFonts w:asciiTheme="majorHAnsi" w:hAnsiTheme="majorHAnsi" w:cstheme="majorHAnsi"/>
          <w:sz w:val="28"/>
          <w:szCs w:val="28"/>
        </w:rPr>
        <w:t xml:space="preserve">ФГБОУ ВО «Санкт-Петербургский государственный университет» </w:t>
      </w:r>
    </w:p>
    <w:p w:rsidR="004F42F2" w:rsidRPr="0093582B" w:rsidRDefault="004F42F2" w:rsidP="00EA43B5">
      <w:pPr>
        <w:spacing w:after="0" w:line="360" w:lineRule="auto"/>
        <w:jc w:val="center"/>
        <w:rPr>
          <w:rFonts w:asciiTheme="majorHAnsi" w:hAnsiTheme="majorHAnsi" w:cstheme="majorHAnsi"/>
          <w:sz w:val="28"/>
          <w:szCs w:val="28"/>
        </w:rPr>
      </w:pPr>
      <w:r w:rsidRPr="0093582B">
        <w:rPr>
          <w:rFonts w:asciiTheme="majorHAnsi" w:hAnsiTheme="majorHAnsi" w:cstheme="majorHAnsi"/>
          <w:sz w:val="28"/>
          <w:szCs w:val="28"/>
        </w:rPr>
        <w:t>Направление «Медицина»</w:t>
      </w:r>
    </w:p>
    <w:p w:rsidR="004F42F2" w:rsidRPr="0093582B" w:rsidRDefault="004F42F2" w:rsidP="00BA43AA">
      <w:pPr>
        <w:spacing w:line="360" w:lineRule="auto"/>
        <w:jc w:val="center"/>
        <w:rPr>
          <w:rFonts w:asciiTheme="majorHAnsi" w:hAnsiTheme="majorHAnsi" w:cstheme="majorHAnsi"/>
          <w:sz w:val="28"/>
          <w:szCs w:val="28"/>
        </w:rPr>
      </w:pPr>
      <w:r w:rsidRPr="0093582B">
        <w:rPr>
          <w:rFonts w:asciiTheme="majorHAnsi" w:hAnsiTheme="majorHAnsi" w:cstheme="majorHAnsi"/>
          <w:sz w:val="28"/>
          <w:szCs w:val="28"/>
        </w:rPr>
        <w:t>Кафедра нейрохирургии и неврологии</w:t>
      </w:r>
    </w:p>
    <w:p w:rsidR="00BA43AA" w:rsidRPr="0093582B" w:rsidRDefault="00BA43AA" w:rsidP="00BA43AA">
      <w:pPr>
        <w:spacing w:after="2040" w:line="360" w:lineRule="auto"/>
        <w:jc w:val="center"/>
        <w:rPr>
          <w:rFonts w:asciiTheme="majorHAnsi" w:hAnsiTheme="majorHAnsi" w:cstheme="majorHAnsi"/>
          <w:sz w:val="28"/>
          <w:szCs w:val="28"/>
        </w:rPr>
      </w:pPr>
    </w:p>
    <w:p w:rsidR="004F42F2" w:rsidRPr="0093582B" w:rsidRDefault="004F42F2" w:rsidP="00EA43B5">
      <w:pPr>
        <w:spacing w:line="360" w:lineRule="auto"/>
        <w:jc w:val="center"/>
        <w:rPr>
          <w:rFonts w:asciiTheme="majorHAnsi" w:hAnsiTheme="majorHAnsi" w:cstheme="majorHAnsi"/>
          <w:b/>
          <w:sz w:val="32"/>
          <w:szCs w:val="28"/>
        </w:rPr>
      </w:pPr>
      <w:r w:rsidRPr="0093582B">
        <w:rPr>
          <w:rFonts w:asciiTheme="majorHAnsi" w:hAnsiTheme="majorHAnsi" w:cstheme="majorHAnsi"/>
          <w:b/>
          <w:sz w:val="32"/>
          <w:szCs w:val="28"/>
        </w:rPr>
        <w:t>ВЫПУСКНАЯ КВАЛИФИКАЦИОННАЯ РАБОТА</w:t>
      </w:r>
    </w:p>
    <w:p w:rsidR="004F42F2" w:rsidRPr="0093582B" w:rsidRDefault="004F42F2" w:rsidP="00EA43B5">
      <w:pPr>
        <w:spacing w:line="360" w:lineRule="auto"/>
        <w:jc w:val="center"/>
        <w:rPr>
          <w:rFonts w:asciiTheme="majorHAnsi" w:hAnsiTheme="majorHAnsi" w:cstheme="majorHAnsi"/>
          <w:sz w:val="28"/>
          <w:szCs w:val="28"/>
        </w:rPr>
      </w:pPr>
      <w:r w:rsidRPr="0093582B">
        <w:rPr>
          <w:rFonts w:asciiTheme="majorHAnsi" w:hAnsiTheme="majorHAnsi" w:cstheme="majorHAnsi"/>
          <w:sz w:val="28"/>
          <w:szCs w:val="28"/>
        </w:rPr>
        <w:t xml:space="preserve">на тему: </w:t>
      </w:r>
      <w:r w:rsidRPr="0093582B">
        <w:rPr>
          <w:rFonts w:asciiTheme="majorHAnsi" w:hAnsiTheme="majorHAnsi" w:cstheme="majorHAnsi"/>
          <w:sz w:val="32"/>
          <w:szCs w:val="28"/>
          <w:shd w:val="clear" w:color="auto" w:fill="FFFFFF"/>
        </w:rPr>
        <w:t>Структурная эпилепсия и исходы её хирургического лечения</w:t>
      </w:r>
    </w:p>
    <w:p w:rsidR="004F42F2" w:rsidRPr="0093582B" w:rsidRDefault="004F42F2" w:rsidP="00BA43AA">
      <w:pPr>
        <w:spacing w:after="1560" w:line="360" w:lineRule="auto"/>
        <w:ind w:left="5499"/>
        <w:rPr>
          <w:rFonts w:asciiTheme="majorHAnsi" w:hAnsiTheme="majorHAnsi" w:cstheme="majorHAnsi"/>
          <w:sz w:val="28"/>
          <w:szCs w:val="28"/>
        </w:rPr>
      </w:pPr>
    </w:p>
    <w:p w:rsidR="00BA43AA" w:rsidRPr="0093582B" w:rsidRDefault="004F42F2" w:rsidP="00BA43AA">
      <w:pPr>
        <w:spacing w:after="0" w:line="360" w:lineRule="auto"/>
        <w:ind w:left="5499"/>
        <w:rPr>
          <w:rFonts w:asciiTheme="majorHAnsi" w:hAnsiTheme="majorHAnsi" w:cstheme="majorHAnsi"/>
          <w:sz w:val="28"/>
          <w:szCs w:val="28"/>
        </w:rPr>
      </w:pPr>
      <w:r w:rsidRPr="0093582B">
        <w:rPr>
          <w:rFonts w:asciiTheme="majorHAnsi" w:hAnsiTheme="majorHAnsi" w:cstheme="majorHAnsi"/>
          <w:sz w:val="28"/>
          <w:szCs w:val="28"/>
        </w:rPr>
        <w:t xml:space="preserve">Выполнила: </w:t>
      </w:r>
    </w:p>
    <w:p w:rsidR="00BA43AA" w:rsidRPr="0093582B" w:rsidRDefault="004F42F2" w:rsidP="00BA43AA">
      <w:pPr>
        <w:spacing w:after="0" w:line="360" w:lineRule="auto"/>
        <w:ind w:left="5499"/>
        <w:rPr>
          <w:rFonts w:asciiTheme="majorHAnsi" w:hAnsiTheme="majorHAnsi" w:cstheme="majorHAnsi"/>
          <w:sz w:val="28"/>
          <w:szCs w:val="28"/>
        </w:rPr>
      </w:pPr>
      <w:r w:rsidRPr="0093582B">
        <w:rPr>
          <w:rFonts w:asciiTheme="majorHAnsi" w:hAnsiTheme="majorHAnsi" w:cstheme="majorHAnsi"/>
          <w:sz w:val="28"/>
          <w:szCs w:val="28"/>
        </w:rPr>
        <w:t xml:space="preserve">студентка 16.С06-м группы </w:t>
      </w:r>
    </w:p>
    <w:p w:rsidR="00BA43AA" w:rsidRPr="0093582B" w:rsidRDefault="00BA43AA" w:rsidP="00BA43AA">
      <w:pPr>
        <w:spacing w:after="240" w:line="360" w:lineRule="auto"/>
        <w:ind w:left="5499"/>
        <w:rPr>
          <w:rFonts w:asciiTheme="majorHAnsi" w:hAnsiTheme="majorHAnsi" w:cstheme="majorHAnsi"/>
          <w:sz w:val="28"/>
          <w:szCs w:val="28"/>
        </w:rPr>
      </w:pPr>
      <w:r w:rsidRPr="0093582B">
        <w:rPr>
          <w:rFonts w:asciiTheme="majorHAnsi" w:hAnsiTheme="majorHAnsi" w:cstheme="majorHAnsi"/>
          <w:sz w:val="28"/>
          <w:szCs w:val="28"/>
        </w:rPr>
        <w:t xml:space="preserve">Бравичева Наталья Александровна </w:t>
      </w:r>
    </w:p>
    <w:p w:rsidR="004F42F2" w:rsidRPr="0093582B" w:rsidRDefault="004F42F2" w:rsidP="00BA43AA">
      <w:pPr>
        <w:spacing w:after="0" w:line="360" w:lineRule="auto"/>
        <w:ind w:left="5499"/>
        <w:rPr>
          <w:rFonts w:asciiTheme="majorHAnsi" w:hAnsiTheme="majorHAnsi" w:cstheme="majorHAnsi"/>
          <w:sz w:val="28"/>
          <w:szCs w:val="28"/>
        </w:rPr>
      </w:pPr>
      <w:r w:rsidRPr="0093582B">
        <w:rPr>
          <w:rFonts w:asciiTheme="majorHAnsi" w:hAnsiTheme="majorHAnsi" w:cstheme="majorHAnsi"/>
          <w:sz w:val="28"/>
          <w:szCs w:val="28"/>
        </w:rPr>
        <w:t>Научный руководитель:</w:t>
      </w:r>
      <w:r w:rsidR="00BA43AA" w:rsidRPr="0093582B">
        <w:rPr>
          <w:rFonts w:asciiTheme="majorHAnsi" w:hAnsiTheme="majorHAnsi" w:cstheme="majorHAnsi"/>
          <w:sz w:val="28"/>
          <w:szCs w:val="28"/>
        </w:rPr>
        <w:t xml:space="preserve"> </w:t>
      </w:r>
    </w:p>
    <w:p w:rsidR="004F42F2" w:rsidRPr="0093582B" w:rsidRDefault="00BA43AA" w:rsidP="00BA43AA">
      <w:pPr>
        <w:spacing w:after="0" w:line="360" w:lineRule="auto"/>
        <w:ind w:left="5499"/>
        <w:rPr>
          <w:rFonts w:asciiTheme="majorHAnsi" w:hAnsiTheme="majorHAnsi" w:cstheme="majorHAnsi"/>
          <w:sz w:val="28"/>
          <w:szCs w:val="28"/>
        </w:rPr>
      </w:pPr>
      <w:r w:rsidRPr="0093582B">
        <w:rPr>
          <w:rFonts w:asciiTheme="majorHAnsi" w:hAnsiTheme="majorHAnsi" w:cstheme="majorHAnsi"/>
          <w:sz w:val="28"/>
          <w:szCs w:val="28"/>
        </w:rPr>
        <w:t>Профессор, д.м.н.</w:t>
      </w:r>
      <w:r w:rsidR="004F42F2" w:rsidRPr="0093582B">
        <w:rPr>
          <w:rFonts w:asciiTheme="majorHAnsi" w:hAnsiTheme="majorHAnsi" w:cstheme="majorHAnsi"/>
          <w:sz w:val="28"/>
          <w:szCs w:val="28"/>
        </w:rPr>
        <w:t xml:space="preserve"> </w:t>
      </w:r>
    </w:p>
    <w:p w:rsidR="004F42F2" w:rsidRPr="0093582B" w:rsidRDefault="004F42F2" w:rsidP="00BA43AA">
      <w:pPr>
        <w:spacing w:after="0" w:line="360" w:lineRule="auto"/>
        <w:ind w:left="5499"/>
        <w:rPr>
          <w:rFonts w:asciiTheme="majorHAnsi" w:hAnsiTheme="majorHAnsi" w:cstheme="majorHAnsi"/>
          <w:sz w:val="28"/>
          <w:szCs w:val="28"/>
        </w:rPr>
      </w:pPr>
      <w:r w:rsidRPr="0093582B">
        <w:rPr>
          <w:rFonts w:asciiTheme="majorHAnsi" w:hAnsiTheme="majorHAnsi" w:cstheme="majorHAnsi"/>
          <w:sz w:val="28"/>
          <w:szCs w:val="28"/>
        </w:rPr>
        <w:t>Тибекина Людмила Михайловна</w:t>
      </w:r>
      <w:r w:rsidR="00BA43AA" w:rsidRPr="0093582B">
        <w:rPr>
          <w:rFonts w:asciiTheme="majorHAnsi" w:hAnsiTheme="majorHAnsi" w:cstheme="majorHAnsi"/>
          <w:sz w:val="28"/>
          <w:szCs w:val="28"/>
        </w:rPr>
        <w:t xml:space="preserve"> </w:t>
      </w:r>
    </w:p>
    <w:p w:rsidR="00BA43AA" w:rsidRPr="0093582B" w:rsidRDefault="00BA43AA" w:rsidP="00BA43AA">
      <w:pPr>
        <w:spacing w:after="1920" w:line="360" w:lineRule="auto"/>
        <w:ind w:left="5499"/>
        <w:rPr>
          <w:rFonts w:asciiTheme="majorHAnsi" w:hAnsiTheme="majorHAnsi" w:cstheme="majorHAnsi"/>
          <w:sz w:val="28"/>
          <w:szCs w:val="28"/>
        </w:rPr>
      </w:pPr>
    </w:p>
    <w:p w:rsidR="00A5364C" w:rsidRPr="0093582B" w:rsidRDefault="00BA43AA" w:rsidP="00BA43AA">
      <w:pPr>
        <w:spacing w:after="0" w:line="360" w:lineRule="auto"/>
        <w:jc w:val="center"/>
        <w:rPr>
          <w:rFonts w:asciiTheme="majorHAnsi" w:hAnsiTheme="majorHAnsi" w:cstheme="majorHAnsi"/>
          <w:sz w:val="28"/>
          <w:szCs w:val="28"/>
        </w:rPr>
      </w:pPr>
      <w:r w:rsidRPr="0093582B">
        <w:rPr>
          <w:rFonts w:asciiTheme="majorHAnsi" w:hAnsiTheme="majorHAnsi" w:cstheme="majorHAnsi"/>
          <w:sz w:val="28"/>
          <w:szCs w:val="28"/>
        </w:rPr>
        <w:t xml:space="preserve">Санкт-Петербург </w:t>
      </w:r>
      <w:r w:rsidR="004F42F2" w:rsidRPr="0093582B">
        <w:rPr>
          <w:rFonts w:asciiTheme="majorHAnsi" w:hAnsiTheme="majorHAnsi" w:cstheme="majorHAnsi"/>
          <w:sz w:val="28"/>
          <w:szCs w:val="28"/>
        </w:rPr>
        <w:t>2022 год</w:t>
      </w:r>
    </w:p>
    <w:sdt>
      <w:sdtPr>
        <w:rPr>
          <w:rFonts w:asciiTheme="minorHAnsi" w:eastAsiaTheme="minorEastAsia" w:hAnsiTheme="minorHAnsi" w:cstheme="minorBidi"/>
          <w:b w:val="0"/>
          <w:sz w:val="22"/>
          <w:szCs w:val="22"/>
        </w:rPr>
        <w:id w:val="-1524315977"/>
        <w:docPartObj>
          <w:docPartGallery w:val="Table of Contents"/>
          <w:docPartUnique/>
        </w:docPartObj>
      </w:sdtPr>
      <w:sdtEndPr>
        <w:rPr>
          <w:bCs/>
          <w:sz w:val="24"/>
        </w:rPr>
      </w:sdtEndPr>
      <w:sdtContent>
        <w:p w:rsidR="006B152D" w:rsidRPr="0093582B" w:rsidRDefault="006B152D">
          <w:pPr>
            <w:pStyle w:val="aa"/>
          </w:pPr>
          <w:r w:rsidRPr="0093582B">
            <w:t>Оглавление</w:t>
          </w:r>
        </w:p>
        <w:p w:rsidR="008E39D5" w:rsidRDefault="006B152D">
          <w:pPr>
            <w:pStyle w:val="11"/>
            <w:tabs>
              <w:tab w:val="right" w:leader="dot" w:pos="9679"/>
            </w:tabs>
            <w:rPr>
              <w:noProof/>
              <w:sz w:val="22"/>
            </w:rPr>
          </w:pPr>
          <w:r w:rsidRPr="0093582B">
            <w:fldChar w:fldCharType="begin"/>
          </w:r>
          <w:r w:rsidRPr="0093582B">
            <w:instrText xml:space="preserve"> TOC \o "1-3" \h \z \u </w:instrText>
          </w:r>
          <w:r w:rsidRPr="0093582B">
            <w:fldChar w:fldCharType="separate"/>
          </w:r>
          <w:hyperlink w:anchor="_Toc104427520" w:history="1">
            <w:r w:rsidR="008E39D5" w:rsidRPr="00AA2B8B">
              <w:rPr>
                <w:rStyle w:val="a8"/>
                <w:noProof/>
              </w:rPr>
              <w:t>Обозначения</w:t>
            </w:r>
            <w:r w:rsidR="008E39D5">
              <w:rPr>
                <w:noProof/>
                <w:webHidden/>
              </w:rPr>
              <w:tab/>
            </w:r>
            <w:r w:rsidR="008E39D5">
              <w:rPr>
                <w:noProof/>
                <w:webHidden/>
              </w:rPr>
              <w:fldChar w:fldCharType="begin"/>
            </w:r>
            <w:r w:rsidR="008E39D5">
              <w:rPr>
                <w:noProof/>
                <w:webHidden/>
              </w:rPr>
              <w:instrText xml:space="preserve"> PAGEREF _Toc104427520 \h </w:instrText>
            </w:r>
            <w:r w:rsidR="008E39D5">
              <w:rPr>
                <w:noProof/>
                <w:webHidden/>
              </w:rPr>
            </w:r>
            <w:r w:rsidR="008E39D5">
              <w:rPr>
                <w:noProof/>
                <w:webHidden/>
              </w:rPr>
              <w:fldChar w:fldCharType="separate"/>
            </w:r>
            <w:r w:rsidR="008E39D5">
              <w:rPr>
                <w:noProof/>
                <w:webHidden/>
              </w:rPr>
              <w:t>4</w:t>
            </w:r>
            <w:r w:rsidR="008E39D5">
              <w:rPr>
                <w:noProof/>
                <w:webHidden/>
              </w:rPr>
              <w:fldChar w:fldCharType="end"/>
            </w:r>
          </w:hyperlink>
        </w:p>
        <w:p w:rsidR="008E39D5" w:rsidRDefault="008E39D5">
          <w:pPr>
            <w:pStyle w:val="11"/>
            <w:tabs>
              <w:tab w:val="right" w:leader="dot" w:pos="9679"/>
            </w:tabs>
            <w:rPr>
              <w:noProof/>
              <w:sz w:val="22"/>
            </w:rPr>
          </w:pPr>
          <w:hyperlink w:anchor="_Toc104427521" w:history="1">
            <w:r w:rsidRPr="00AA2B8B">
              <w:rPr>
                <w:rStyle w:val="a8"/>
                <w:noProof/>
              </w:rPr>
              <w:t>Введение</w:t>
            </w:r>
            <w:r>
              <w:rPr>
                <w:noProof/>
                <w:webHidden/>
              </w:rPr>
              <w:tab/>
            </w:r>
            <w:r>
              <w:rPr>
                <w:noProof/>
                <w:webHidden/>
              </w:rPr>
              <w:fldChar w:fldCharType="begin"/>
            </w:r>
            <w:r>
              <w:rPr>
                <w:noProof/>
                <w:webHidden/>
              </w:rPr>
              <w:instrText xml:space="preserve"> PAGEREF _Toc104427521 \h </w:instrText>
            </w:r>
            <w:r>
              <w:rPr>
                <w:noProof/>
                <w:webHidden/>
              </w:rPr>
            </w:r>
            <w:r>
              <w:rPr>
                <w:noProof/>
                <w:webHidden/>
              </w:rPr>
              <w:fldChar w:fldCharType="separate"/>
            </w:r>
            <w:r>
              <w:rPr>
                <w:noProof/>
                <w:webHidden/>
              </w:rPr>
              <w:t>6</w:t>
            </w:r>
            <w:r>
              <w:rPr>
                <w:noProof/>
                <w:webHidden/>
              </w:rPr>
              <w:fldChar w:fldCharType="end"/>
            </w:r>
          </w:hyperlink>
        </w:p>
        <w:p w:rsidR="008E39D5" w:rsidRDefault="008E39D5">
          <w:pPr>
            <w:pStyle w:val="11"/>
            <w:tabs>
              <w:tab w:val="right" w:leader="dot" w:pos="9679"/>
            </w:tabs>
            <w:rPr>
              <w:noProof/>
              <w:sz w:val="22"/>
            </w:rPr>
          </w:pPr>
          <w:hyperlink w:anchor="_Toc104427522" w:history="1">
            <w:r w:rsidRPr="00AA2B8B">
              <w:rPr>
                <w:rStyle w:val="a8"/>
                <w:noProof/>
              </w:rPr>
              <w:t>Глава I. Современный взгляд на проблему структурной эпилепсии и методы её лечения (обзор литературы).</w:t>
            </w:r>
            <w:r>
              <w:rPr>
                <w:noProof/>
                <w:webHidden/>
              </w:rPr>
              <w:tab/>
            </w:r>
            <w:r>
              <w:rPr>
                <w:noProof/>
                <w:webHidden/>
              </w:rPr>
              <w:fldChar w:fldCharType="begin"/>
            </w:r>
            <w:r>
              <w:rPr>
                <w:noProof/>
                <w:webHidden/>
              </w:rPr>
              <w:instrText xml:space="preserve"> PAGEREF _Toc104427522 \h </w:instrText>
            </w:r>
            <w:r>
              <w:rPr>
                <w:noProof/>
                <w:webHidden/>
              </w:rPr>
            </w:r>
            <w:r>
              <w:rPr>
                <w:noProof/>
                <w:webHidden/>
              </w:rPr>
              <w:fldChar w:fldCharType="separate"/>
            </w:r>
            <w:r>
              <w:rPr>
                <w:noProof/>
                <w:webHidden/>
              </w:rPr>
              <w:t>9</w:t>
            </w:r>
            <w:r>
              <w:rPr>
                <w:noProof/>
                <w:webHidden/>
              </w:rPr>
              <w:fldChar w:fldCharType="end"/>
            </w:r>
          </w:hyperlink>
        </w:p>
        <w:p w:rsidR="008E39D5" w:rsidRDefault="008E39D5">
          <w:pPr>
            <w:pStyle w:val="21"/>
            <w:tabs>
              <w:tab w:val="right" w:leader="dot" w:pos="9679"/>
            </w:tabs>
            <w:rPr>
              <w:noProof/>
              <w:sz w:val="22"/>
            </w:rPr>
          </w:pPr>
          <w:hyperlink w:anchor="_Toc104427523" w:history="1">
            <w:r w:rsidRPr="00AA2B8B">
              <w:rPr>
                <w:rStyle w:val="a8"/>
                <w:noProof/>
              </w:rPr>
              <w:t>1.1. Понятие структурной эпилепсии</w:t>
            </w:r>
            <w:r>
              <w:rPr>
                <w:noProof/>
                <w:webHidden/>
              </w:rPr>
              <w:tab/>
            </w:r>
            <w:r>
              <w:rPr>
                <w:noProof/>
                <w:webHidden/>
              </w:rPr>
              <w:fldChar w:fldCharType="begin"/>
            </w:r>
            <w:r>
              <w:rPr>
                <w:noProof/>
                <w:webHidden/>
              </w:rPr>
              <w:instrText xml:space="preserve"> PAGEREF _Toc104427523 \h </w:instrText>
            </w:r>
            <w:r>
              <w:rPr>
                <w:noProof/>
                <w:webHidden/>
              </w:rPr>
            </w:r>
            <w:r>
              <w:rPr>
                <w:noProof/>
                <w:webHidden/>
              </w:rPr>
              <w:fldChar w:fldCharType="separate"/>
            </w:r>
            <w:r>
              <w:rPr>
                <w:noProof/>
                <w:webHidden/>
              </w:rPr>
              <w:t>9</w:t>
            </w:r>
            <w:r>
              <w:rPr>
                <w:noProof/>
                <w:webHidden/>
              </w:rPr>
              <w:fldChar w:fldCharType="end"/>
            </w:r>
          </w:hyperlink>
        </w:p>
        <w:p w:rsidR="008E39D5" w:rsidRDefault="008E39D5">
          <w:pPr>
            <w:pStyle w:val="21"/>
            <w:tabs>
              <w:tab w:val="right" w:leader="dot" w:pos="9679"/>
            </w:tabs>
            <w:rPr>
              <w:noProof/>
              <w:sz w:val="22"/>
            </w:rPr>
          </w:pPr>
          <w:hyperlink w:anchor="_Toc104427524" w:history="1">
            <w:r w:rsidRPr="00AA2B8B">
              <w:rPr>
                <w:rStyle w:val="a8"/>
                <w:noProof/>
              </w:rPr>
              <w:t>1.2. Эпидемиология эпилепсии</w:t>
            </w:r>
            <w:r>
              <w:rPr>
                <w:noProof/>
                <w:webHidden/>
              </w:rPr>
              <w:tab/>
            </w:r>
            <w:r>
              <w:rPr>
                <w:noProof/>
                <w:webHidden/>
              </w:rPr>
              <w:fldChar w:fldCharType="begin"/>
            </w:r>
            <w:r>
              <w:rPr>
                <w:noProof/>
                <w:webHidden/>
              </w:rPr>
              <w:instrText xml:space="preserve"> PAGEREF _Toc104427524 \h </w:instrText>
            </w:r>
            <w:r>
              <w:rPr>
                <w:noProof/>
                <w:webHidden/>
              </w:rPr>
            </w:r>
            <w:r>
              <w:rPr>
                <w:noProof/>
                <w:webHidden/>
              </w:rPr>
              <w:fldChar w:fldCharType="separate"/>
            </w:r>
            <w:r>
              <w:rPr>
                <w:noProof/>
                <w:webHidden/>
              </w:rPr>
              <w:t>10</w:t>
            </w:r>
            <w:r>
              <w:rPr>
                <w:noProof/>
                <w:webHidden/>
              </w:rPr>
              <w:fldChar w:fldCharType="end"/>
            </w:r>
          </w:hyperlink>
        </w:p>
        <w:p w:rsidR="008E39D5" w:rsidRDefault="008E39D5">
          <w:pPr>
            <w:pStyle w:val="21"/>
            <w:tabs>
              <w:tab w:val="right" w:leader="dot" w:pos="9679"/>
            </w:tabs>
            <w:rPr>
              <w:noProof/>
              <w:sz w:val="22"/>
            </w:rPr>
          </w:pPr>
          <w:hyperlink w:anchor="_Toc104427525" w:history="1">
            <w:r w:rsidRPr="00AA2B8B">
              <w:rPr>
                <w:rStyle w:val="a8"/>
                <w:noProof/>
              </w:rPr>
              <w:t>1.3. Понятие фармакорезистентной эпилепсии</w:t>
            </w:r>
            <w:r>
              <w:rPr>
                <w:noProof/>
                <w:webHidden/>
              </w:rPr>
              <w:tab/>
            </w:r>
            <w:r>
              <w:rPr>
                <w:noProof/>
                <w:webHidden/>
              </w:rPr>
              <w:fldChar w:fldCharType="begin"/>
            </w:r>
            <w:r>
              <w:rPr>
                <w:noProof/>
                <w:webHidden/>
              </w:rPr>
              <w:instrText xml:space="preserve"> PAGEREF _Toc104427525 \h </w:instrText>
            </w:r>
            <w:r>
              <w:rPr>
                <w:noProof/>
                <w:webHidden/>
              </w:rPr>
            </w:r>
            <w:r>
              <w:rPr>
                <w:noProof/>
                <w:webHidden/>
              </w:rPr>
              <w:fldChar w:fldCharType="separate"/>
            </w:r>
            <w:r>
              <w:rPr>
                <w:noProof/>
                <w:webHidden/>
              </w:rPr>
              <w:t>12</w:t>
            </w:r>
            <w:r>
              <w:rPr>
                <w:noProof/>
                <w:webHidden/>
              </w:rPr>
              <w:fldChar w:fldCharType="end"/>
            </w:r>
          </w:hyperlink>
        </w:p>
        <w:p w:rsidR="008E39D5" w:rsidRDefault="008E39D5">
          <w:pPr>
            <w:pStyle w:val="31"/>
            <w:tabs>
              <w:tab w:val="right" w:leader="dot" w:pos="9679"/>
            </w:tabs>
            <w:rPr>
              <w:rFonts w:cstheme="minorBidi"/>
              <w:noProof/>
              <w:sz w:val="22"/>
            </w:rPr>
          </w:pPr>
          <w:hyperlink w:anchor="_Toc104427526" w:history="1">
            <w:r w:rsidRPr="00AA2B8B">
              <w:rPr>
                <w:rStyle w:val="a8"/>
                <w:noProof/>
              </w:rPr>
              <w:t>1.3.1. Височная эпилепсия</w:t>
            </w:r>
            <w:r>
              <w:rPr>
                <w:noProof/>
                <w:webHidden/>
              </w:rPr>
              <w:tab/>
            </w:r>
            <w:r>
              <w:rPr>
                <w:noProof/>
                <w:webHidden/>
              </w:rPr>
              <w:fldChar w:fldCharType="begin"/>
            </w:r>
            <w:r>
              <w:rPr>
                <w:noProof/>
                <w:webHidden/>
              </w:rPr>
              <w:instrText xml:space="preserve"> PAGEREF _Toc104427526 \h </w:instrText>
            </w:r>
            <w:r>
              <w:rPr>
                <w:noProof/>
                <w:webHidden/>
              </w:rPr>
            </w:r>
            <w:r>
              <w:rPr>
                <w:noProof/>
                <w:webHidden/>
              </w:rPr>
              <w:fldChar w:fldCharType="separate"/>
            </w:r>
            <w:r>
              <w:rPr>
                <w:noProof/>
                <w:webHidden/>
              </w:rPr>
              <w:t>16</w:t>
            </w:r>
            <w:r>
              <w:rPr>
                <w:noProof/>
                <w:webHidden/>
              </w:rPr>
              <w:fldChar w:fldCharType="end"/>
            </w:r>
          </w:hyperlink>
        </w:p>
        <w:p w:rsidR="008E39D5" w:rsidRDefault="008E39D5">
          <w:pPr>
            <w:pStyle w:val="31"/>
            <w:tabs>
              <w:tab w:val="right" w:leader="dot" w:pos="9679"/>
            </w:tabs>
            <w:rPr>
              <w:rFonts w:cstheme="minorBidi"/>
              <w:noProof/>
              <w:sz w:val="22"/>
            </w:rPr>
          </w:pPr>
          <w:hyperlink w:anchor="_Toc104427527" w:history="1">
            <w:r w:rsidRPr="00AA2B8B">
              <w:rPr>
                <w:rStyle w:val="a8"/>
                <w:noProof/>
              </w:rPr>
              <w:t>1.3.2. Гиппокампальный склероз</w:t>
            </w:r>
            <w:r>
              <w:rPr>
                <w:noProof/>
                <w:webHidden/>
              </w:rPr>
              <w:tab/>
            </w:r>
            <w:r>
              <w:rPr>
                <w:noProof/>
                <w:webHidden/>
              </w:rPr>
              <w:fldChar w:fldCharType="begin"/>
            </w:r>
            <w:r>
              <w:rPr>
                <w:noProof/>
                <w:webHidden/>
              </w:rPr>
              <w:instrText xml:space="preserve"> PAGEREF _Toc104427527 \h </w:instrText>
            </w:r>
            <w:r>
              <w:rPr>
                <w:noProof/>
                <w:webHidden/>
              </w:rPr>
            </w:r>
            <w:r>
              <w:rPr>
                <w:noProof/>
                <w:webHidden/>
              </w:rPr>
              <w:fldChar w:fldCharType="separate"/>
            </w:r>
            <w:r>
              <w:rPr>
                <w:noProof/>
                <w:webHidden/>
              </w:rPr>
              <w:t>18</w:t>
            </w:r>
            <w:r>
              <w:rPr>
                <w:noProof/>
                <w:webHidden/>
              </w:rPr>
              <w:fldChar w:fldCharType="end"/>
            </w:r>
          </w:hyperlink>
        </w:p>
        <w:p w:rsidR="008E39D5" w:rsidRDefault="008E39D5">
          <w:pPr>
            <w:pStyle w:val="21"/>
            <w:tabs>
              <w:tab w:val="right" w:leader="dot" w:pos="9679"/>
            </w:tabs>
            <w:rPr>
              <w:noProof/>
              <w:sz w:val="22"/>
            </w:rPr>
          </w:pPr>
          <w:hyperlink w:anchor="_Toc104427528" w:history="1">
            <w:r w:rsidRPr="00AA2B8B">
              <w:rPr>
                <w:rStyle w:val="a8"/>
                <w:noProof/>
              </w:rPr>
              <w:t>1.4. Общие методы хирургического лечения пациентов с эпилепсией</w:t>
            </w:r>
            <w:r>
              <w:rPr>
                <w:noProof/>
                <w:webHidden/>
              </w:rPr>
              <w:tab/>
            </w:r>
            <w:r>
              <w:rPr>
                <w:noProof/>
                <w:webHidden/>
              </w:rPr>
              <w:fldChar w:fldCharType="begin"/>
            </w:r>
            <w:r>
              <w:rPr>
                <w:noProof/>
                <w:webHidden/>
              </w:rPr>
              <w:instrText xml:space="preserve"> PAGEREF _Toc104427528 \h </w:instrText>
            </w:r>
            <w:r>
              <w:rPr>
                <w:noProof/>
                <w:webHidden/>
              </w:rPr>
            </w:r>
            <w:r>
              <w:rPr>
                <w:noProof/>
                <w:webHidden/>
              </w:rPr>
              <w:fldChar w:fldCharType="separate"/>
            </w:r>
            <w:r>
              <w:rPr>
                <w:noProof/>
                <w:webHidden/>
              </w:rPr>
              <w:t>19</w:t>
            </w:r>
            <w:r>
              <w:rPr>
                <w:noProof/>
                <w:webHidden/>
              </w:rPr>
              <w:fldChar w:fldCharType="end"/>
            </w:r>
          </w:hyperlink>
        </w:p>
        <w:p w:rsidR="008E39D5" w:rsidRDefault="008E39D5">
          <w:pPr>
            <w:pStyle w:val="31"/>
            <w:tabs>
              <w:tab w:val="right" w:leader="dot" w:pos="9679"/>
            </w:tabs>
            <w:rPr>
              <w:rFonts w:cstheme="minorBidi"/>
              <w:noProof/>
              <w:sz w:val="22"/>
            </w:rPr>
          </w:pPr>
          <w:hyperlink w:anchor="_Toc104427529" w:history="1">
            <w:r w:rsidRPr="00AA2B8B">
              <w:rPr>
                <w:rStyle w:val="a8"/>
                <w:noProof/>
              </w:rPr>
              <w:t>1.4.1. Хирургия при височной эпилепсии</w:t>
            </w:r>
            <w:r>
              <w:rPr>
                <w:noProof/>
                <w:webHidden/>
              </w:rPr>
              <w:tab/>
            </w:r>
            <w:r>
              <w:rPr>
                <w:noProof/>
                <w:webHidden/>
              </w:rPr>
              <w:fldChar w:fldCharType="begin"/>
            </w:r>
            <w:r>
              <w:rPr>
                <w:noProof/>
                <w:webHidden/>
              </w:rPr>
              <w:instrText xml:space="preserve"> PAGEREF _Toc104427529 \h </w:instrText>
            </w:r>
            <w:r>
              <w:rPr>
                <w:noProof/>
                <w:webHidden/>
              </w:rPr>
            </w:r>
            <w:r>
              <w:rPr>
                <w:noProof/>
                <w:webHidden/>
              </w:rPr>
              <w:fldChar w:fldCharType="separate"/>
            </w:r>
            <w:r>
              <w:rPr>
                <w:noProof/>
                <w:webHidden/>
              </w:rPr>
              <w:t>21</w:t>
            </w:r>
            <w:r>
              <w:rPr>
                <w:noProof/>
                <w:webHidden/>
              </w:rPr>
              <w:fldChar w:fldCharType="end"/>
            </w:r>
          </w:hyperlink>
        </w:p>
        <w:p w:rsidR="008E39D5" w:rsidRDefault="008E39D5">
          <w:pPr>
            <w:pStyle w:val="21"/>
            <w:tabs>
              <w:tab w:val="right" w:leader="dot" w:pos="9679"/>
            </w:tabs>
            <w:rPr>
              <w:noProof/>
              <w:sz w:val="22"/>
            </w:rPr>
          </w:pPr>
          <w:hyperlink w:anchor="_Toc104427530" w:history="1">
            <w:r w:rsidRPr="00AA2B8B">
              <w:rPr>
                <w:rStyle w:val="a8"/>
                <w:noProof/>
              </w:rPr>
              <w:t>1.5. Результаты хирургического лечения эпилепсии</w:t>
            </w:r>
            <w:r>
              <w:rPr>
                <w:noProof/>
                <w:webHidden/>
              </w:rPr>
              <w:tab/>
            </w:r>
            <w:r>
              <w:rPr>
                <w:noProof/>
                <w:webHidden/>
              </w:rPr>
              <w:fldChar w:fldCharType="begin"/>
            </w:r>
            <w:r>
              <w:rPr>
                <w:noProof/>
                <w:webHidden/>
              </w:rPr>
              <w:instrText xml:space="preserve"> PAGEREF _Toc104427530 \h </w:instrText>
            </w:r>
            <w:r>
              <w:rPr>
                <w:noProof/>
                <w:webHidden/>
              </w:rPr>
            </w:r>
            <w:r>
              <w:rPr>
                <w:noProof/>
                <w:webHidden/>
              </w:rPr>
              <w:fldChar w:fldCharType="separate"/>
            </w:r>
            <w:r>
              <w:rPr>
                <w:noProof/>
                <w:webHidden/>
              </w:rPr>
              <w:t>25</w:t>
            </w:r>
            <w:r>
              <w:rPr>
                <w:noProof/>
                <w:webHidden/>
              </w:rPr>
              <w:fldChar w:fldCharType="end"/>
            </w:r>
          </w:hyperlink>
        </w:p>
        <w:p w:rsidR="008E39D5" w:rsidRDefault="008E39D5">
          <w:pPr>
            <w:pStyle w:val="11"/>
            <w:tabs>
              <w:tab w:val="right" w:leader="dot" w:pos="9679"/>
            </w:tabs>
            <w:rPr>
              <w:noProof/>
              <w:sz w:val="22"/>
            </w:rPr>
          </w:pPr>
          <w:hyperlink w:anchor="_Toc104427531" w:history="1">
            <w:r w:rsidRPr="00AA2B8B">
              <w:rPr>
                <w:rStyle w:val="a8"/>
                <w:noProof/>
              </w:rPr>
              <w:t>Глава II. Материалы и методы</w:t>
            </w:r>
            <w:r>
              <w:rPr>
                <w:noProof/>
                <w:webHidden/>
              </w:rPr>
              <w:tab/>
            </w:r>
            <w:r>
              <w:rPr>
                <w:noProof/>
                <w:webHidden/>
              </w:rPr>
              <w:fldChar w:fldCharType="begin"/>
            </w:r>
            <w:r>
              <w:rPr>
                <w:noProof/>
                <w:webHidden/>
              </w:rPr>
              <w:instrText xml:space="preserve"> PAGEREF _Toc104427531 \h </w:instrText>
            </w:r>
            <w:r>
              <w:rPr>
                <w:noProof/>
                <w:webHidden/>
              </w:rPr>
            </w:r>
            <w:r>
              <w:rPr>
                <w:noProof/>
                <w:webHidden/>
              </w:rPr>
              <w:fldChar w:fldCharType="separate"/>
            </w:r>
            <w:r>
              <w:rPr>
                <w:noProof/>
                <w:webHidden/>
              </w:rPr>
              <w:t>28</w:t>
            </w:r>
            <w:r>
              <w:rPr>
                <w:noProof/>
                <w:webHidden/>
              </w:rPr>
              <w:fldChar w:fldCharType="end"/>
            </w:r>
          </w:hyperlink>
        </w:p>
        <w:p w:rsidR="008E39D5" w:rsidRDefault="008E39D5">
          <w:pPr>
            <w:pStyle w:val="11"/>
            <w:tabs>
              <w:tab w:val="right" w:leader="dot" w:pos="9679"/>
            </w:tabs>
            <w:rPr>
              <w:noProof/>
              <w:sz w:val="22"/>
            </w:rPr>
          </w:pPr>
          <w:hyperlink w:anchor="_Toc104427532" w:history="1">
            <w:r w:rsidRPr="00AA2B8B">
              <w:rPr>
                <w:rStyle w:val="a8"/>
                <w:noProof/>
              </w:rPr>
              <w:t>Глава III. Результаты исследования</w:t>
            </w:r>
            <w:r>
              <w:rPr>
                <w:noProof/>
                <w:webHidden/>
              </w:rPr>
              <w:tab/>
            </w:r>
            <w:r>
              <w:rPr>
                <w:noProof/>
                <w:webHidden/>
              </w:rPr>
              <w:fldChar w:fldCharType="begin"/>
            </w:r>
            <w:r>
              <w:rPr>
                <w:noProof/>
                <w:webHidden/>
              </w:rPr>
              <w:instrText xml:space="preserve"> PAGEREF _Toc104427532 \h </w:instrText>
            </w:r>
            <w:r>
              <w:rPr>
                <w:noProof/>
                <w:webHidden/>
              </w:rPr>
            </w:r>
            <w:r>
              <w:rPr>
                <w:noProof/>
                <w:webHidden/>
              </w:rPr>
              <w:fldChar w:fldCharType="separate"/>
            </w:r>
            <w:r>
              <w:rPr>
                <w:noProof/>
                <w:webHidden/>
              </w:rPr>
              <w:t>30</w:t>
            </w:r>
            <w:r>
              <w:rPr>
                <w:noProof/>
                <w:webHidden/>
              </w:rPr>
              <w:fldChar w:fldCharType="end"/>
            </w:r>
          </w:hyperlink>
        </w:p>
        <w:p w:rsidR="008E39D5" w:rsidRDefault="008E39D5">
          <w:pPr>
            <w:pStyle w:val="21"/>
            <w:tabs>
              <w:tab w:val="right" w:leader="dot" w:pos="9679"/>
            </w:tabs>
            <w:rPr>
              <w:noProof/>
              <w:sz w:val="22"/>
            </w:rPr>
          </w:pPr>
          <w:hyperlink w:anchor="_Toc104427533" w:history="1">
            <w:r w:rsidRPr="00AA2B8B">
              <w:rPr>
                <w:rStyle w:val="a8"/>
                <w:noProof/>
              </w:rPr>
              <w:t>3.1. Оценка неврологического статуса пациентов</w:t>
            </w:r>
            <w:r>
              <w:rPr>
                <w:noProof/>
                <w:webHidden/>
              </w:rPr>
              <w:tab/>
            </w:r>
            <w:r>
              <w:rPr>
                <w:noProof/>
                <w:webHidden/>
              </w:rPr>
              <w:fldChar w:fldCharType="begin"/>
            </w:r>
            <w:r>
              <w:rPr>
                <w:noProof/>
                <w:webHidden/>
              </w:rPr>
              <w:instrText xml:space="preserve"> PAGEREF _Toc104427533 \h </w:instrText>
            </w:r>
            <w:r>
              <w:rPr>
                <w:noProof/>
                <w:webHidden/>
              </w:rPr>
            </w:r>
            <w:r>
              <w:rPr>
                <w:noProof/>
                <w:webHidden/>
              </w:rPr>
              <w:fldChar w:fldCharType="separate"/>
            </w:r>
            <w:r>
              <w:rPr>
                <w:noProof/>
                <w:webHidden/>
              </w:rPr>
              <w:t>30</w:t>
            </w:r>
            <w:r>
              <w:rPr>
                <w:noProof/>
                <w:webHidden/>
              </w:rPr>
              <w:fldChar w:fldCharType="end"/>
            </w:r>
          </w:hyperlink>
        </w:p>
        <w:p w:rsidR="008E39D5" w:rsidRDefault="008E39D5">
          <w:pPr>
            <w:pStyle w:val="21"/>
            <w:tabs>
              <w:tab w:val="right" w:leader="dot" w:pos="9679"/>
            </w:tabs>
            <w:rPr>
              <w:noProof/>
              <w:sz w:val="22"/>
            </w:rPr>
          </w:pPr>
          <w:hyperlink w:anchor="_Toc104427534" w:history="1">
            <w:r w:rsidRPr="00AA2B8B">
              <w:rPr>
                <w:rStyle w:val="a8"/>
                <w:noProof/>
              </w:rPr>
              <w:t>3.2. Оценка соматического статуса пациентов</w:t>
            </w:r>
            <w:r>
              <w:rPr>
                <w:noProof/>
                <w:webHidden/>
              </w:rPr>
              <w:tab/>
            </w:r>
            <w:r>
              <w:rPr>
                <w:noProof/>
                <w:webHidden/>
              </w:rPr>
              <w:fldChar w:fldCharType="begin"/>
            </w:r>
            <w:r>
              <w:rPr>
                <w:noProof/>
                <w:webHidden/>
              </w:rPr>
              <w:instrText xml:space="preserve"> PAGEREF _Toc104427534 \h </w:instrText>
            </w:r>
            <w:r>
              <w:rPr>
                <w:noProof/>
                <w:webHidden/>
              </w:rPr>
            </w:r>
            <w:r>
              <w:rPr>
                <w:noProof/>
                <w:webHidden/>
              </w:rPr>
              <w:fldChar w:fldCharType="separate"/>
            </w:r>
            <w:r>
              <w:rPr>
                <w:noProof/>
                <w:webHidden/>
              </w:rPr>
              <w:t>31</w:t>
            </w:r>
            <w:r>
              <w:rPr>
                <w:noProof/>
                <w:webHidden/>
              </w:rPr>
              <w:fldChar w:fldCharType="end"/>
            </w:r>
          </w:hyperlink>
        </w:p>
        <w:p w:rsidR="008E39D5" w:rsidRDefault="008E39D5">
          <w:pPr>
            <w:pStyle w:val="21"/>
            <w:tabs>
              <w:tab w:val="right" w:leader="dot" w:pos="9679"/>
            </w:tabs>
            <w:rPr>
              <w:noProof/>
              <w:sz w:val="22"/>
            </w:rPr>
          </w:pPr>
          <w:hyperlink w:anchor="_Toc104427535" w:history="1">
            <w:r w:rsidRPr="00AA2B8B">
              <w:rPr>
                <w:rStyle w:val="a8"/>
                <w:noProof/>
              </w:rPr>
              <w:t xml:space="preserve">3.3. </w:t>
            </w:r>
            <w:r w:rsidRPr="00AA2B8B">
              <w:rPr>
                <w:rStyle w:val="a8"/>
                <w:rFonts w:ascii="Times New Roman" w:hAnsi="Times New Roman" w:cs="Times New Roman"/>
                <w:noProof/>
              </w:rPr>
              <w:t>Характеристика эпилептических приступов у пациентов</w:t>
            </w:r>
            <w:r>
              <w:rPr>
                <w:noProof/>
                <w:webHidden/>
              </w:rPr>
              <w:tab/>
            </w:r>
            <w:r>
              <w:rPr>
                <w:noProof/>
                <w:webHidden/>
              </w:rPr>
              <w:fldChar w:fldCharType="begin"/>
            </w:r>
            <w:r>
              <w:rPr>
                <w:noProof/>
                <w:webHidden/>
              </w:rPr>
              <w:instrText xml:space="preserve"> PAGEREF _Toc104427535 \h </w:instrText>
            </w:r>
            <w:r>
              <w:rPr>
                <w:noProof/>
                <w:webHidden/>
              </w:rPr>
            </w:r>
            <w:r>
              <w:rPr>
                <w:noProof/>
                <w:webHidden/>
              </w:rPr>
              <w:fldChar w:fldCharType="separate"/>
            </w:r>
            <w:r>
              <w:rPr>
                <w:noProof/>
                <w:webHidden/>
              </w:rPr>
              <w:t>32</w:t>
            </w:r>
            <w:r>
              <w:rPr>
                <w:noProof/>
                <w:webHidden/>
              </w:rPr>
              <w:fldChar w:fldCharType="end"/>
            </w:r>
          </w:hyperlink>
        </w:p>
        <w:p w:rsidR="008E39D5" w:rsidRDefault="008E39D5">
          <w:pPr>
            <w:pStyle w:val="21"/>
            <w:tabs>
              <w:tab w:val="right" w:leader="dot" w:pos="9679"/>
            </w:tabs>
            <w:rPr>
              <w:noProof/>
              <w:sz w:val="22"/>
            </w:rPr>
          </w:pPr>
          <w:hyperlink w:anchor="_Toc104427536" w:history="1">
            <w:r w:rsidRPr="00AA2B8B">
              <w:rPr>
                <w:rStyle w:val="a8"/>
                <w:noProof/>
              </w:rPr>
              <w:t>3.4. Сравнение эффективности методов нейровизуализационных исследований</w:t>
            </w:r>
            <w:r>
              <w:rPr>
                <w:noProof/>
                <w:webHidden/>
              </w:rPr>
              <w:tab/>
            </w:r>
            <w:r>
              <w:rPr>
                <w:noProof/>
                <w:webHidden/>
              </w:rPr>
              <w:fldChar w:fldCharType="begin"/>
            </w:r>
            <w:r>
              <w:rPr>
                <w:noProof/>
                <w:webHidden/>
              </w:rPr>
              <w:instrText xml:space="preserve"> PAGEREF _Toc104427536 \h </w:instrText>
            </w:r>
            <w:r>
              <w:rPr>
                <w:noProof/>
                <w:webHidden/>
              </w:rPr>
            </w:r>
            <w:r>
              <w:rPr>
                <w:noProof/>
                <w:webHidden/>
              </w:rPr>
              <w:fldChar w:fldCharType="separate"/>
            </w:r>
            <w:r>
              <w:rPr>
                <w:noProof/>
                <w:webHidden/>
              </w:rPr>
              <w:t>35</w:t>
            </w:r>
            <w:r>
              <w:rPr>
                <w:noProof/>
                <w:webHidden/>
              </w:rPr>
              <w:fldChar w:fldCharType="end"/>
            </w:r>
          </w:hyperlink>
        </w:p>
        <w:p w:rsidR="008E39D5" w:rsidRDefault="008E39D5">
          <w:pPr>
            <w:pStyle w:val="31"/>
            <w:tabs>
              <w:tab w:val="right" w:leader="dot" w:pos="9679"/>
            </w:tabs>
            <w:rPr>
              <w:rFonts w:cstheme="minorBidi"/>
              <w:noProof/>
              <w:sz w:val="22"/>
            </w:rPr>
          </w:pPr>
          <w:hyperlink w:anchor="_Toc104427537" w:history="1">
            <w:r w:rsidRPr="00AA2B8B">
              <w:rPr>
                <w:rStyle w:val="a8"/>
                <w:noProof/>
              </w:rPr>
              <w:t>3.4.1. Данные МРТ 1,5 Тесла</w:t>
            </w:r>
            <w:r>
              <w:rPr>
                <w:noProof/>
                <w:webHidden/>
              </w:rPr>
              <w:tab/>
            </w:r>
            <w:r>
              <w:rPr>
                <w:noProof/>
                <w:webHidden/>
              </w:rPr>
              <w:fldChar w:fldCharType="begin"/>
            </w:r>
            <w:r>
              <w:rPr>
                <w:noProof/>
                <w:webHidden/>
              </w:rPr>
              <w:instrText xml:space="preserve"> PAGEREF _Toc104427537 \h </w:instrText>
            </w:r>
            <w:r>
              <w:rPr>
                <w:noProof/>
                <w:webHidden/>
              </w:rPr>
            </w:r>
            <w:r>
              <w:rPr>
                <w:noProof/>
                <w:webHidden/>
              </w:rPr>
              <w:fldChar w:fldCharType="separate"/>
            </w:r>
            <w:r>
              <w:rPr>
                <w:noProof/>
                <w:webHidden/>
              </w:rPr>
              <w:t>35</w:t>
            </w:r>
            <w:r>
              <w:rPr>
                <w:noProof/>
                <w:webHidden/>
              </w:rPr>
              <w:fldChar w:fldCharType="end"/>
            </w:r>
          </w:hyperlink>
        </w:p>
        <w:p w:rsidR="008E39D5" w:rsidRDefault="008E39D5">
          <w:pPr>
            <w:pStyle w:val="31"/>
            <w:tabs>
              <w:tab w:val="right" w:leader="dot" w:pos="9679"/>
            </w:tabs>
            <w:rPr>
              <w:rFonts w:cstheme="minorBidi"/>
              <w:noProof/>
              <w:sz w:val="22"/>
            </w:rPr>
          </w:pPr>
          <w:hyperlink w:anchor="_Toc104427538" w:history="1">
            <w:r w:rsidRPr="00AA2B8B">
              <w:rPr>
                <w:rStyle w:val="a8"/>
                <w:noProof/>
              </w:rPr>
              <w:t>3.4.2. Данные МРТ 3 Тесла (эпипротокол)</w:t>
            </w:r>
            <w:r>
              <w:rPr>
                <w:noProof/>
                <w:webHidden/>
              </w:rPr>
              <w:tab/>
            </w:r>
            <w:r>
              <w:rPr>
                <w:noProof/>
                <w:webHidden/>
              </w:rPr>
              <w:fldChar w:fldCharType="begin"/>
            </w:r>
            <w:r>
              <w:rPr>
                <w:noProof/>
                <w:webHidden/>
              </w:rPr>
              <w:instrText xml:space="preserve"> PAGEREF _Toc104427538 \h </w:instrText>
            </w:r>
            <w:r>
              <w:rPr>
                <w:noProof/>
                <w:webHidden/>
              </w:rPr>
            </w:r>
            <w:r>
              <w:rPr>
                <w:noProof/>
                <w:webHidden/>
              </w:rPr>
              <w:fldChar w:fldCharType="separate"/>
            </w:r>
            <w:r>
              <w:rPr>
                <w:noProof/>
                <w:webHidden/>
              </w:rPr>
              <w:t>36</w:t>
            </w:r>
            <w:r>
              <w:rPr>
                <w:noProof/>
                <w:webHidden/>
              </w:rPr>
              <w:fldChar w:fldCharType="end"/>
            </w:r>
          </w:hyperlink>
        </w:p>
        <w:p w:rsidR="008E39D5" w:rsidRDefault="008E39D5">
          <w:pPr>
            <w:pStyle w:val="31"/>
            <w:tabs>
              <w:tab w:val="right" w:leader="dot" w:pos="9679"/>
            </w:tabs>
            <w:rPr>
              <w:rFonts w:cstheme="minorBidi"/>
              <w:noProof/>
              <w:sz w:val="22"/>
            </w:rPr>
          </w:pPr>
          <w:hyperlink w:anchor="_Toc104427539" w:history="1">
            <w:r w:rsidRPr="00AA2B8B">
              <w:rPr>
                <w:rStyle w:val="a8"/>
                <w:noProof/>
              </w:rPr>
              <w:t>3.4.3 Данные ПЭТ-КТ</w:t>
            </w:r>
            <w:r>
              <w:rPr>
                <w:noProof/>
                <w:webHidden/>
              </w:rPr>
              <w:tab/>
            </w:r>
            <w:r>
              <w:rPr>
                <w:noProof/>
                <w:webHidden/>
              </w:rPr>
              <w:fldChar w:fldCharType="begin"/>
            </w:r>
            <w:r>
              <w:rPr>
                <w:noProof/>
                <w:webHidden/>
              </w:rPr>
              <w:instrText xml:space="preserve"> PAGEREF _Toc104427539 \h </w:instrText>
            </w:r>
            <w:r>
              <w:rPr>
                <w:noProof/>
                <w:webHidden/>
              </w:rPr>
            </w:r>
            <w:r>
              <w:rPr>
                <w:noProof/>
                <w:webHidden/>
              </w:rPr>
              <w:fldChar w:fldCharType="separate"/>
            </w:r>
            <w:r>
              <w:rPr>
                <w:noProof/>
                <w:webHidden/>
              </w:rPr>
              <w:t>36</w:t>
            </w:r>
            <w:r>
              <w:rPr>
                <w:noProof/>
                <w:webHidden/>
              </w:rPr>
              <w:fldChar w:fldCharType="end"/>
            </w:r>
          </w:hyperlink>
        </w:p>
        <w:p w:rsidR="008E39D5" w:rsidRDefault="008E39D5">
          <w:pPr>
            <w:pStyle w:val="31"/>
            <w:tabs>
              <w:tab w:val="right" w:leader="dot" w:pos="9679"/>
            </w:tabs>
            <w:rPr>
              <w:rFonts w:cstheme="minorBidi"/>
              <w:noProof/>
              <w:sz w:val="22"/>
            </w:rPr>
          </w:pPr>
          <w:hyperlink w:anchor="_Toc104427540" w:history="1">
            <w:r w:rsidRPr="00AA2B8B">
              <w:rPr>
                <w:rStyle w:val="a8"/>
                <w:noProof/>
              </w:rPr>
              <w:t>3.4.4. Сравнение эффективности нейровизуализационных методов диагностики</w:t>
            </w:r>
            <w:r>
              <w:rPr>
                <w:noProof/>
                <w:webHidden/>
              </w:rPr>
              <w:tab/>
            </w:r>
            <w:r>
              <w:rPr>
                <w:noProof/>
                <w:webHidden/>
              </w:rPr>
              <w:fldChar w:fldCharType="begin"/>
            </w:r>
            <w:r>
              <w:rPr>
                <w:noProof/>
                <w:webHidden/>
              </w:rPr>
              <w:instrText xml:space="preserve"> PAGEREF _Toc104427540 \h </w:instrText>
            </w:r>
            <w:r>
              <w:rPr>
                <w:noProof/>
                <w:webHidden/>
              </w:rPr>
            </w:r>
            <w:r>
              <w:rPr>
                <w:noProof/>
                <w:webHidden/>
              </w:rPr>
              <w:fldChar w:fldCharType="separate"/>
            </w:r>
            <w:r>
              <w:rPr>
                <w:noProof/>
                <w:webHidden/>
              </w:rPr>
              <w:t>36</w:t>
            </w:r>
            <w:r>
              <w:rPr>
                <w:noProof/>
                <w:webHidden/>
              </w:rPr>
              <w:fldChar w:fldCharType="end"/>
            </w:r>
          </w:hyperlink>
        </w:p>
        <w:p w:rsidR="008E39D5" w:rsidRDefault="008E39D5">
          <w:pPr>
            <w:pStyle w:val="21"/>
            <w:tabs>
              <w:tab w:val="right" w:leader="dot" w:pos="9679"/>
            </w:tabs>
            <w:rPr>
              <w:noProof/>
              <w:sz w:val="22"/>
            </w:rPr>
          </w:pPr>
          <w:hyperlink w:anchor="_Toc104427541" w:history="1">
            <w:r w:rsidRPr="00AA2B8B">
              <w:rPr>
                <w:rStyle w:val="a8"/>
                <w:noProof/>
              </w:rPr>
              <w:t>3.5. Данные функциональных методов исследования</w:t>
            </w:r>
            <w:r>
              <w:rPr>
                <w:noProof/>
                <w:webHidden/>
              </w:rPr>
              <w:tab/>
            </w:r>
            <w:r>
              <w:rPr>
                <w:noProof/>
                <w:webHidden/>
              </w:rPr>
              <w:fldChar w:fldCharType="begin"/>
            </w:r>
            <w:r>
              <w:rPr>
                <w:noProof/>
                <w:webHidden/>
              </w:rPr>
              <w:instrText xml:space="preserve"> PAGEREF _Toc104427541 \h </w:instrText>
            </w:r>
            <w:r>
              <w:rPr>
                <w:noProof/>
                <w:webHidden/>
              </w:rPr>
            </w:r>
            <w:r>
              <w:rPr>
                <w:noProof/>
                <w:webHidden/>
              </w:rPr>
              <w:fldChar w:fldCharType="separate"/>
            </w:r>
            <w:r>
              <w:rPr>
                <w:noProof/>
                <w:webHidden/>
              </w:rPr>
              <w:t>37</w:t>
            </w:r>
            <w:r>
              <w:rPr>
                <w:noProof/>
                <w:webHidden/>
              </w:rPr>
              <w:fldChar w:fldCharType="end"/>
            </w:r>
          </w:hyperlink>
        </w:p>
        <w:p w:rsidR="008E39D5" w:rsidRDefault="008E39D5">
          <w:pPr>
            <w:pStyle w:val="21"/>
            <w:tabs>
              <w:tab w:val="right" w:leader="dot" w:pos="9679"/>
            </w:tabs>
            <w:rPr>
              <w:noProof/>
              <w:sz w:val="22"/>
            </w:rPr>
          </w:pPr>
          <w:hyperlink w:anchor="_Toc104427542" w:history="1">
            <w:r w:rsidRPr="00AA2B8B">
              <w:rPr>
                <w:rStyle w:val="a8"/>
                <w:noProof/>
              </w:rPr>
              <w:t>3.6. Оценка когнитивных функций пациентов в постоперационном периоде</w:t>
            </w:r>
            <w:r>
              <w:rPr>
                <w:noProof/>
                <w:webHidden/>
              </w:rPr>
              <w:tab/>
            </w:r>
            <w:r>
              <w:rPr>
                <w:noProof/>
                <w:webHidden/>
              </w:rPr>
              <w:fldChar w:fldCharType="begin"/>
            </w:r>
            <w:r>
              <w:rPr>
                <w:noProof/>
                <w:webHidden/>
              </w:rPr>
              <w:instrText xml:space="preserve"> PAGEREF _Toc104427542 \h </w:instrText>
            </w:r>
            <w:r>
              <w:rPr>
                <w:noProof/>
                <w:webHidden/>
              </w:rPr>
            </w:r>
            <w:r>
              <w:rPr>
                <w:noProof/>
                <w:webHidden/>
              </w:rPr>
              <w:fldChar w:fldCharType="separate"/>
            </w:r>
            <w:r>
              <w:rPr>
                <w:noProof/>
                <w:webHidden/>
              </w:rPr>
              <w:t>39</w:t>
            </w:r>
            <w:r>
              <w:rPr>
                <w:noProof/>
                <w:webHidden/>
              </w:rPr>
              <w:fldChar w:fldCharType="end"/>
            </w:r>
          </w:hyperlink>
        </w:p>
        <w:p w:rsidR="008E39D5" w:rsidRDefault="008E39D5">
          <w:pPr>
            <w:pStyle w:val="31"/>
            <w:tabs>
              <w:tab w:val="right" w:leader="dot" w:pos="9679"/>
            </w:tabs>
            <w:rPr>
              <w:rFonts w:cstheme="minorBidi"/>
              <w:noProof/>
              <w:sz w:val="22"/>
            </w:rPr>
          </w:pPr>
          <w:hyperlink w:anchor="_Toc104427543" w:history="1">
            <w:r w:rsidRPr="00AA2B8B">
              <w:rPr>
                <w:rStyle w:val="a8"/>
                <w:noProof/>
              </w:rPr>
              <w:t>3.6.1. Оценка когнитивных функций по Монреальской шкале</w:t>
            </w:r>
            <w:r>
              <w:rPr>
                <w:noProof/>
                <w:webHidden/>
              </w:rPr>
              <w:tab/>
            </w:r>
            <w:r>
              <w:rPr>
                <w:noProof/>
                <w:webHidden/>
              </w:rPr>
              <w:fldChar w:fldCharType="begin"/>
            </w:r>
            <w:r>
              <w:rPr>
                <w:noProof/>
                <w:webHidden/>
              </w:rPr>
              <w:instrText xml:space="preserve"> PAGEREF _Toc104427543 \h </w:instrText>
            </w:r>
            <w:r>
              <w:rPr>
                <w:noProof/>
                <w:webHidden/>
              </w:rPr>
            </w:r>
            <w:r>
              <w:rPr>
                <w:noProof/>
                <w:webHidden/>
              </w:rPr>
              <w:fldChar w:fldCharType="separate"/>
            </w:r>
            <w:r>
              <w:rPr>
                <w:noProof/>
                <w:webHidden/>
              </w:rPr>
              <w:t>40</w:t>
            </w:r>
            <w:r>
              <w:rPr>
                <w:noProof/>
                <w:webHidden/>
              </w:rPr>
              <w:fldChar w:fldCharType="end"/>
            </w:r>
          </w:hyperlink>
        </w:p>
        <w:p w:rsidR="008E39D5" w:rsidRDefault="008E39D5">
          <w:pPr>
            <w:pStyle w:val="31"/>
            <w:tabs>
              <w:tab w:val="right" w:leader="dot" w:pos="9679"/>
            </w:tabs>
            <w:rPr>
              <w:rFonts w:cstheme="minorBidi"/>
              <w:noProof/>
              <w:sz w:val="22"/>
            </w:rPr>
          </w:pPr>
          <w:hyperlink w:anchor="_Toc104427544" w:history="1">
            <w:r w:rsidRPr="00AA2B8B">
              <w:rPr>
                <w:rStyle w:val="a8"/>
                <w:noProof/>
              </w:rPr>
              <w:t xml:space="preserve">3.6.2. Оценка когнитивных функций по тесту </w:t>
            </w:r>
            <w:r w:rsidRPr="00AA2B8B">
              <w:rPr>
                <w:rStyle w:val="a8"/>
                <w:noProof/>
                <w:lang w:val="en-US"/>
              </w:rPr>
              <w:t>MMSE</w:t>
            </w:r>
            <w:r>
              <w:rPr>
                <w:noProof/>
                <w:webHidden/>
              </w:rPr>
              <w:tab/>
            </w:r>
            <w:r>
              <w:rPr>
                <w:noProof/>
                <w:webHidden/>
              </w:rPr>
              <w:fldChar w:fldCharType="begin"/>
            </w:r>
            <w:r>
              <w:rPr>
                <w:noProof/>
                <w:webHidden/>
              </w:rPr>
              <w:instrText xml:space="preserve"> PAGEREF _Toc104427544 \h </w:instrText>
            </w:r>
            <w:r>
              <w:rPr>
                <w:noProof/>
                <w:webHidden/>
              </w:rPr>
            </w:r>
            <w:r>
              <w:rPr>
                <w:noProof/>
                <w:webHidden/>
              </w:rPr>
              <w:fldChar w:fldCharType="separate"/>
            </w:r>
            <w:r>
              <w:rPr>
                <w:noProof/>
                <w:webHidden/>
              </w:rPr>
              <w:t>41</w:t>
            </w:r>
            <w:r>
              <w:rPr>
                <w:noProof/>
                <w:webHidden/>
              </w:rPr>
              <w:fldChar w:fldCharType="end"/>
            </w:r>
          </w:hyperlink>
        </w:p>
        <w:p w:rsidR="008E39D5" w:rsidRDefault="008E39D5">
          <w:pPr>
            <w:pStyle w:val="31"/>
            <w:tabs>
              <w:tab w:val="right" w:leader="dot" w:pos="9679"/>
            </w:tabs>
            <w:rPr>
              <w:rFonts w:cstheme="minorBidi"/>
              <w:noProof/>
              <w:sz w:val="22"/>
            </w:rPr>
          </w:pPr>
          <w:hyperlink w:anchor="_Toc104427545" w:history="1">
            <w:r w:rsidRPr="00AA2B8B">
              <w:rPr>
                <w:rStyle w:val="a8"/>
                <w:noProof/>
              </w:rPr>
              <w:t>3.6.3. Оценка результатов тестирования по батарее лобной дисфункции</w:t>
            </w:r>
            <w:r>
              <w:rPr>
                <w:noProof/>
                <w:webHidden/>
              </w:rPr>
              <w:tab/>
            </w:r>
            <w:r>
              <w:rPr>
                <w:noProof/>
                <w:webHidden/>
              </w:rPr>
              <w:fldChar w:fldCharType="begin"/>
            </w:r>
            <w:r>
              <w:rPr>
                <w:noProof/>
                <w:webHidden/>
              </w:rPr>
              <w:instrText xml:space="preserve"> PAGEREF _Toc104427545 \h </w:instrText>
            </w:r>
            <w:r>
              <w:rPr>
                <w:noProof/>
                <w:webHidden/>
              </w:rPr>
            </w:r>
            <w:r>
              <w:rPr>
                <w:noProof/>
                <w:webHidden/>
              </w:rPr>
              <w:fldChar w:fldCharType="separate"/>
            </w:r>
            <w:r>
              <w:rPr>
                <w:noProof/>
                <w:webHidden/>
              </w:rPr>
              <w:t>42</w:t>
            </w:r>
            <w:r>
              <w:rPr>
                <w:noProof/>
                <w:webHidden/>
              </w:rPr>
              <w:fldChar w:fldCharType="end"/>
            </w:r>
          </w:hyperlink>
        </w:p>
        <w:p w:rsidR="008E39D5" w:rsidRDefault="008E39D5">
          <w:pPr>
            <w:pStyle w:val="31"/>
            <w:tabs>
              <w:tab w:val="right" w:leader="dot" w:pos="9679"/>
            </w:tabs>
            <w:rPr>
              <w:rFonts w:cstheme="minorBidi"/>
              <w:noProof/>
              <w:sz w:val="22"/>
            </w:rPr>
          </w:pPr>
          <w:hyperlink w:anchor="_Toc104427546" w:history="1">
            <w:r w:rsidRPr="00AA2B8B">
              <w:rPr>
                <w:rStyle w:val="a8"/>
                <w:noProof/>
              </w:rPr>
              <w:t>3.6.4. Результаты обследования пациентов с помощью таблиц Шульте</w:t>
            </w:r>
            <w:r>
              <w:rPr>
                <w:noProof/>
                <w:webHidden/>
              </w:rPr>
              <w:tab/>
            </w:r>
            <w:r>
              <w:rPr>
                <w:noProof/>
                <w:webHidden/>
              </w:rPr>
              <w:fldChar w:fldCharType="begin"/>
            </w:r>
            <w:r>
              <w:rPr>
                <w:noProof/>
                <w:webHidden/>
              </w:rPr>
              <w:instrText xml:space="preserve"> PAGEREF _Toc104427546 \h </w:instrText>
            </w:r>
            <w:r>
              <w:rPr>
                <w:noProof/>
                <w:webHidden/>
              </w:rPr>
            </w:r>
            <w:r>
              <w:rPr>
                <w:noProof/>
                <w:webHidden/>
              </w:rPr>
              <w:fldChar w:fldCharType="separate"/>
            </w:r>
            <w:r>
              <w:rPr>
                <w:noProof/>
                <w:webHidden/>
              </w:rPr>
              <w:t>43</w:t>
            </w:r>
            <w:r>
              <w:rPr>
                <w:noProof/>
                <w:webHidden/>
              </w:rPr>
              <w:fldChar w:fldCharType="end"/>
            </w:r>
          </w:hyperlink>
        </w:p>
        <w:p w:rsidR="008E39D5" w:rsidRDefault="008E39D5">
          <w:pPr>
            <w:pStyle w:val="21"/>
            <w:tabs>
              <w:tab w:val="right" w:leader="dot" w:pos="9679"/>
            </w:tabs>
            <w:rPr>
              <w:noProof/>
              <w:sz w:val="22"/>
            </w:rPr>
          </w:pPr>
          <w:hyperlink w:anchor="_Toc104427547" w:history="1">
            <w:r w:rsidRPr="00AA2B8B">
              <w:rPr>
                <w:rStyle w:val="a8"/>
                <w:noProof/>
              </w:rPr>
              <w:t>3.7. Оценка качества жизни пациентов в постоперационном периоде</w:t>
            </w:r>
            <w:r>
              <w:rPr>
                <w:noProof/>
                <w:webHidden/>
              </w:rPr>
              <w:tab/>
            </w:r>
            <w:r>
              <w:rPr>
                <w:noProof/>
                <w:webHidden/>
              </w:rPr>
              <w:fldChar w:fldCharType="begin"/>
            </w:r>
            <w:r>
              <w:rPr>
                <w:noProof/>
                <w:webHidden/>
              </w:rPr>
              <w:instrText xml:space="preserve"> PAGEREF _Toc104427547 \h </w:instrText>
            </w:r>
            <w:r>
              <w:rPr>
                <w:noProof/>
                <w:webHidden/>
              </w:rPr>
            </w:r>
            <w:r>
              <w:rPr>
                <w:noProof/>
                <w:webHidden/>
              </w:rPr>
              <w:fldChar w:fldCharType="separate"/>
            </w:r>
            <w:r>
              <w:rPr>
                <w:noProof/>
                <w:webHidden/>
              </w:rPr>
              <w:t>45</w:t>
            </w:r>
            <w:r>
              <w:rPr>
                <w:noProof/>
                <w:webHidden/>
              </w:rPr>
              <w:fldChar w:fldCharType="end"/>
            </w:r>
          </w:hyperlink>
        </w:p>
        <w:p w:rsidR="008E39D5" w:rsidRDefault="008E39D5">
          <w:pPr>
            <w:pStyle w:val="31"/>
            <w:tabs>
              <w:tab w:val="right" w:leader="dot" w:pos="9679"/>
            </w:tabs>
            <w:rPr>
              <w:rFonts w:cstheme="minorBidi"/>
              <w:noProof/>
              <w:sz w:val="22"/>
            </w:rPr>
          </w:pPr>
          <w:hyperlink w:anchor="_Toc104427548" w:history="1">
            <w:r w:rsidRPr="00AA2B8B">
              <w:rPr>
                <w:rStyle w:val="a8"/>
                <w:noProof/>
              </w:rPr>
              <w:t>3.7.1. Оценка уровня тревоги и депрессии у пациентов</w:t>
            </w:r>
            <w:r>
              <w:rPr>
                <w:noProof/>
                <w:webHidden/>
              </w:rPr>
              <w:tab/>
            </w:r>
            <w:r>
              <w:rPr>
                <w:noProof/>
                <w:webHidden/>
              </w:rPr>
              <w:fldChar w:fldCharType="begin"/>
            </w:r>
            <w:r>
              <w:rPr>
                <w:noProof/>
                <w:webHidden/>
              </w:rPr>
              <w:instrText xml:space="preserve"> PAGEREF _Toc104427548 \h </w:instrText>
            </w:r>
            <w:r>
              <w:rPr>
                <w:noProof/>
                <w:webHidden/>
              </w:rPr>
            </w:r>
            <w:r>
              <w:rPr>
                <w:noProof/>
                <w:webHidden/>
              </w:rPr>
              <w:fldChar w:fldCharType="separate"/>
            </w:r>
            <w:r>
              <w:rPr>
                <w:noProof/>
                <w:webHidden/>
              </w:rPr>
              <w:t>45</w:t>
            </w:r>
            <w:r>
              <w:rPr>
                <w:noProof/>
                <w:webHidden/>
              </w:rPr>
              <w:fldChar w:fldCharType="end"/>
            </w:r>
          </w:hyperlink>
        </w:p>
        <w:p w:rsidR="008E39D5" w:rsidRDefault="008E39D5">
          <w:pPr>
            <w:pStyle w:val="31"/>
            <w:tabs>
              <w:tab w:val="right" w:leader="dot" w:pos="9679"/>
            </w:tabs>
            <w:rPr>
              <w:rFonts w:cstheme="minorBidi"/>
              <w:noProof/>
              <w:sz w:val="22"/>
            </w:rPr>
          </w:pPr>
          <w:hyperlink w:anchor="_Toc104427549" w:history="1">
            <w:r w:rsidRPr="00AA2B8B">
              <w:rPr>
                <w:rStyle w:val="a8"/>
                <w:noProof/>
              </w:rPr>
              <w:t xml:space="preserve">3.7.2. Оценка качества жизни у пациентов по опроснику </w:t>
            </w:r>
            <w:r w:rsidRPr="00AA2B8B">
              <w:rPr>
                <w:rStyle w:val="a8"/>
                <w:noProof/>
                <w:lang w:val="en-US"/>
              </w:rPr>
              <w:t>SF</w:t>
            </w:r>
            <w:r w:rsidRPr="00AA2B8B">
              <w:rPr>
                <w:rStyle w:val="a8"/>
                <w:noProof/>
              </w:rPr>
              <w:t>-36</w:t>
            </w:r>
            <w:r>
              <w:rPr>
                <w:noProof/>
                <w:webHidden/>
              </w:rPr>
              <w:tab/>
            </w:r>
            <w:r>
              <w:rPr>
                <w:noProof/>
                <w:webHidden/>
              </w:rPr>
              <w:fldChar w:fldCharType="begin"/>
            </w:r>
            <w:r>
              <w:rPr>
                <w:noProof/>
                <w:webHidden/>
              </w:rPr>
              <w:instrText xml:space="preserve"> PAGEREF _Toc104427549 \h </w:instrText>
            </w:r>
            <w:r>
              <w:rPr>
                <w:noProof/>
                <w:webHidden/>
              </w:rPr>
            </w:r>
            <w:r>
              <w:rPr>
                <w:noProof/>
                <w:webHidden/>
              </w:rPr>
              <w:fldChar w:fldCharType="separate"/>
            </w:r>
            <w:r>
              <w:rPr>
                <w:noProof/>
                <w:webHidden/>
              </w:rPr>
              <w:t>46</w:t>
            </w:r>
            <w:r>
              <w:rPr>
                <w:noProof/>
                <w:webHidden/>
              </w:rPr>
              <w:fldChar w:fldCharType="end"/>
            </w:r>
          </w:hyperlink>
        </w:p>
        <w:p w:rsidR="008E39D5" w:rsidRDefault="008E39D5">
          <w:pPr>
            <w:pStyle w:val="21"/>
            <w:tabs>
              <w:tab w:val="right" w:leader="dot" w:pos="9679"/>
            </w:tabs>
            <w:rPr>
              <w:noProof/>
              <w:sz w:val="22"/>
            </w:rPr>
          </w:pPr>
          <w:hyperlink w:anchor="_Toc104427550" w:history="1">
            <w:r w:rsidRPr="00AA2B8B">
              <w:rPr>
                <w:rStyle w:val="a8"/>
                <w:noProof/>
              </w:rPr>
              <w:t>3.7.3. Частота и типы приступов у пациентов в постоперационном периоде</w:t>
            </w:r>
            <w:r>
              <w:rPr>
                <w:noProof/>
                <w:webHidden/>
              </w:rPr>
              <w:tab/>
            </w:r>
            <w:r>
              <w:rPr>
                <w:noProof/>
                <w:webHidden/>
              </w:rPr>
              <w:fldChar w:fldCharType="begin"/>
            </w:r>
            <w:r>
              <w:rPr>
                <w:noProof/>
                <w:webHidden/>
              </w:rPr>
              <w:instrText xml:space="preserve"> PAGEREF _Toc104427550 \h </w:instrText>
            </w:r>
            <w:r>
              <w:rPr>
                <w:noProof/>
                <w:webHidden/>
              </w:rPr>
            </w:r>
            <w:r>
              <w:rPr>
                <w:noProof/>
                <w:webHidden/>
              </w:rPr>
              <w:fldChar w:fldCharType="separate"/>
            </w:r>
            <w:r>
              <w:rPr>
                <w:noProof/>
                <w:webHidden/>
              </w:rPr>
              <w:t>48</w:t>
            </w:r>
            <w:r>
              <w:rPr>
                <w:noProof/>
                <w:webHidden/>
              </w:rPr>
              <w:fldChar w:fldCharType="end"/>
            </w:r>
          </w:hyperlink>
        </w:p>
        <w:p w:rsidR="008E39D5" w:rsidRDefault="008E39D5">
          <w:pPr>
            <w:pStyle w:val="11"/>
            <w:tabs>
              <w:tab w:val="right" w:leader="dot" w:pos="9679"/>
            </w:tabs>
            <w:rPr>
              <w:noProof/>
              <w:sz w:val="22"/>
            </w:rPr>
          </w:pPr>
          <w:hyperlink w:anchor="_Toc104427551" w:history="1">
            <w:r w:rsidRPr="00AA2B8B">
              <w:rPr>
                <w:rStyle w:val="a8"/>
                <w:noProof/>
              </w:rPr>
              <w:t>Заключение</w:t>
            </w:r>
            <w:r>
              <w:rPr>
                <w:noProof/>
                <w:webHidden/>
              </w:rPr>
              <w:tab/>
            </w:r>
            <w:r>
              <w:rPr>
                <w:noProof/>
                <w:webHidden/>
              </w:rPr>
              <w:fldChar w:fldCharType="begin"/>
            </w:r>
            <w:r>
              <w:rPr>
                <w:noProof/>
                <w:webHidden/>
              </w:rPr>
              <w:instrText xml:space="preserve"> PAGEREF _Toc104427551 \h </w:instrText>
            </w:r>
            <w:r>
              <w:rPr>
                <w:noProof/>
                <w:webHidden/>
              </w:rPr>
            </w:r>
            <w:r>
              <w:rPr>
                <w:noProof/>
                <w:webHidden/>
              </w:rPr>
              <w:fldChar w:fldCharType="separate"/>
            </w:r>
            <w:r>
              <w:rPr>
                <w:noProof/>
                <w:webHidden/>
              </w:rPr>
              <w:t>50</w:t>
            </w:r>
            <w:r>
              <w:rPr>
                <w:noProof/>
                <w:webHidden/>
              </w:rPr>
              <w:fldChar w:fldCharType="end"/>
            </w:r>
          </w:hyperlink>
        </w:p>
        <w:p w:rsidR="008E39D5" w:rsidRDefault="008E39D5">
          <w:pPr>
            <w:pStyle w:val="11"/>
            <w:tabs>
              <w:tab w:val="right" w:leader="dot" w:pos="9679"/>
            </w:tabs>
            <w:rPr>
              <w:noProof/>
              <w:sz w:val="22"/>
            </w:rPr>
          </w:pPr>
          <w:hyperlink w:anchor="_Toc104427552" w:history="1">
            <w:r w:rsidRPr="00AA2B8B">
              <w:rPr>
                <w:rStyle w:val="a8"/>
                <w:noProof/>
              </w:rPr>
              <w:t>Выводы</w:t>
            </w:r>
            <w:r>
              <w:rPr>
                <w:noProof/>
                <w:webHidden/>
              </w:rPr>
              <w:tab/>
            </w:r>
            <w:r>
              <w:rPr>
                <w:noProof/>
                <w:webHidden/>
              </w:rPr>
              <w:fldChar w:fldCharType="begin"/>
            </w:r>
            <w:r>
              <w:rPr>
                <w:noProof/>
                <w:webHidden/>
              </w:rPr>
              <w:instrText xml:space="preserve"> PAGEREF _Toc104427552 \h </w:instrText>
            </w:r>
            <w:r>
              <w:rPr>
                <w:noProof/>
                <w:webHidden/>
              </w:rPr>
            </w:r>
            <w:r>
              <w:rPr>
                <w:noProof/>
                <w:webHidden/>
              </w:rPr>
              <w:fldChar w:fldCharType="separate"/>
            </w:r>
            <w:r>
              <w:rPr>
                <w:noProof/>
                <w:webHidden/>
              </w:rPr>
              <w:t>54</w:t>
            </w:r>
            <w:r>
              <w:rPr>
                <w:noProof/>
                <w:webHidden/>
              </w:rPr>
              <w:fldChar w:fldCharType="end"/>
            </w:r>
          </w:hyperlink>
        </w:p>
        <w:p w:rsidR="008E39D5" w:rsidRDefault="008E39D5">
          <w:pPr>
            <w:pStyle w:val="11"/>
            <w:tabs>
              <w:tab w:val="right" w:leader="dot" w:pos="9679"/>
            </w:tabs>
            <w:rPr>
              <w:noProof/>
              <w:sz w:val="22"/>
            </w:rPr>
          </w:pPr>
          <w:hyperlink w:anchor="_Toc104427553" w:history="1">
            <w:r w:rsidRPr="00AA2B8B">
              <w:rPr>
                <w:rStyle w:val="a8"/>
                <w:noProof/>
              </w:rPr>
              <w:t>Список</w:t>
            </w:r>
            <w:r w:rsidRPr="00AA2B8B">
              <w:rPr>
                <w:rStyle w:val="a8"/>
                <w:noProof/>
                <w:lang w:val="en-US"/>
              </w:rPr>
              <w:t xml:space="preserve"> </w:t>
            </w:r>
            <w:r w:rsidRPr="00AA2B8B">
              <w:rPr>
                <w:rStyle w:val="a8"/>
                <w:noProof/>
              </w:rPr>
              <w:t>литературы</w:t>
            </w:r>
            <w:r>
              <w:rPr>
                <w:noProof/>
                <w:webHidden/>
              </w:rPr>
              <w:tab/>
            </w:r>
            <w:r>
              <w:rPr>
                <w:noProof/>
                <w:webHidden/>
              </w:rPr>
              <w:fldChar w:fldCharType="begin"/>
            </w:r>
            <w:r>
              <w:rPr>
                <w:noProof/>
                <w:webHidden/>
              </w:rPr>
              <w:instrText xml:space="preserve"> PAGEREF _Toc104427553 \h </w:instrText>
            </w:r>
            <w:r>
              <w:rPr>
                <w:noProof/>
                <w:webHidden/>
              </w:rPr>
            </w:r>
            <w:r>
              <w:rPr>
                <w:noProof/>
                <w:webHidden/>
              </w:rPr>
              <w:fldChar w:fldCharType="separate"/>
            </w:r>
            <w:r>
              <w:rPr>
                <w:noProof/>
                <w:webHidden/>
              </w:rPr>
              <w:t>56</w:t>
            </w:r>
            <w:r>
              <w:rPr>
                <w:noProof/>
                <w:webHidden/>
              </w:rPr>
              <w:fldChar w:fldCharType="end"/>
            </w:r>
          </w:hyperlink>
        </w:p>
        <w:p w:rsidR="008E39D5" w:rsidRDefault="008E39D5">
          <w:pPr>
            <w:pStyle w:val="11"/>
            <w:tabs>
              <w:tab w:val="right" w:leader="dot" w:pos="9679"/>
            </w:tabs>
            <w:rPr>
              <w:noProof/>
              <w:sz w:val="22"/>
            </w:rPr>
          </w:pPr>
          <w:hyperlink w:anchor="_Toc104427554" w:history="1">
            <w:r w:rsidRPr="00AA2B8B">
              <w:rPr>
                <w:rStyle w:val="a8"/>
                <w:noProof/>
              </w:rPr>
              <w:t>Приложение 1</w:t>
            </w:r>
            <w:r>
              <w:rPr>
                <w:noProof/>
                <w:webHidden/>
              </w:rPr>
              <w:tab/>
            </w:r>
            <w:r>
              <w:rPr>
                <w:noProof/>
                <w:webHidden/>
              </w:rPr>
              <w:fldChar w:fldCharType="begin"/>
            </w:r>
            <w:r>
              <w:rPr>
                <w:noProof/>
                <w:webHidden/>
              </w:rPr>
              <w:instrText xml:space="preserve"> PAGEREF _Toc104427554 \h </w:instrText>
            </w:r>
            <w:r>
              <w:rPr>
                <w:noProof/>
                <w:webHidden/>
              </w:rPr>
            </w:r>
            <w:r>
              <w:rPr>
                <w:noProof/>
                <w:webHidden/>
              </w:rPr>
              <w:fldChar w:fldCharType="separate"/>
            </w:r>
            <w:r>
              <w:rPr>
                <w:noProof/>
                <w:webHidden/>
              </w:rPr>
              <w:t>62</w:t>
            </w:r>
            <w:r>
              <w:rPr>
                <w:noProof/>
                <w:webHidden/>
              </w:rPr>
              <w:fldChar w:fldCharType="end"/>
            </w:r>
          </w:hyperlink>
        </w:p>
        <w:p w:rsidR="008E39D5" w:rsidRDefault="008E39D5">
          <w:pPr>
            <w:pStyle w:val="11"/>
            <w:tabs>
              <w:tab w:val="right" w:leader="dot" w:pos="9679"/>
            </w:tabs>
            <w:rPr>
              <w:noProof/>
              <w:sz w:val="22"/>
            </w:rPr>
          </w:pPr>
          <w:hyperlink w:anchor="_Toc104427555" w:history="1">
            <w:r w:rsidRPr="00AA2B8B">
              <w:rPr>
                <w:rStyle w:val="a8"/>
                <w:noProof/>
              </w:rPr>
              <w:t>Приложение 2</w:t>
            </w:r>
            <w:r>
              <w:rPr>
                <w:noProof/>
                <w:webHidden/>
              </w:rPr>
              <w:tab/>
            </w:r>
            <w:r>
              <w:rPr>
                <w:noProof/>
                <w:webHidden/>
              </w:rPr>
              <w:fldChar w:fldCharType="begin"/>
            </w:r>
            <w:r>
              <w:rPr>
                <w:noProof/>
                <w:webHidden/>
              </w:rPr>
              <w:instrText xml:space="preserve"> PAGEREF _Toc104427555 \h </w:instrText>
            </w:r>
            <w:r>
              <w:rPr>
                <w:noProof/>
                <w:webHidden/>
              </w:rPr>
            </w:r>
            <w:r>
              <w:rPr>
                <w:noProof/>
                <w:webHidden/>
              </w:rPr>
              <w:fldChar w:fldCharType="separate"/>
            </w:r>
            <w:r>
              <w:rPr>
                <w:noProof/>
                <w:webHidden/>
              </w:rPr>
              <w:t>63</w:t>
            </w:r>
            <w:r>
              <w:rPr>
                <w:noProof/>
                <w:webHidden/>
              </w:rPr>
              <w:fldChar w:fldCharType="end"/>
            </w:r>
          </w:hyperlink>
        </w:p>
        <w:p w:rsidR="008E39D5" w:rsidRDefault="008E39D5">
          <w:pPr>
            <w:pStyle w:val="11"/>
            <w:tabs>
              <w:tab w:val="right" w:leader="dot" w:pos="9679"/>
            </w:tabs>
            <w:rPr>
              <w:noProof/>
              <w:sz w:val="22"/>
            </w:rPr>
          </w:pPr>
          <w:hyperlink w:anchor="_Toc104427556" w:history="1">
            <w:r w:rsidRPr="00AA2B8B">
              <w:rPr>
                <w:rStyle w:val="a8"/>
                <w:noProof/>
              </w:rPr>
              <w:t>Приложение 3</w:t>
            </w:r>
            <w:r>
              <w:rPr>
                <w:noProof/>
                <w:webHidden/>
              </w:rPr>
              <w:tab/>
            </w:r>
            <w:r>
              <w:rPr>
                <w:noProof/>
                <w:webHidden/>
              </w:rPr>
              <w:fldChar w:fldCharType="begin"/>
            </w:r>
            <w:r>
              <w:rPr>
                <w:noProof/>
                <w:webHidden/>
              </w:rPr>
              <w:instrText xml:space="preserve"> PAGEREF _Toc104427556 \h </w:instrText>
            </w:r>
            <w:r>
              <w:rPr>
                <w:noProof/>
                <w:webHidden/>
              </w:rPr>
            </w:r>
            <w:r>
              <w:rPr>
                <w:noProof/>
                <w:webHidden/>
              </w:rPr>
              <w:fldChar w:fldCharType="separate"/>
            </w:r>
            <w:r>
              <w:rPr>
                <w:noProof/>
                <w:webHidden/>
              </w:rPr>
              <w:t>65</w:t>
            </w:r>
            <w:r>
              <w:rPr>
                <w:noProof/>
                <w:webHidden/>
              </w:rPr>
              <w:fldChar w:fldCharType="end"/>
            </w:r>
          </w:hyperlink>
        </w:p>
        <w:p w:rsidR="008E39D5" w:rsidRDefault="008E39D5">
          <w:pPr>
            <w:pStyle w:val="11"/>
            <w:tabs>
              <w:tab w:val="right" w:leader="dot" w:pos="9679"/>
            </w:tabs>
            <w:rPr>
              <w:noProof/>
              <w:sz w:val="22"/>
            </w:rPr>
          </w:pPr>
          <w:hyperlink w:anchor="_Toc104427557" w:history="1">
            <w:r w:rsidRPr="00AA2B8B">
              <w:rPr>
                <w:rStyle w:val="a8"/>
                <w:noProof/>
              </w:rPr>
              <w:t>Приложение 4</w:t>
            </w:r>
            <w:r>
              <w:rPr>
                <w:noProof/>
                <w:webHidden/>
              </w:rPr>
              <w:tab/>
            </w:r>
            <w:r>
              <w:rPr>
                <w:noProof/>
                <w:webHidden/>
              </w:rPr>
              <w:fldChar w:fldCharType="begin"/>
            </w:r>
            <w:r>
              <w:rPr>
                <w:noProof/>
                <w:webHidden/>
              </w:rPr>
              <w:instrText xml:space="preserve"> PAGEREF _Toc104427557 \h </w:instrText>
            </w:r>
            <w:r>
              <w:rPr>
                <w:noProof/>
                <w:webHidden/>
              </w:rPr>
            </w:r>
            <w:r>
              <w:rPr>
                <w:noProof/>
                <w:webHidden/>
              </w:rPr>
              <w:fldChar w:fldCharType="separate"/>
            </w:r>
            <w:r>
              <w:rPr>
                <w:noProof/>
                <w:webHidden/>
              </w:rPr>
              <w:t>66</w:t>
            </w:r>
            <w:r>
              <w:rPr>
                <w:noProof/>
                <w:webHidden/>
              </w:rPr>
              <w:fldChar w:fldCharType="end"/>
            </w:r>
          </w:hyperlink>
        </w:p>
        <w:p w:rsidR="008E39D5" w:rsidRDefault="008E39D5">
          <w:pPr>
            <w:pStyle w:val="11"/>
            <w:tabs>
              <w:tab w:val="right" w:leader="dot" w:pos="9679"/>
            </w:tabs>
            <w:rPr>
              <w:noProof/>
              <w:sz w:val="22"/>
            </w:rPr>
          </w:pPr>
          <w:hyperlink w:anchor="_Toc104427558" w:history="1">
            <w:r w:rsidRPr="00AA2B8B">
              <w:rPr>
                <w:rStyle w:val="a8"/>
                <w:noProof/>
              </w:rPr>
              <w:t>Приложение 5</w:t>
            </w:r>
            <w:r>
              <w:rPr>
                <w:noProof/>
                <w:webHidden/>
              </w:rPr>
              <w:tab/>
            </w:r>
            <w:r>
              <w:rPr>
                <w:noProof/>
                <w:webHidden/>
              </w:rPr>
              <w:fldChar w:fldCharType="begin"/>
            </w:r>
            <w:r>
              <w:rPr>
                <w:noProof/>
                <w:webHidden/>
              </w:rPr>
              <w:instrText xml:space="preserve"> PAGEREF _Toc104427558 \h </w:instrText>
            </w:r>
            <w:r>
              <w:rPr>
                <w:noProof/>
                <w:webHidden/>
              </w:rPr>
            </w:r>
            <w:r>
              <w:rPr>
                <w:noProof/>
                <w:webHidden/>
              </w:rPr>
              <w:fldChar w:fldCharType="separate"/>
            </w:r>
            <w:r>
              <w:rPr>
                <w:noProof/>
                <w:webHidden/>
              </w:rPr>
              <w:t>67</w:t>
            </w:r>
            <w:r>
              <w:rPr>
                <w:noProof/>
                <w:webHidden/>
              </w:rPr>
              <w:fldChar w:fldCharType="end"/>
            </w:r>
          </w:hyperlink>
        </w:p>
        <w:p w:rsidR="008E39D5" w:rsidRDefault="008E39D5">
          <w:pPr>
            <w:pStyle w:val="11"/>
            <w:tabs>
              <w:tab w:val="right" w:leader="dot" w:pos="9679"/>
            </w:tabs>
            <w:rPr>
              <w:noProof/>
              <w:sz w:val="22"/>
            </w:rPr>
          </w:pPr>
          <w:hyperlink w:anchor="_Toc104427559" w:history="1">
            <w:r w:rsidRPr="00AA2B8B">
              <w:rPr>
                <w:rStyle w:val="a8"/>
                <w:noProof/>
              </w:rPr>
              <w:t>Приложение 6</w:t>
            </w:r>
            <w:r>
              <w:rPr>
                <w:noProof/>
                <w:webHidden/>
              </w:rPr>
              <w:tab/>
            </w:r>
            <w:r>
              <w:rPr>
                <w:noProof/>
                <w:webHidden/>
              </w:rPr>
              <w:fldChar w:fldCharType="begin"/>
            </w:r>
            <w:r>
              <w:rPr>
                <w:noProof/>
                <w:webHidden/>
              </w:rPr>
              <w:instrText xml:space="preserve"> PAGEREF _Toc104427559 \h </w:instrText>
            </w:r>
            <w:r>
              <w:rPr>
                <w:noProof/>
                <w:webHidden/>
              </w:rPr>
            </w:r>
            <w:r>
              <w:rPr>
                <w:noProof/>
                <w:webHidden/>
              </w:rPr>
              <w:fldChar w:fldCharType="separate"/>
            </w:r>
            <w:r>
              <w:rPr>
                <w:noProof/>
                <w:webHidden/>
              </w:rPr>
              <w:t>69</w:t>
            </w:r>
            <w:r>
              <w:rPr>
                <w:noProof/>
                <w:webHidden/>
              </w:rPr>
              <w:fldChar w:fldCharType="end"/>
            </w:r>
          </w:hyperlink>
        </w:p>
        <w:p w:rsidR="006B152D" w:rsidRPr="0093582B" w:rsidRDefault="006B152D">
          <w:r w:rsidRPr="0093582B">
            <w:rPr>
              <w:b/>
              <w:bCs/>
            </w:rPr>
            <w:fldChar w:fldCharType="end"/>
          </w:r>
        </w:p>
      </w:sdtContent>
    </w:sdt>
    <w:p w:rsidR="00D56AD1" w:rsidRPr="0093582B" w:rsidRDefault="00FE1724" w:rsidP="00FE1724">
      <w:pPr>
        <w:pStyle w:val="1"/>
        <w:jc w:val="left"/>
      </w:pPr>
      <w:r w:rsidRPr="0093582B">
        <w:t xml:space="preserve">                                      </w:t>
      </w:r>
    </w:p>
    <w:p w:rsidR="00D56AD1" w:rsidRPr="0093582B" w:rsidRDefault="00D56AD1">
      <w:pPr>
        <w:rPr>
          <w:rFonts w:asciiTheme="majorHAnsi" w:eastAsiaTheme="majorEastAsia" w:hAnsiTheme="majorHAnsi" w:cstheme="majorBidi"/>
          <w:b/>
          <w:sz w:val="32"/>
          <w:szCs w:val="32"/>
        </w:rPr>
      </w:pPr>
      <w:r w:rsidRPr="0093582B">
        <w:br w:type="page"/>
      </w:r>
    </w:p>
    <w:p w:rsidR="00480866" w:rsidRPr="00977863" w:rsidRDefault="004F42F2" w:rsidP="00977863">
      <w:pPr>
        <w:pStyle w:val="1"/>
        <w:rPr>
          <w:rFonts w:cstheme="majorHAnsi"/>
          <w:sz w:val="28"/>
          <w:szCs w:val="28"/>
        </w:rPr>
      </w:pPr>
      <w:bookmarkStart w:id="0" w:name="_Toc104427520"/>
      <w:r w:rsidRPr="0093582B">
        <w:lastRenderedPageBreak/>
        <w:t>Обозначения</w:t>
      </w:r>
      <w:bookmarkEnd w:id="0"/>
    </w:p>
    <w:p w:rsidR="00480866" w:rsidRPr="0093582B" w:rsidRDefault="00480866" w:rsidP="00480866">
      <w:pPr>
        <w:pStyle w:val="a9"/>
      </w:pPr>
      <w:r w:rsidRPr="0093582B">
        <w:t>БТК – билатеральный тонико-клонический</w:t>
      </w:r>
    </w:p>
    <w:p w:rsidR="00480866" w:rsidRPr="0093582B" w:rsidRDefault="00480866" w:rsidP="00480866">
      <w:pPr>
        <w:pStyle w:val="a9"/>
      </w:pPr>
      <w:r w:rsidRPr="0093582B">
        <w:t>ВЭМ – видео электроэнцефалографический мониторинг</w:t>
      </w:r>
    </w:p>
    <w:p w:rsidR="00480866" w:rsidRPr="0093582B" w:rsidRDefault="00480866" w:rsidP="00480866">
      <w:pPr>
        <w:pStyle w:val="a9"/>
      </w:pPr>
      <w:r w:rsidRPr="0093582B">
        <w:t>ЖКТ – желудочно-кишечный тракт</w:t>
      </w:r>
    </w:p>
    <w:p w:rsidR="00480866" w:rsidRPr="0093582B" w:rsidRDefault="00480866" w:rsidP="00480866">
      <w:pPr>
        <w:pStyle w:val="a9"/>
      </w:pPr>
      <w:r w:rsidRPr="0093582B">
        <w:t>МРТ – магнитно-резонансная томография</w:t>
      </w:r>
    </w:p>
    <w:p w:rsidR="00480866" w:rsidRPr="0093582B" w:rsidRDefault="00480866" w:rsidP="00480866">
      <w:pPr>
        <w:pStyle w:val="a9"/>
      </w:pPr>
      <w:r w:rsidRPr="0093582B">
        <w:t>ПУ – психическая устойчивость</w:t>
      </w:r>
    </w:p>
    <w:p w:rsidR="00480866" w:rsidRPr="0093582B" w:rsidRDefault="00480866" w:rsidP="00480866">
      <w:pPr>
        <w:pStyle w:val="a9"/>
      </w:pPr>
      <w:r w:rsidRPr="0093582B">
        <w:t>ПЭП – противоэпилептические препараты</w:t>
      </w:r>
    </w:p>
    <w:p w:rsidR="00480866" w:rsidRPr="0093582B" w:rsidRDefault="00480866" w:rsidP="00480866">
      <w:pPr>
        <w:pStyle w:val="a9"/>
      </w:pPr>
      <w:r w:rsidRPr="0093582B">
        <w:t>ПЭТ-КТ – позитронно-эмиссионная томография</w:t>
      </w:r>
    </w:p>
    <w:p w:rsidR="00480866" w:rsidRPr="0093582B" w:rsidRDefault="00480866" w:rsidP="00480866">
      <w:pPr>
        <w:pStyle w:val="a9"/>
      </w:pPr>
      <w:r w:rsidRPr="0093582B">
        <w:t>РФ – Российская Федерация</w:t>
      </w:r>
    </w:p>
    <w:p w:rsidR="00480866" w:rsidRPr="0093582B" w:rsidRDefault="00480866" w:rsidP="00480866">
      <w:pPr>
        <w:pStyle w:val="a9"/>
      </w:pPr>
      <w:r w:rsidRPr="0093582B">
        <w:t>РЧА – радиочастотная абляция</w:t>
      </w:r>
    </w:p>
    <w:p w:rsidR="00480866" w:rsidRPr="0093582B" w:rsidRDefault="00480866" w:rsidP="00480866">
      <w:pPr>
        <w:pStyle w:val="a9"/>
      </w:pPr>
      <w:r w:rsidRPr="0093582B">
        <w:t>СГ – склероз гиппокампа</w:t>
      </w:r>
    </w:p>
    <w:p w:rsidR="00480866" w:rsidRPr="0093582B" w:rsidRDefault="00480866" w:rsidP="00480866">
      <w:pPr>
        <w:pStyle w:val="a9"/>
      </w:pPr>
      <w:r w:rsidRPr="0093582B">
        <w:t>СР – степень врабатываемости</w:t>
      </w:r>
    </w:p>
    <w:p w:rsidR="00480866" w:rsidRPr="0093582B" w:rsidRDefault="00480866" w:rsidP="00480866">
      <w:pPr>
        <w:pStyle w:val="a9"/>
      </w:pPr>
      <w:r w:rsidRPr="0093582B">
        <w:t>ССС – сердечно-сосудистая система</w:t>
      </w:r>
    </w:p>
    <w:p w:rsidR="00480866" w:rsidRPr="0093582B" w:rsidRDefault="00480866" w:rsidP="00480866">
      <w:pPr>
        <w:pStyle w:val="a9"/>
      </w:pPr>
      <w:r w:rsidRPr="0093582B">
        <w:t>США – Соединенные Штаты Америки</w:t>
      </w:r>
    </w:p>
    <w:p w:rsidR="00480866" w:rsidRPr="0093582B" w:rsidRDefault="00480866" w:rsidP="00480866">
      <w:pPr>
        <w:pStyle w:val="a9"/>
      </w:pPr>
      <w:r w:rsidRPr="0093582B">
        <w:t>ФКД – фокальная кортикальная дисплазия</w:t>
      </w:r>
    </w:p>
    <w:p w:rsidR="00480866" w:rsidRPr="0093582B" w:rsidRDefault="002603C7" w:rsidP="00480866">
      <w:pPr>
        <w:pStyle w:val="a9"/>
      </w:pPr>
      <w:r w:rsidRPr="0093582B">
        <w:t>ФРЭ</w:t>
      </w:r>
      <w:r w:rsidR="00480866" w:rsidRPr="0093582B">
        <w:t xml:space="preserve"> – фармакорезистентная эпилепсия</w:t>
      </w:r>
    </w:p>
    <w:p w:rsidR="00480866" w:rsidRPr="0093582B" w:rsidRDefault="00480866" w:rsidP="00480866">
      <w:pPr>
        <w:pStyle w:val="a9"/>
      </w:pPr>
      <w:r w:rsidRPr="0093582B">
        <w:t>ЧМТ – черепно-мозговая травма</w:t>
      </w:r>
    </w:p>
    <w:p w:rsidR="00480866" w:rsidRPr="0093582B" w:rsidRDefault="00480866" w:rsidP="00480866">
      <w:pPr>
        <w:pStyle w:val="a9"/>
      </w:pPr>
      <w:r w:rsidRPr="0093582B">
        <w:t>ЧН – черепные нервы</w:t>
      </w:r>
    </w:p>
    <w:p w:rsidR="00480866" w:rsidRPr="0093582B" w:rsidRDefault="00480866" w:rsidP="00480866">
      <w:pPr>
        <w:pStyle w:val="a9"/>
      </w:pPr>
      <w:r w:rsidRPr="0093582B">
        <w:t>ЭП – эпилептический приступ</w:t>
      </w:r>
    </w:p>
    <w:p w:rsidR="00480866" w:rsidRPr="0093582B" w:rsidRDefault="00480866" w:rsidP="00480866">
      <w:pPr>
        <w:pStyle w:val="a9"/>
      </w:pPr>
      <w:r w:rsidRPr="0093582B">
        <w:t>ЭР – эффективность работы</w:t>
      </w:r>
    </w:p>
    <w:p w:rsidR="00480866" w:rsidRPr="0093582B" w:rsidRDefault="00480866" w:rsidP="00480866">
      <w:pPr>
        <w:pStyle w:val="a9"/>
      </w:pPr>
      <w:r w:rsidRPr="0093582B">
        <w:t>ЭЭГ - электроэнцефалография</w:t>
      </w:r>
    </w:p>
    <w:p w:rsidR="00480866" w:rsidRPr="0093582B" w:rsidRDefault="00480866" w:rsidP="002603C7">
      <w:pPr>
        <w:pStyle w:val="a9"/>
      </w:pPr>
      <w:r w:rsidRPr="0093582B">
        <w:rPr>
          <w:lang w:val="en-US"/>
        </w:rPr>
        <w:t>BP</w:t>
      </w:r>
      <w:r w:rsidRPr="0093582B">
        <w:t xml:space="preserve"> – </w:t>
      </w:r>
      <w:r w:rsidR="00B86A15" w:rsidRPr="0093582B">
        <w:rPr>
          <w:lang w:val="en-US"/>
        </w:rPr>
        <w:t>Bodily</w:t>
      </w:r>
      <w:r w:rsidR="00B86A15" w:rsidRPr="0093582B">
        <w:t xml:space="preserve"> </w:t>
      </w:r>
      <w:r w:rsidR="00B86A15" w:rsidRPr="0093582B">
        <w:rPr>
          <w:lang w:val="en-US"/>
        </w:rPr>
        <w:t>P</w:t>
      </w:r>
      <w:r w:rsidRPr="0093582B">
        <w:rPr>
          <w:lang w:val="en-US"/>
        </w:rPr>
        <w:t>ain</w:t>
      </w:r>
    </w:p>
    <w:p w:rsidR="00480866" w:rsidRPr="0093582B" w:rsidRDefault="00480866" w:rsidP="002603C7">
      <w:pPr>
        <w:pStyle w:val="a9"/>
        <w:rPr>
          <w:lang w:val="en-US"/>
        </w:rPr>
      </w:pPr>
      <w:r w:rsidRPr="0093582B">
        <w:rPr>
          <w:lang w:val="en-US"/>
        </w:rPr>
        <w:t>GH –</w:t>
      </w:r>
      <w:r w:rsidR="00B86A15" w:rsidRPr="0093582B">
        <w:rPr>
          <w:lang w:val="en-US"/>
        </w:rPr>
        <w:t xml:space="preserve"> General H</w:t>
      </w:r>
      <w:r w:rsidRPr="0093582B">
        <w:rPr>
          <w:lang w:val="en-US"/>
        </w:rPr>
        <w:t>ealth</w:t>
      </w:r>
    </w:p>
    <w:p w:rsidR="00480866" w:rsidRPr="0093582B" w:rsidRDefault="00480866" w:rsidP="002603C7">
      <w:pPr>
        <w:pStyle w:val="a9"/>
        <w:rPr>
          <w:lang w:val="en-US"/>
        </w:rPr>
      </w:pPr>
      <w:r w:rsidRPr="0093582B">
        <w:rPr>
          <w:lang w:val="en-US"/>
        </w:rPr>
        <w:t>GLUT1 –</w:t>
      </w:r>
      <w:r w:rsidR="00B86A15" w:rsidRPr="0093582B">
        <w:rPr>
          <w:lang w:val="en-US"/>
        </w:rPr>
        <w:t xml:space="preserve"> G</w:t>
      </w:r>
      <w:r w:rsidRPr="0093582B">
        <w:rPr>
          <w:lang w:val="en-US"/>
        </w:rPr>
        <w:t xml:space="preserve">lucose </w:t>
      </w:r>
      <w:r w:rsidR="00B86A15" w:rsidRPr="0093582B">
        <w:rPr>
          <w:lang w:val="en-US"/>
        </w:rPr>
        <w:t>transporter 1</w:t>
      </w:r>
    </w:p>
    <w:p w:rsidR="00480866" w:rsidRPr="0093582B" w:rsidRDefault="00480866" w:rsidP="002603C7">
      <w:pPr>
        <w:pStyle w:val="a9"/>
        <w:rPr>
          <w:lang w:val="en-US"/>
        </w:rPr>
      </w:pPr>
      <w:r w:rsidRPr="0093582B">
        <w:rPr>
          <w:lang w:val="en-US"/>
        </w:rPr>
        <w:t>HADS –</w:t>
      </w:r>
      <w:r w:rsidR="00B86A15" w:rsidRPr="0093582B">
        <w:rPr>
          <w:lang w:val="en-US"/>
        </w:rPr>
        <w:t xml:space="preserve"> Hospital Anxiety and Depression Scale</w:t>
      </w:r>
    </w:p>
    <w:p w:rsidR="00480866" w:rsidRPr="0093582B" w:rsidRDefault="00480866" w:rsidP="002603C7">
      <w:pPr>
        <w:pStyle w:val="a9"/>
        <w:rPr>
          <w:lang w:val="en-US"/>
        </w:rPr>
      </w:pPr>
      <w:r w:rsidRPr="0093582B">
        <w:rPr>
          <w:lang w:val="en-US"/>
        </w:rPr>
        <w:t xml:space="preserve">ILAE </w:t>
      </w:r>
      <w:r w:rsidR="00B86A15" w:rsidRPr="0093582B">
        <w:rPr>
          <w:lang w:val="en-US"/>
        </w:rPr>
        <w:t>–</w:t>
      </w:r>
      <w:r w:rsidRPr="0093582B">
        <w:rPr>
          <w:lang w:val="en-US"/>
        </w:rPr>
        <w:t xml:space="preserve"> </w:t>
      </w:r>
      <w:r w:rsidR="00B86A15" w:rsidRPr="0093582B">
        <w:rPr>
          <w:lang w:val="en-US"/>
        </w:rPr>
        <w:t>I</w:t>
      </w:r>
      <w:r w:rsidRPr="0093582B">
        <w:rPr>
          <w:lang w:val="en-US"/>
        </w:rPr>
        <w:t>nternational</w:t>
      </w:r>
      <w:r w:rsidR="00B86A15" w:rsidRPr="0093582B">
        <w:rPr>
          <w:lang w:val="en-US"/>
        </w:rPr>
        <w:t xml:space="preserve"> League Against Epilepsy</w:t>
      </w:r>
    </w:p>
    <w:p w:rsidR="00480866" w:rsidRPr="0093582B" w:rsidRDefault="0075171F" w:rsidP="002603C7">
      <w:pPr>
        <w:pStyle w:val="a9"/>
        <w:rPr>
          <w:lang w:val="en-US"/>
        </w:rPr>
      </w:pPr>
      <w:r w:rsidRPr="0093582B">
        <w:rPr>
          <w:lang w:val="en-US"/>
        </w:rPr>
        <w:t>MH –</w:t>
      </w:r>
      <w:r w:rsidR="00B86A15" w:rsidRPr="0093582B">
        <w:rPr>
          <w:lang w:val="en-US"/>
        </w:rPr>
        <w:t xml:space="preserve"> M</w:t>
      </w:r>
      <w:r w:rsidRPr="0093582B">
        <w:rPr>
          <w:lang w:val="en-US"/>
        </w:rPr>
        <w:t xml:space="preserve">ental </w:t>
      </w:r>
      <w:r w:rsidR="00B86A15" w:rsidRPr="0093582B">
        <w:rPr>
          <w:lang w:val="en-US"/>
        </w:rPr>
        <w:t>H</w:t>
      </w:r>
      <w:r w:rsidRPr="0093582B">
        <w:rPr>
          <w:lang w:val="en-US"/>
        </w:rPr>
        <w:t>ealth</w:t>
      </w:r>
    </w:p>
    <w:p w:rsidR="00480866" w:rsidRPr="0093582B" w:rsidRDefault="00480866" w:rsidP="002603C7">
      <w:pPr>
        <w:pStyle w:val="a9"/>
        <w:rPr>
          <w:lang w:val="en-US"/>
        </w:rPr>
      </w:pPr>
      <w:r w:rsidRPr="0093582B">
        <w:rPr>
          <w:lang w:val="en-US"/>
        </w:rPr>
        <w:t>MMSE</w:t>
      </w:r>
      <w:r w:rsidR="0075171F" w:rsidRPr="0093582B">
        <w:rPr>
          <w:lang w:val="en-US"/>
        </w:rPr>
        <w:t xml:space="preserve"> – Mini-Mental State Examination</w:t>
      </w:r>
    </w:p>
    <w:p w:rsidR="00480866" w:rsidRPr="0093582B" w:rsidRDefault="00480866" w:rsidP="002603C7">
      <w:pPr>
        <w:pStyle w:val="a9"/>
        <w:rPr>
          <w:lang w:val="en-US"/>
        </w:rPr>
      </w:pPr>
      <w:r w:rsidRPr="0093582B">
        <w:rPr>
          <w:lang w:val="en-US"/>
        </w:rPr>
        <w:lastRenderedPageBreak/>
        <w:t>MoCa</w:t>
      </w:r>
      <w:r w:rsidR="0075171F" w:rsidRPr="0093582B">
        <w:rPr>
          <w:lang w:val="en-US"/>
        </w:rPr>
        <w:t xml:space="preserve"> – Montreal </w:t>
      </w:r>
      <w:r w:rsidR="00B86A15" w:rsidRPr="0093582B">
        <w:rPr>
          <w:lang w:val="en-US"/>
        </w:rPr>
        <w:t>C</w:t>
      </w:r>
      <w:r w:rsidR="0075171F" w:rsidRPr="0093582B">
        <w:rPr>
          <w:lang w:val="en-US"/>
        </w:rPr>
        <w:t>ognitive assessment</w:t>
      </w:r>
    </w:p>
    <w:p w:rsidR="00480866" w:rsidRPr="0093582B" w:rsidRDefault="00480866" w:rsidP="002603C7">
      <w:pPr>
        <w:pStyle w:val="a9"/>
        <w:rPr>
          <w:lang w:val="en-US"/>
        </w:rPr>
      </w:pPr>
      <w:r w:rsidRPr="0093582B">
        <w:rPr>
          <w:lang w:val="en-US"/>
        </w:rPr>
        <w:t>MRgLITT</w:t>
      </w:r>
      <w:r w:rsidR="0075171F" w:rsidRPr="0093582B">
        <w:rPr>
          <w:lang w:val="en-US"/>
        </w:rPr>
        <w:t xml:space="preserve"> – magnetic resonance-guided laser interstitial thermal therapy</w:t>
      </w:r>
    </w:p>
    <w:p w:rsidR="00480866" w:rsidRPr="0093582B" w:rsidRDefault="00480866" w:rsidP="002603C7">
      <w:pPr>
        <w:pStyle w:val="a9"/>
        <w:rPr>
          <w:lang w:val="en-US"/>
        </w:rPr>
      </w:pPr>
      <w:r w:rsidRPr="0093582B">
        <w:rPr>
          <w:lang w:val="en-US"/>
        </w:rPr>
        <w:t>PF</w:t>
      </w:r>
      <w:r w:rsidR="0075171F" w:rsidRPr="0093582B">
        <w:rPr>
          <w:lang w:val="en-US"/>
        </w:rPr>
        <w:t xml:space="preserve"> –</w:t>
      </w:r>
      <w:r w:rsidR="00B86A15" w:rsidRPr="0093582B">
        <w:rPr>
          <w:lang w:val="en-US"/>
        </w:rPr>
        <w:t xml:space="preserve"> P</w:t>
      </w:r>
      <w:r w:rsidR="0075171F" w:rsidRPr="0093582B">
        <w:rPr>
          <w:lang w:val="en-US"/>
        </w:rPr>
        <w:t xml:space="preserve">hysical </w:t>
      </w:r>
      <w:r w:rsidR="00B86A15" w:rsidRPr="0093582B">
        <w:rPr>
          <w:lang w:val="en-US"/>
        </w:rPr>
        <w:t>F</w:t>
      </w:r>
      <w:r w:rsidR="0075171F" w:rsidRPr="0093582B">
        <w:rPr>
          <w:lang w:val="en-US"/>
        </w:rPr>
        <w:t>unctioning</w:t>
      </w:r>
    </w:p>
    <w:p w:rsidR="00480866" w:rsidRPr="0093582B" w:rsidRDefault="00480866" w:rsidP="002603C7">
      <w:pPr>
        <w:pStyle w:val="a9"/>
        <w:rPr>
          <w:lang w:val="en-US"/>
        </w:rPr>
      </w:pPr>
      <w:r w:rsidRPr="0093582B">
        <w:rPr>
          <w:lang w:val="en-US"/>
        </w:rPr>
        <w:t>PH</w:t>
      </w:r>
      <w:r w:rsidR="0075171F" w:rsidRPr="0093582B">
        <w:rPr>
          <w:lang w:val="en-US"/>
        </w:rPr>
        <w:t xml:space="preserve"> –</w:t>
      </w:r>
      <w:r w:rsidR="00B86A15" w:rsidRPr="0093582B">
        <w:rPr>
          <w:lang w:val="en-US"/>
        </w:rPr>
        <w:t xml:space="preserve"> P</w:t>
      </w:r>
      <w:r w:rsidR="0075171F" w:rsidRPr="0093582B">
        <w:rPr>
          <w:lang w:val="en-US"/>
        </w:rPr>
        <w:t xml:space="preserve">hysical </w:t>
      </w:r>
      <w:r w:rsidR="00B86A15" w:rsidRPr="0093582B">
        <w:rPr>
          <w:lang w:val="en-US"/>
        </w:rPr>
        <w:t>H</w:t>
      </w:r>
      <w:r w:rsidR="0075171F" w:rsidRPr="0093582B">
        <w:rPr>
          <w:lang w:val="en-US"/>
        </w:rPr>
        <w:t>ealth</w:t>
      </w:r>
    </w:p>
    <w:p w:rsidR="00480866" w:rsidRPr="0093582B" w:rsidRDefault="00480866" w:rsidP="002603C7">
      <w:pPr>
        <w:pStyle w:val="a9"/>
        <w:rPr>
          <w:lang w:val="en-US"/>
        </w:rPr>
      </w:pPr>
      <w:r w:rsidRPr="0093582B">
        <w:rPr>
          <w:lang w:val="en-US"/>
        </w:rPr>
        <w:t>RE</w:t>
      </w:r>
      <w:r w:rsidR="0075171F" w:rsidRPr="0093582B">
        <w:rPr>
          <w:lang w:val="en-US"/>
        </w:rPr>
        <w:t xml:space="preserve"> –</w:t>
      </w:r>
      <w:r w:rsidR="00B86A15" w:rsidRPr="0093582B">
        <w:rPr>
          <w:lang w:val="en-US"/>
        </w:rPr>
        <w:t xml:space="preserve"> R</w:t>
      </w:r>
      <w:r w:rsidR="0075171F" w:rsidRPr="0093582B">
        <w:rPr>
          <w:lang w:val="en-US"/>
        </w:rPr>
        <w:t>ole-</w:t>
      </w:r>
      <w:r w:rsidR="00B86A15" w:rsidRPr="0093582B">
        <w:rPr>
          <w:lang w:val="en-US"/>
        </w:rPr>
        <w:t>E</w:t>
      </w:r>
      <w:r w:rsidR="0075171F" w:rsidRPr="0093582B">
        <w:rPr>
          <w:lang w:val="en-US"/>
        </w:rPr>
        <w:t>motional</w:t>
      </w:r>
    </w:p>
    <w:p w:rsidR="00480866" w:rsidRPr="0093582B" w:rsidRDefault="00480866" w:rsidP="002603C7">
      <w:pPr>
        <w:pStyle w:val="a9"/>
        <w:rPr>
          <w:lang w:val="en-US"/>
        </w:rPr>
      </w:pPr>
      <w:r w:rsidRPr="0093582B">
        <w:rPr>
          <w:lang w:val="en-US"/>
        </w:rPr>
        <w:t>RP</w:t>
      </w:r>
      <w:r w:rsidR="0075171F" w:rsidRPr="0093582B">
        <w:rPr>
          <w:lang w:val="en-US"/>
        </w:rPr>
        <w:t xml:space="preserve"> –</w:t>
      </w:r>
      <w:r w:rsidR="00B86A15" w:rsidRPr="0093582B">
        <w:rPr>
          <w:lang w:val="en-US"/>
        </w:rPr>
        <w:t xml:space="preserve"> R</w:t>
      </w:r>
      <w:r w:rsidR="0075171F" w:rsidRPr="0093582B">
        <w:rPr>
          <w:lang w:val="en-US"/>
        </w:rPr>
        <w:t>ole-</w:t>
      </w:r>
      <w:r w:rsidR="00B86A15" w:rsidRPr="0093582B">
        <w:rPr>
          <w:lang w:val="en-US"/>
        </w:rPr>
        <w:t>P</w:t>
      </w:r>
      <w:r w:rsidR="0075171F" w:rsidRPr="0093582B">
        <w:rPr>
          <w:lang w:val="en-US"/>
        </w:rPr>
        <w:t>hysical functioning</w:t>
      </w:r>
    </w:p>
    <w:p w:rsidR="00480866" w:rsidRPr="0093582B" w:rsidRDefault="00480866" w:rsidP="002603C7">
      <w:pPr>
        <w:pStyle w:val="a9"/>
        <w:rPr>
          <w:lang w:val="en-US"/>
        </w:rPr>
      </w:pPr>
      <w:r w:rsidRPr="0093582B">
        <w:rPr>
          <w:lang w:val="en-US"/>
        </w:rPr>
        <w:t>SF</w:t>
      </w:r>
      <w:r w:rsidR="0075171F" w:rsidRPr="0093582B">
        <w:rPr>
          <w:lang w:val="en-US"/>
        </w:rPr>
        <w:t xml:space="preserve"> –</w:t>
      </w:r>
      <w:r w:rsidR="00B86A15" w:rsidRPr="0093582B">
        <w:rPr>
          <w:lang w:val="en-US"/>
        </w:rPr>
        <w:t xml:space="preserve"> S</w:t>
      </w:r>
      <w:r w:rsidR="0075171F" w:rsidRPr="0093582B">
        <w:rPr>
          <w:lang w:val="en-US"/>
        </w:rPr>
        <w:t>ocial functioning</w:t>
      </w:r>
    </w:p>
    <w:p w:rsidR="00480866" w:rsidRPr="0093582B" w:rsidRDefault="00480866" w:rsidP="002603C7">
      <w:pPr>
        <w:pStyle w:val="a9"/>
        <w:rPr>
          <w:lang w:val="en-US"/>
        </w:rPr>
      </w:pPr>
      <w:r w:rsidRPr="0093582B">
        <w:rPr>
          <w:lang w:val="en-US"/>
        </w:rPr>
        <w:t>SF-36</w:t>
      </w:r>
      <w:r w:rsidR="0075171F" w:rsidRPr="0093582B">
        <w:rPr>
          <w:lang w:val="en-US"/>
        </w:rPr>
        <w:t xml:space="preserve"> – The Short Form-36</w:t>
      </w:r>
    </w:p>
    <w:p w:rsidR="00480866" w:rsidRPr="0093582B" w:rsidRDefault="00480866" w:rsidP="002603C7">
      <w:pPr>
        <w:pStyle w:val="a9"/>
        <w:rPr>
          <w:lang w:val="en-US"/>
        </w:rPr>
      </w:pPr>
      <w:r w:rsidRPr="0093582B">
        <w:rPr>
          <w:lang w:val="en-US"/>
        </w:rPr>
        <w:t>SUDEP</w:t>
      </w:r>
      <w:r w:rsidR="0075171F" w:rsidRPr="0093582B">
        <w:rPr>
          <w:lang w:val="en-US"/>
        </w:rPr>
        <w:t xml:space="preserve"> –</w:t>
      </w:r>
      <w:r w:rsidR="00B86A15" w:rsidRPr="0093582B">
        <w:rPr>
          <w:lang w:val="en-US"/>
        </w:rPr>
        <w:t xml:space="preserve"> Sudden Unexpected Death in Epilepsy</w:t>
      </w:r>
      <w:r w:rsidR="0075171F" w:rsidRPr="0093582B">
        <w:rPr>
          <w:lang w:val="en-US"/>
        </w:rPr>
        <w:t xml:space="preserve"> </w:t>
      </w:r>
    </w:p>
    <w:p w:rsidR="00480866" w:rsidRPr="0093582B" w:rsidRDefault="00480866" w:rsidP="002603C7">
      <w:pPr>
        <w:pStyle w:val="a9"/>
        <w:rPr>
          <w:rFonts w:asciiTheme="majorHAnsi" w:eastAsiaTheme="majorEastAsia" w:hAnsiTheme="majorHAnsi" w:cstheme="majorBidi"/>
          <w:b/>
          <w:szCs w:val="32"/>
        </w:rPr>
      </w:pPr>
      <w:r w:rsidRPr="0093582B">
        <w:rPr>
          <w:lang w:val="en-US"/>
        </w:rPr>
        <w:t>VT</w:t>
      </w:r>
      <w:r w:rsidR="0075171F" w:rsidRPr="0093582B">
        <w:t xml:space="preserve"> –</w:t>
      </w:r>
      <w:r w:rsidR="00B86A15" w:rsidRPr="0093582B">
        <w:t xml:space="preserve"> </w:t>
      </w:r>
      <w:r w:rsidR="00B86A15" w:rsidRPr="0093582B">
        <w:rPr>
          <w:lang w:val="en-US"/>
        </w:rPr>
        <w:t>V</w:t>
      </w:r>
      <w:r w:rsidR="0075171F" w:rsidRPr="0093582B">
        <w:rPr>
          <w:lang w:val="en-US"/>
        </w:rPr>
        <w:t>itality</w:t>
      </w:r>
      <w:r w:rsidRPr="0093582B">
        <w:br w:type="page"/>
      </w:r>
    </w:p>
    <w:p w:rsidR="004F42F2" w:rsidRPr="0093582B" w:rsidRDefault="004F42F2" w:rsidP="00B73A7A">
      <w:pPr>
        <w:pStyle w:val="1"/>
      </w:pPr>
      <w:bookmarkStart w:id="1" w:name="_Toc104427521"/>
      <w:r w:rsidRPr="0093582B">
        <w:lastRenderedPageBreak/>
        <w:t>Введение</w:t>
      </w:r>
      <w:bookmarkEnd w:id="1"/>
    </w:p>
    <w:p w:rsidR="00A4662B" w:rsidRPr="0093582B" w:rsidRDefault="00A4662B" w:rsidP="0076572E">
      <w:pPr>
        <w:pStyle w:val="a9"/>
      </w:pPr>
      <w:r w:rsidRPr="0093582B">
        <w:t>Эпилепсия</w:t>
      </w:r>
      <w:r w:rsidR="00F82C61" w:rsidRPr="0093582B">
        <w:t xml:space="preserve"> – хроническое заболевание, характеризующееся повторяющимися эпилептическими приступами</w:t>
      </w:r>
      <w:r w:rsidR="00A00F43" w:rsidRPr="0093582B">
        <w:t>, с нарушением сознания различной степени. Данная патология я</w:t>
      </w:r>
      <w:r w:rsidRPr="0093582B">
        <w:t>вляется одним из наиболее распространенных неврологических заболеваний, по данным ВОЗ</w:t>
      </w:r>
      <w:r w:rsidR="00F82C61" w:rsidRPr="0093582B">
        <w:t xml:space="preserve"> </w:t>
      </w:r>
      <w:r w:rsidR="00A00F43" w:rsidRPr="0093582B">
        <w:t xml:space="preserve">эпилепсией </w:t>
      </w:r>
      <w:r w:rsidR="00F82C61" w:rsidRPr="0093582B">
        <w:t>страдают около 50 млн человек в мире</w:t>
      </w:r>
      <w:r w:rsidR="00145D01" w:rsidRPr="0093582B">
        <w:t xml:space="preserve"> </w:t>
      </w:r>
      <w:r w:rsidR="00145D01" w:rsidRPr="0093582B">
        <w:fldChar w:fldCharType="begin" w:fldLock="1"/>
      </w:r>
      <w:r w:rsidR="00145D01" w:rsidRPr="0093582B">
        <w:instrText>ADDIN CSL_CITATION {"citationItems":[{"id":"ITEM-1","itemData":{"abstract":"pilepsy is one of the most common neurological diseases worldwide, affecting around 50 million people of all ages around the world. The risk of premature death in people with epilepsy is up to three times that of the general population. The lives of people with epilepsy are often impacted by stigma, discrimination and human rights violations. We know that while 80% of people with epilepsy live in low- and middle-income countries, most of them do not have access to treatment. This is despite the availability of effective antiseizure medicines, which can cost as little as US$ 5 per year. A lack of action to address the epilepsy treatment gap has dire consequences for people’s lives and well-being, and impacts social and economic development. This report presents encouraging evidence that almost a quarter of epilepsy cases are preventable and 70% of people with epilepsy can live seizure free with low-cost and effective medicines. As evidence from multiple countries shows, it is feasible to integrate epilepsy into primary health care and thereby ensure that all people with epilepsy have access to quality and affordable treatment and services. If we are to achieve the health-related Sustainable Development Goals (SDGs), it is imperative that we substantially scale up global efforts to address epilepsy. The SDGs include the targets of reducing premature deaths from noncommunicable diseases and promoting mental health and well-being; as well as achieving universal health coverage with access to quality services and effective, affordable essential medicines. The importance of addressing epilepsy was also underlined in a World Health Assembly (WHA) resolution on the global burden of epilepsy in 2015. The resolution requests that WHO provide technical support to countries for epilepsy management, especially those with the lowest access to services and resources, where the burden of epilepsy is greatest. This is the first global report on epilepsy produced by WHO and key partners. It highlights the available evidence on the burden of epilepsy and the public health response required at global, regional and national levels. The report is also an important milestone in re-energizing and translating the WHA resolution into action as it provides guidance to governments, policy-makers and stakeholders as they seek to reduce the disease burden as part of the universal health coverage agenda. I encourage all WHO Member States and partners to build on the findings and reco…","author":[{"dropping-particle":"","family":"World Health Organization","given":"","non-dropping-particle":"","parse-names":false,"suffix":""}],"container-title":"Who","id":"ITEM-1","issued":{"date-parts":[["2019"]]},"title":"WHO | Epilepsy: a public health imperative","type":"book"},"uris":["http://www.mendeley.com/documents/?uuid=4af5e788-9bc1-363d-8f32-31ef2f9e0bce"]}],"mendeley":{"formattedCitation":"[1]","plainTextFormattedCitation":"[1]","previouslyFormattedCitation":"[1]"},"properties":{"noteIndex":0},"schema":"https://github.com/citation-style-language/schema/raw/master/csl-citation.json"}</w:instrText>
      </w:r>
      <w:r w:rsidR="00145D01" w:rsidRPr="0093582B">
        <w:fldChar w:fldCharType="separate"/>
      </w:r>
      <w:r w:rsidR="00145D01" w:rsidRPr="0093582B">
        <w:rPr>
          <w:noProof/>
        </w:rPr>
        <w:t>[1]</w:t>
      </w:r>
      <w:r w:rsidR="00145D01" w:rsidRPr="0093582B">
        <w:fldChar w:fldCharType="end"/>
      </w:r>
      <w:r w:rsidR="00F82C61" w:rsidRPr="0093582B">
        <w:t xml:space="preserve">. </w:t>
      </w:r>
    </w:p>
    <w:p w:rsidR="00145D01" w:rsidRPr="0093582B" w:rsidRDefault="00043059" w:rsidP="0076572E">
      <w:pPr>
        <w:pStyle w:val="a9"/>
      </w:pPr>
      <w:r w:rsidRPr="0093582B">
        <w:t xml:space="preserve">В современной классификации эпилепсии </w:t>
      </w:r>
      <w:r w:rsidRPr="0093582B">
        <w:rPr>
          <w:lang w:val="en-US"/>
        </w:rPr>
        <w:t>ILAE</w:t>
      </w:r>
      <w:r w:rsidRPr="0093582B">
        <w:t xml:space="preserve"> по этиологии выделяется структурная эпилепсия, для которой характерно наличие органического поражения структур головного мозга с формированием эпилептогенного очага</w:t>
      </w:r>
      <w:r w:rsidR="00145D01" w:rsidRPr="0093582B">
        <w:t xml:space="preserve"> </w:t>
      </w:r>
      <w:r w:rsidR="00145D01" w:rsidRPr="0093582B">
        <w:fldChar w:fldCharType="begin" w:fldLock="1"/>
      </w:r>
      <w:r w:rsidR="001D36A0" w:rsidRPr="0093582B">
        <w:instrText>ADDIN CSL_CITATION {"citationItems":[{"id":"ITEM-1","itemData":{"DOI":"10.1111/epi.13709","ISSN":"15281167","abstract":"The International League Against Epilepsy (ILAE) Classification of the Epilepsies has been updated to reflect our gain in understanding of the epilepsies and their underlying mechanisms following the major scientific advances that have taken place since the last ratified classification in 1989. As a critical tool for the practicing clinician, epilepsy classification must be relevant and dynamic to changes in thinking, yet robust and translatable to all areas of the globe. Its primary purpose is for diagnosis of patients, but it is also critical for epilepsy research, development of antiepileptic therapies, and communication around the world. The new classification originates from a draft document submitted for public comments in 2013, which was revised to incorporate extensive feedback from the international epilepsy community over several rounds of consultation. It presents three levels, starting with seizure type, where it assumes that the patient is having epileptic seizures as defined by the new 2017 ILAE Seizure Classification. After diagnosis of the seizure type, the next step is diagnosis of epilepsy type, including focal epilepsy, generalized epilepsy, combined generalized, and focal epilepsy, and also an unknown epilepsy group. The third level is that of epilepsy syndrome, where a specific syndromic diagnosis can be made. The new classification incorporates etiology along each stage, emphasizing the need to consider etiology at each step of diagnosis, as it often carries significant treatment implications. Etiology is broken into six subgroups, selected because of their potential therapeutic consequences. New terminology is introduced such as developmental and epileptic encephalopathy. The term benign is replaced by the terms self-limited and pharmacoresponsive, to be used where appropriate. It is hoped that this new framework will assist in improving epilepsy care and research in the 21st century.","author":[{"dropping-particle":"","family":"Scheffer","given":"Ingrid E.","non-dropping-particle":"","parse-names":false,"suffix":""},{"dropping-particle":"","family":"Berkovic","given":"Samuel","non-dropping-particle":"","parse-names":false,"suffix":""},{"dropping-particle":"","family":"Capovilla","given":"Giuseppe","non-dropping-particle":"","parse-names":false,"suffix":""},{"dropping-particle":"","family":"Connolly","given":"Mary B.","non-dropping-particle":"","parse-names":false,"suffix":""},{"dropping-particle":"","family":"French","given":"Jacqueline","non-dropping-particle":"","parse-names":false,"suffix":""},{"dropping-particle":"","family":"Guilhoto","given":"Laura","non-dropping-particle":"","parse-names":false,"suffix":""},{"dropping-particle":"","family":"Hirsch","given":"Edouard","non-dropping-particle":"","parse-names":false,"suffix":""},{"dropping-particle":"","family":"Jain","given":"Satish","non-dropping-particle":"","parse-names":false,"suffix":""},{"dropping-particle":"","family":"Mathern","given":"Gary W.","non-dropping-particle":"","parse-names":false,"suffix":""},{"dropping-particle":"","family":"Moshé","given":"Solomon L.","non-dropping-particle":"","parse-names":false,"suffix":""},{"dropping-particle":"","family":"Nordli","given":"Douglas R.","non-dropping-particle":"","parse-names":false,"suffix":""},{"dropping-particle":"","family":"Perucca","given":"Emilio","non-dropping-particle":"","parse-names":false,"suffix":""},{"dropping-particle":"","family":"Tomson","given":"Torbjörn","non-dropping-particle":"","parse-names":false,"suffix":""},{"dropping-particle":"","family":"Wiebe","given":"Samuel","non-dropping-particle":"","parse-names":false,"suffix":""},{"dropping-particle":"","family":"Zhang","given":"Yue Hua","non-dropping-particle":"","parse-names":false,"suffix":""},{"dropping-particle":"","family":"Zuberi","given":"Sameer M.","non-dropping-particle":"","parse-names":false,"suffix":""}],"container-title":"Epilepsia","id":"ITEM-1","issue":"4","issued":{"date-parts":[["2017"]]},"title":"ILAE classification of the epilepsies: Position paper of the ILAE Commission for Classification and Terminology","type":"article-journal","volume":"58"},"uris":["http://www.mendeley.com/documents/?uuid=174e3988-faae-30f0-be22-0e251075a6da"]}],"mendeley":{"formattedCitation":"[2]","plainTextFormattedCitation":"[2]","previouslyFormattedCitation":"[2]"},"properties":{"noteIndex":0},"schema":"https://github.com/citation-style-language/schema/raw/master/csl-citation.json"}</w:instrText>
      </w:r>
      <w:r w:rsidR="00145D01" w:rsidRPr="0093582B">
        <w:fldChar w:fldCharType="separate"/>
      </w:r>
      <w:r w:rsidR="00145D01" w:rsidRPr="0093582B">
        <w:rPr>
          <w:noProof/>
        </w:rPr>
        <w:t>[2]</w:t>
      </w:r>
      <w:r w:rsidR="00145D01" w:rsidRPr="0093582B">
        <w:fldChar w:fldCharType="end"/>
      </w:r>
      <w:r w:rsidRPr="0093582B">
        <w:t>. На долю структурной эпилепсии</w:t>
      </w:r>
      <w:r w:rsidR="00BA7C3E" w:rsidRPr="0093582B">
        <w:t xml:space="preserve"> приходится от 13 до 20% всех форм эпилепсии, кроме того морфологический очаг является значимым фактором риска развития фармакорезистентно</w:t>
      </w:r>
      <w:r w:rsidR="00E94AD0" w:rsidRPr="0093582B">
        <w:t>й эпилепсии (ФРЭ)</w:t>
      </w:r>
      <w:r w:rsidR="00BA7C3E" w:rsidRPr="0093582B">
        <w:t xml:space="preserve">. </w:t>
      </w:r>
    </w:p>
    <w:p w:rsidR="00043059" w:rsidRPr="0093582B" w:rsidRDefault="00BA7C3E" w:rsidP="0076572E">
      <w:pPr>
        <w:pStyle w:val="a9"/>
      </w:pPr>
      <w:r w:rsidRPr="0093582B">
        <w:t>Факмакорезистентность представляет из себя устойчивость к терапии ПЭП в адекватных дозах и комбинациях, в настоящий момент по данным различных исследований её распространенность в структуре эпилепсии занимает 20-30%.</w:t>
      </w:r>
      <w:r w:rsidR="00043059" w:rsidRPr="0093582B">
        <w:t xml:space="preserve"> </w:t>
      </w:r>
      <w:r w:rsidR="00E94AD0" w:rsidRPr="0093582B">
        <w:t>Одним из наиболее эффективных методов лечения ФРЭ</w:t>
      </w:r>
      <w:r w:rsidR="00043059" w:rsidRPr="0093582B">
        <w:t xml:space="preserve"> </w:t>
      </w:r>
      <w:r w:rsidR="00E94AD0" w:rsidRPr="0093582B">
        <w:t>является нейрохирургическое вмешательство, в первую очередь удаление структурного очага.</w:t>
      </w:r>
    </w:p>
    <w:p w:rsidR="00E94AD0" w:rsidRPr="0093582B" w:rsidRDefault="00E94AD0" w:rsidP="0076572E">
      <w:pPr>
        <w:pStyle w:val="a9"/>
      </w:pPr>
      <w:r w:rsidRPr="0093582B">
        <w:t xml:space="preserve">Нерациональные комбинации ПЭП, длительный стаж заболевания, отсутствие качественной и своевременной диагностики структурной патологии головного мозга приводят к формированию факмакорезистентности и контрлатеральной эпилептической активности, что также негативно влияет на общий прогноз заболевания и исход хирургического лечения. </w:t>
      </w:r>
    </w:p>
    <w:p w:rsidR="00E94AD0" w:rsidRPr="0093582B" w:rsidRDefault="00E94AD0" w:rsidP="006A2E5A">
      <w:pPr>
        <w:pStyle w:val="a9"/>
      </w:pPr>
      <w:r w:rsidRPr="0093582B">
        <w:t xml:space="preserve">В метаанализе </w:t>
      </w:r>
      <w:r w:rsidR="004D2FE9" w:rsidRPr="0093582B">
        <w:t xml:space="preserve">Johan Bjellvi </w:t>
      </w:r>
      <w:r w:rsidR="004D2FE9" w:rsidRPr="0093582B">
        <w:rPr>
          <w:lang w:val="en-US"/>
        </w:rPr>
        <w:t>et</w:t>
      </w:r>
      <w:r w:rsidR="004D2FE9" w:rsidRPr="0093582B">
        <w:t xml:space="preserve"> </w:t>
      </w:r>
      <w:r w:rsidR="004D2FE9" w:rsidRPr="0093582B">
        <w:rPr>
          <w:lang w:val="en-US"/>
        </w:rPr>
        <w:t>al</w:t>
      </w:r>
      <w:r w:rsidR="004D2FE9" w:rsidRPr="0093582B">
        <w:t>. была обнаружена зависимость исходов хирургического лечения от стажа заболевания.</w:t>
      </w:r>
      <w:r w:rsidR="000322A3" w:rsidRPr="0093582B">
        <w:t xml:space="preserve"> Были проанализированы 25 исследований, включающих 3736 прооперированных пациентов с фармакорезистентными формами эпилепсии. </w:t>
      </w:r>
      <w:r w:rsidR="006A2E5A" w:rsidRPr="0093582B">
        <w:t xml:space="preserve">Был выявлен повышенный риск </w:t>
      </w:r>
      <w:r w:rsidR="006A2E5A" w:rsidRPr="0093582B">
        <w:lastRenderedPageBreak/>
        <w:t xml:space="preserve">неблагоприятных исходов операции при длительности заболевания более 10-20 лет по сравнению с пациентами со стажем менее 2-10 лет </w:t>
      </w:r>
      <w:r w:rsidR="000322A3" w:rsidRPr="0093582B">
        <w:fldChar w:fldCharType="begin" w:fldLock="1"/>
      </w:r>
      <w:r w:rsidR="001D36A0" w:rsidRPr="0093582B">
        <w:instrText>ADDIN CSL_CITATION {"citationItems":[{"id":"ITEM-1","itemData":{"DOI":"10.1212/WNL.0000000000007753","ISSN":"1526632X","abstract":"ObjectiveTo conduct a systematic review and meta-Analysis on the effect of earlier or later resective epilepsy surgery on seizure outcome.MethodsWe searched the electronic databases PubMed, EMBASE, and Cochrane Library for studies investigating the association of epilepsy duration and seizure freedom after resective surgery. Two reviewers independently screened citations for eligibility and assessed relevant studies for risk of bias. We combined data in meta-Analyses using a random effects model. We assessed the certainty of evidence according to Grading of Recommendations Assessment, Development and Evaluation (GRADE).ResultsTwenty-five studies were included, 12 of which had data suitable for meta-Analyses. Comparing seizure outcome if epilepsy surgery was performed before vs after 2, 5, 10, and 20 years of epilepsy duration, and comparing epilepsy duration &lt;5 years to &gt;10 years, we found significant effects favoring shorter duration with risk differences ranging from 0.15 to 0.21 and risk ratios ranging from 1.20 to 1.33 (p &lt; 0.01 for all comparisons). According to GRADE, we found low certainty of evidence favoring shorter epilepsy duration before surgery.ConclusionPeople with shorter epilepsy duration are more likely to be seizure-free at follow-up. Furthermore, there is a positive association between shorter duration and seizure freedom also for very long epilepsy durations. Patients who might benefit from epilepsy surgery should therefore be referred for presurgical assessments without further delay, regardless of epilepsy duration. The low certainty of evidence acknowledges concerns regarding study heterogeneity and possible residual confounding.","author":[{"dropping-particle":"","family":"Bjellvi","given":"Johan","non-dropping-particle":"","parse-names":false,"suffix":""},{"dropping-particle":"","family":"Olsson","given":"Ingrid","non-dropping-particle":"","parse-names":false,"suffix":""},{"dropping-particle":"","family":"Malmgren","given":"Kristina","non-dropping-particle":"","parse-names":false,"suffix":""},{"dropping-particle":"","family":"Wilbe Ramsay","given":"Karin","non-dropping-particle":"","parse-names":false,"suffix":""}],"container-title":"Neurology","id":"ITEM-1","issue":"2","issued":{"date-parts":[["2019"]]},"title":"Epilepsy duration and seizure outcome in epilepsy surgery: A systematic review and meta-Analysis","type":"article-journal","volume":"93"},"uris":["http://www.mendeley.com/documents/?uuid=b7e7de2e-bb98-32c3-a3e9-1dade282c2fc"]}],"mendeley":{"formattedCitation":"[3]","plainTextFormattedCitation":"[3]","previouslyFormattedCitation":"[3]"},"properties":{"noteIndex":0},"schema":"https://github.com/citation-style-language/schema/raw/master/csl-citation.json"}</w:instrText>
      </w:r>
      <w:r w:rsidR="000322A3" w:rsidRPr="0093582B">
        <w:fldChar w:fldCharType="separate"/>
      </w:r>
      <w:r w:rsidR="00145D01" w:rsidRPr="0093582B">
        <w:rPr>
          <w:noProof/>
        </w:rPr>
        <w:t>[3]</w:t>
      </w:r>
      <w:r w:rsidR="000322A3" w:rsidRPr="0093582B">
        <w:fldChar w:fldCharType="end"/>
      </w:r>
      <w:r w:rsidR="006A2E5A" w:rsidRPr="0093582B">
        <w:t>.</w:t>
      </w:r>
    </w:p>
    <w:p w:rsidR="000322A3" w:rsidRPr="0093582B" w:rsidRDefault="006A2E5A" w:rsidP="0076572E">
      <w:pPr>
        <w:pStyle w:val="a9"/>
      </w:pPr>
      <w:r w:rsidRPr="0093582B">
        <w:t xml:space="preserve">Стаж заболевания </w:t>
      </w:r>
      <w:r w:rsidR="000322A3" w:rsidRPr="0093582B">
        <w:t xml:space="preserve">является единственным </w:t>
      </w:r>
      <w:r w:rsidRPr="0093582B">
        <w:t>одним из немногих модифицируемых факторов риска, связанных</w:t>
      </w:r>
      <w:r w:rsidR="000322A3" w:rsidRPr="0093582B">
        <w:t xml:space="preserve"> с</w:t>
      </w:r>
      <w:r w:rsidRPr="0093582B">
        <w:t xml:space="preserve"> благоприятным исходом хирургического лечения</w:t>
      </w:r>
      <w:r w:rsidR="000322A3" w:rsidRPr="0093582B">
        <w:t xml:space="preserve">. Это подчеркивает важность раннего </w:t>
      </w:r>
      <w:r w:rsidRPr="0093582B">
        <w:t xml:space="preserve">выявления и рационального выбора лечебной тактики для </w:t>
      </w:r>
      <w:r w:rsidR="000322A3" w:rsidRPr="0093582B">
        <w:t xml:space="preserve">пациентов с </w:t>
      </w:r>
      <w:r w:rsidRPr="0093582B">
        <w:t>фармакорезистентной</w:t>
      </w:r>
      <w:r w:rsidR="000322A3" w:rsidRPr="0093582B">
        <w:t xml:space="preserve"> эпилепсие</w:t>
      </w:r>
      <w:r w:rsidRPr="0093582B">
        <w:t>й, которым может быть проведена хирургическая резекция структурного очага или малоинвазивные операции на головном мозге</w:t>
      </w:r>
      <w:r w:rsidR="000322A3" w:rsidRPr="0093582B">
        <w:t>.</w:t>
      </w:r>
    </w:p>
    <w:p w:rsidR="003819FA" w:rsidRPr="0093582B" w:rsidRDefault="006A2E5A" w:rsidP="003819FA">
      <w:pPr>
        <w:pStyle w:val="a9"/>
      </w:pPr>
      <w:r w:rsidRPr="0093582B">
        <w:t>Наиболее частая локализация среди всех структурных эпилепсий</w:t>
      </w:r>
      <w:r w:rsidR="003819FA" w:rsidRPr="0093582B">
        <w:t xml:space="preserve"> – височная, по большей части представленная мезиальными отделами височной доли с вовлечением гиппокампа и миндалевидного тела. Структурные изменения в данной области формируют у пациентов характерный симптомокомплекс, включающий расстройства когнитивной и эмоциональной сферы.</w:t>
      </w:r>
    </w:p>
    <w:p w:rsidR="006A2E5A" w:rsidRPr="0093582B" w:rsidRDefault="008F003C" w:rsidP="003819FA">
      <w:pPr>
        <w:pStyle w:val="a9"/>
      </w:pPr>
      <w:r w:rsidRPr="0093582B">
        <w:t xml:space="preserve">В систематическом обзоре Victoria Ives-Deliperi </w:t>
      </w:r>
      <w:r w:rsidRPr="0093582B">
        <w:rPr>
          <w:lang w:val="en-US"/>
        </w:rPr>
        <w:t>et</w:t>
      </w:r>
      <w:r w:rsidRPr="0093582B">
        <w:t xml:space="preserve"> </w:t>
      </w:r>
      <w:r w:rsidRPr="0093582B">
        <w:rPr>
          <w:lang w:val="en-US"/>
        </w:rPr>
        <w:t>al</w:t>
      </w:r>
      <w:r w:rsidRPr="0093582B">
        <w:t>. были описаны основные когнитивные нарушения, а также предложены модели их формирования у пациентов с мезиальной височной эпилепсией</w:t>
      </w:r>
      <w:r w:rsidR="00D80E51" w:rsidRPr="0093582B">
        <w:t>. Когнитивные расстройства</w:t>
      </w:r>
      <w:r w:rsidR="001D36A0" w:rsidRPr="0093582B">
        <w:t xml:space="preserve"> встречаются в 44-95% случаев, </w:t>
      </w:r>
      <w:r w:rsidR="00D80E51" w:rsidRPr="0093582B">
        <w:t>чаще всего</w:t>
      </w:r>
      <w:r w:rsidR="001D36A0" w:rsidRPr="0093582B">
        <w:t xml:space="preserve"> это</w:t>
      </w:r>
      <w:r w:rsidR="00D80E51" w:rsidRPr="0093582B">
        <w:t xml:space="preserve">: снижение памяти, внимания, нарушения речи, а также социальной и психологической адаптации </w:t>
      </w:r>
      <w:r w:rsidRPr="0093582B">
        <w:fldChar w:fldCharType="begin" w:fldLock="1"/>
      </w:r>
      <w:r w:rsidR="001D36A0" w:rsidRPr="0093582B">
        <w:instrText>ADDIN CSL_CITATION {"citationItems":[{"id":"ITEM-1","itemData":{"DOI":"10.1016/j.yebeh.2020.107686","ISSN":"15255069","abstract":"Temporal lobe epilepsy is the most common form of focal epilepsy and related cognitive dysfunction impacts significantly on quality of life in patients. Identifying the mechanisms of such impairment would assist in the management and treatment of patients. The study of perturbations in resting-state networks could shed light on this subject. The aim of this systematic review was to synthesize findings on the relationship between aberrant resting-state functional connectivity and cognitive performance in patients with TLE. Literature searches were conducted on Scopus and PubMed electronic databases and 17 relevant articles were extracted, all of which studied the association between resting-state functional connectivity (RSFC) and cognition in adults with TLE. Study findings were synthesized according to methods used to analyze resting-state data, cognitive domains tested, and neuropsychology tasks administered. Results show that increased RSFC in the primary epileptogenic hippocampus, and reduced intra-hemispheric RSFC, are associated with weaker memory performance. In left TLE, memory impairment may be compensated for by bilateral hippocampal connectivity, which is also predictive of better postoperative memory outcomes. In right TLE, memory loss may be compensated for by increased connectivity between the contralateral hippocampus and inferior frontal gyrus. There is also tentative evidence that working memory dysfunction is related to reduced RSFC between the medial frontal-insular parietal network and the medial temporal network, executive dysfunction is related to reduced RSFC between frontal and parietal lobes, and between the frontal lobe and subcortical regions and that language dysfunction is related to reduced RSFC within the left fronto-temporal language network. Multicenter studies could refute or support these findings by enrolling large samples of patients and employing multivariate regression analysis to control for the effects of anatomical disruption, interictal discharges, seizure frequency, medication, and mood. Systematic review registration: PROSPERO: 191323.","author":[{"dropping-particle":"","family":"Ives-Deliperi","given":"Victoria","non-dropping-particle":"","parse-names":false,"suffix":""},{"dropping-particle":"","family":"Butler","given":"James T.","non-dropping-particle":"","parse-names":false,"suffix":""}],"container-title":"Epilepsy and Behavior","id":"ITEM-1","issued":{"date-parts":[["2021"]]},"title":"Mechanisms of cognitive impairment in temporal lobe epilepsy: A systematic review of resting-state functional connectivity studies","type":"article","volume":"115"},"uris":["http://www.mendeley.com/documents/?uuid=dc2b7b77-2adb-3015-b7f4-9e890a86a999"]}],"mendeley":{"formattedCitation":"[4]","plainTextFormattedCitation":"[4]","previouslyFormattedCitation":"[4]"},"properties":{"noteIndex":0},"schema":"https://github.com/citation-style-language/schema/raw/master/csl-citation.json"}</w:instrText>
      </w:r>
      <w:r w:rsidRPr="0093582B">
        <w:fldChar w:fldCharType="separate"/>
      </w:r>
      <w:r w:rsidR="00145D01" w:rsidRPr="0093582B">
        <w:rPr>
          <w:noProof/>
        </w:rPr>
        <w:t>[4]</w:t>
      </w:r>
      <w:r w:rsidRPr="0093582B">
        <w:fldChar w:fldCharType="end"/>
      </w:r>
      <w:r w:rsidRPr="0093582B">
        <w:t xml:space="preserve">. </w:t>
      </w:r>
    </w:p>
    <w:p w:rsidR="008F003C" w:rsidRPr="0093582B" w:rsidRDefault="008F003C" w:rsidP="003819FA">
      <w:pPr>
        <w:pStyle w:val="a9"/>
      </w:pPr>
      <w:r w:rsidRPr="0093582B">
        <w:t xml:space="preserve">Elaine Lu </w:t>
      </w:r>
      <w:r w:rsidRPr="0093582B">
        <w:rPr>
          <w:lang w:val="en-US"/>
        </w:rPr>
        <w:t>et</w:t>
      </w:r>
      <w:r w:rsidRPr="0093582B">
        <w:t xml:space="preserve"> </w:t>
      </w:r>
      <w:r w:rsidRPr="0093582B">
        <w:rPr>
          <w:lang w:val="en-US"/>
        </w:rPr>
        <w:t>al</w:t>
      </w:r>
      <w:r w:rsidRPr="0093582B">
        <w:t>. в с</w:t>
      </w:r>
      <w:r w:rsidR="00D80E51" w:rsidRPr="0093582B">
        <w:t>истематическом обзоре, включающим анализ 23 статей, описали значительную коморбидность расстройств психики с мезиальной височной эпилепсией. Наиболее часто встречаются депрессивные расстройства (24,2%)</w:t>
      </w:r>
      <w:r w:rsidR="00104A30" w:rsidRPr="0093582B">
        <w:t xml:space="preserve"> и</w:t>
      </w:r>
      <w:r w:rsidR="00D80E51" w:rsidRPr="0093582B">
        <w:t xml:space="preserve"> тревожные расстройства (11,1-14,2%)</w:t>
      </w:r>
      <w:r w:rsidR="00104A30" w:rsidRPr="0093582B">
        <w:t>, реже биполярное расстройство</w:t>
      </w:r>
      <w:r w:rsidR="00104A30" w:rsidRPr="0093582B">
        <w:rPr>
          <w:rFonts w:ascii="Cambria" w:hAnsi="Cambria"/>
          <w:sz w:val="30"/>
          <w:szCs w:val="30"/>
          <w:shd w:val="clear" w:color="auto" w:fill="FFFFFF"/>
        </w:rPr>
        <w:t xml:space="preserve"> </w:t>
      </w:r>
      <w:r w:rsidR="00104A30" w:rsidRPr="0093582B">
        <w:t>(6,2%) и злоупотребление психоактивными веществами (7,9%)</w:t>
      </w:r>
      <w:r w:rsidR="000D02B4" w:rsidRPr="0093582B">
        <w:t xml:space="preserve"> </w:t>
      </w:r>
      <w:r w:rsidR="003A1608" w:rsidRPr="0093582B">
        <w:fldChar w:fldCharType="begin" w:fldLock="1"/>
      </w:r>
      <w:r w:rsidR="003A1608" w:rsidRPr="0093582B">
        <w:instrText>ADDIN CSL_CITATION {"citationItems":[{"id":"ITEM-1","itemData":{"DOI":"10.3988/jcn.2021.17.2.176","ISSN":"20055013","abstract":"Background and Purpose Mental illness is disproportionately common in people with epilepsy (PWE). This systematic literature review identified original research articles that reported the prevalence of psychiatric comorbidities based upon clinical assessments in a sample of PWE and assessed the clinical features of the populations found in studies included in our review of mental health comorbidity. Methods The included articles were written in English and published from 2008 to 2018, and focused on adults aged ≥18 years who had psychiatric diagnoses determined in clinical assessments, such as those found in medical records, clinician psychiatric evaluations, struc-tured diagnostic interviews, and mental health screening questionnaires specific for a psychiatric disorder. The primary outcome was the prevalence of psychiatric comorbidities as a per-centage of the total sample of PWE. Additional data included the overall sample size, mean age, epilepsy type, study design, and method of diagnosis. A modified Newcastle Ottawa Scale was used to assess the quality of the studies. All 23 articles that were consistent with the in-clusion criteria were related to observational studies. Results Mood disorders and anxiety disorders were the most common psychiatric comor-bidities, with prevalence rates of 35.0% and 25.6%, respectively. Major depressive disorder was the most common mood disorder, with a prevalence of 24.2%. Post-traumatic stress disorder (PTSD) had the highest reported prevalence among anxiety disorders, at 14.2%, followed by general anxiety disorder at 11.1%. Other comorbidities included psychosis (5.7%), obsessive-compulsive disorder (3.8%), schizophrenia (1.7%), bipolar disorder (6.2%), and substance abuse (7.9%). The pooled prevalence of suicidality, as reported for two studies, was 9.3%. Temporal lobe epilepsy (TLE) was associated with higher levels of psychiatric comorbidity. Two (8.7%) of the 23 studies compared psychiatric comorbidities in TLE with that of extratempo-ral lobe epilepsy (ETLE), and one of these two studies found that depression was more common in TLE (53.8%) than in ETLE (25%). Regarding seizure types, partial seizures were associated with a higher prevalence of depression vs generalized seizures. Conclusions This systematic literature review of recent original research found a relatively high prevalence of mental health comorbidities in PWE. Mood and anxiety disorders are the most common comorbidities, while psychotic spectru…","author":[{"dropping-particle":"","family":"Lu","given":"Elaine","non-dropping-particle":"","parse-names":false,"suffix":""},{"dropping-particle":"","family":"Pyatka","given":"Nataliya","non-dropping-particle":"","parse-names":false,"suffix":""},{"dropping-particle":"","family":"Burant","given":"Christopher J.","non-dropping-particle":"","parse-names":false,"suffix":""},{"dropping-particle":"","family":"Sajatovic","given":"Martha","non-dropping-particle":"","parse-names":false,"suffix":""}],"container-title":"Journal of Clinical Neurology (Korea)","id":"ITEM-1","issue":"2","issued":{"date-parts":[["2021"]]},"title":"Systematic literature review of psychiatric comorbidities in adults with epilepsy","type":"article","volume":"17"},"uris":["http://www.mendeley.com/documents/?uuid=3c3069fb-2a60-3ba7-bf47-662d46d970d2"]}],"mendeley":{"formattedCitation":"[5]","plainTextFormattedCitation":"[5]","previouslyFormattedCitation":"[5]"},"properties":{"noteIndex":0},"schema":"https://github.com/citation-style-language/schema/raw/master/csl-citation.json"}</w:instrText>
      </w:r>
      <w:r w:rsidR="003A1608" w:rsidRPr="0093582B">
        <w:fldChar w:fldCharType="separate"/>
      </w:r>
      <w:r w:rsidR="003A1608" w:rsidRPr="0093582B">
        <w:rPr>
          <w:noProof/>
        </w:rPr>
        <w:t>[5]</w:t>
      </w:r>
      <w:r w:rsidR="003A1608" w:rsidRPr="0093582B">
        <w:fldChar w:fldCharType="end"/>
      </w:r>
      <w:r w:rsidR="00104A30" w:rsidRPr="0093582B">
        <w:t>.</w:t>
      </w:r>
    </w:p>
    <w:p w:rsidR="00104A30" w:rsidRPr="0093582B" w:rsidRDefault="00104A30" w:rsidP="003819FA">
      <w:pPr>
        <w:pStyle w:val="a9"/>
      </w:pPr>
      <w:r w:rsidRPr="0093582B">
        <w:t xml:space="preserve">Таким образом, когнитивный и эмоциональный статус пациентов бывает часто осложнен ещё до операции. Однако, одним из осложнений хирургического вмешательства в зоне гиппокампа является формирование когнитивных и псхологических/психических расстройств в послеоперационном периоде, что </w:t>
      </w:r>
      <w:r w:rsidRPr="0093582B">
        <w:lastRenderedPageBreak/>
        <w:t xml:space="preserve">было продемонстрировано в мета-анализе Alexandros G Brotis </w:t>
      </w:r>
      <w:r w:rsidRPr="0093582B">
        <w:rPr>
          <w:lang w:val="en-US"/>
        </w:rPr>
        <w:t>et</w:t>
      </w:r>
      <w:r w:rsidRPr="0093582B">
        <w:t xml:space="preserve"> </w:t>
      </w:r>
      <w:r w:rsidRPr="0093582B">
        <w:rPr>
          <w:lang w:val="en-US"/>
        </w:rPr>
        <w:t>al</w:t>
      </w:r>
      <w:r w:rsidRPr="0093582B">
        <w:t xml:space="preserve">., где выявлена частота данных осложнений от 5% до 7% </w:t>
      </w:r>
      <w:r w:rsidRPr="0093582B">
        <w:fldChar w:fldCharType="begin" w:fldLock="1"/>
      </w:r>
      <w:r w:rsidR="003A1608" w:rsidRPr="0093582B">
        <w:instrText>ADDIN CSL_CITATION {"citationItems":[{"id":"ITEM-1","itemData":{"DOI":"10.1159/000500136","ISSN":"14230372","abstract":"The efficacy of surgery in the management of patients with longstanding temporal lobe epilepsy has been established. Anterior temporal lobectomy (ATL) is the most frequently implemented procedure. However, there is an obvious need to assess its perioperative safety. Objective: We conducted a meta-analysis to estimate the postoperative mortality (Q1) and morbidity (Q2) associated with ATL for medically intractable epilepsy. In addition, we tried to identify the most frequent complications after ATL and assess their relative frequency (Q3) in children and adults. Methods: Fixed- and random-effects model meta-analysis was conducted to assess the proportion estimate for each outcome individually. Results: The postoperative mortality and cumulative morbidity were estimated to be as high as 0.01 (95% CI: 0.01, 0.02) and 0.17 (95% CI: 0.12, 0.24), respectively. Psychiatric disorders were the most common postoperative complications after ATL, with an estimated frequency as high as 0.07 (95% CI: 0.04, 0.10), followed by visual field defects (0.06; 0.03, 0.11), and cognitive disorders (0.05; 0.02, 0.10). Less frequent complications included hemiparesis and language disorders (0.03; 0.01, 0.06), infections (0.03; 0.02, 0.04), hemorrhage (0.02; 0.01, 0.05), cranial nerve deficits (0.03; 0.02, 0.05), extra-axial fluid collections (0.02; 0.01, 0.03), and medical complications (0.02; 0.01, 0.03). Conclusions: Even though the mortality after ATL is minimal, the overall morbidity cannot be ignored. Psychiatric disturbances, visual field defects, and cognitive disorders are the most common postoperative complications, and should be considered during the preoperative planning and consultation.","author":[{"dropping-particle":"","family":"Brotis","given":"Alexandros G.","non-dropping-particle":"","parse-names":false,"suffix":""},{"dropping-particle":"","family":"Giannis","given":"Theofanis","non-dropping-particle":"","parse-names":false,"suffix":""},{"dropping-particle":"","family":"Kapsalaki","given":"Eftychia","non-dropping-particle":"","parse-names":false,"suffix":""},{"dropping-particle":"","family":"Dardiotis","given":"Efthymios","non-dropping-particle":"","parse-names":false,"suffix":""},{"dropping-particle":"","family":"Fountas","given":"Kostas N.","non-dropping-particle":"","parse-names":false,"suffix":""}],"container-title":"Stereotactic and Functional Neurosurgery","id":"ITEM-1","issue":"2","issued":{"date-parts":[["2019"]]},"title":"Complications after Anterior Temporal Lobectomy for Medically Intractable Epilepsy: A Systematic Review and Meta-Analysis","type":"article","volume":"97"},"uris":["http://www.mendeley.com/documents/?uuid=8ed64d97-39ba-3c1d-9a6e-6e36678bf14e"]}],"mendeley":{"formattedCitation":"[6]","plainTextFormattedCitation":"[6]","previouslyFormattedCitation":"[6]"},"properties":{"noteIndex":0},"schema":"https://github.com/citation-style-language/schema/raw/master/csl-citation.json"}</w:instrText>
      </w:r>
      <w:r w:rsidRPr="0093582B">
        <w:fldChar w:fldCharType="separate"/>
      </w:r>
      <w:r w:rsidR="003A1608" w:rsidRPr="0093582B">
        <w:rPr>
          <w:noProof/>
        </w:rPr>
        <w:t>[6]</w:t>
      </w:r>
      <w:r w:rsidRPr="0093582B">
        <w:fldChar w:fldCharType="end"/>
      </w:r>
      <w:r w:rsidRPr="0093582B">
        <w:t>.</w:t>
      </w:r>
    </w:p>
    <w:p w:rsidR="00104A30" w:rsidRPr="0093582B" w:rsidRDefault="00145D01" w:rsidP="003819FA">
      <w:pPr>
        <w:pStyle w:val="a9"/>
      </w:pPr>
      <w:r w:rsidRPr="0093582B">
        <w:t xml:space="preserve">На основании вышеописанных данных можно сделать вывод, что проблема диагностики, лечебной тактики и прогнозирования течения заболевания у пациентов со структурными формами эпилепсии является актуальной темой для изучения в современной медицинской научной сфере. Многие исследования отмечают эффективность хирургического лечения эпилепсии, но редко ставят перед собой задачи оценить возможные осложнения и качество жизни пациентов в постоперационном периоде. В связи с этим </w:t>
      </w:r>
      <w:r w:rsidRPr="0093582B">
        <w:rPr>
          <w:b/>
          <w:bCs/>
        </w:rPr>
        <w:t>целью</w:t>
      </w:r>
      <w:r w:rsidRPr="0093582B">
        <w:rPr>
          <w:b/>
        </w:rPr>
        <w:t xml:space="preserve"> исследования</w:t>
      </w:r>
      <w:r w:rsidRPr="0093582B">
        <w:t xml:space="preserve"> явилось:</w:t>
      </w:r>
    </w:p>
    <w:p w:rsidR="00754D37" w:rsidRPr="0093582B" w:rsidRDefault="00A5364C" w:rsidP="0076572E">
      <w:pPr>
        <w:pStyle w:val="a9"/>
      </w:pPr>
      <w:r w:rsidRPr="0093582B">
        <w:t>У</w:t>
      </w:r>
      <w:r w:rsidR="002E62B2" w:rsidRPr="0093582B">
        <w:t>точнение клинико-неврологической, нейровизуализационной и функци</w:t>
      </w:r>
      <w:r w:rsidR="002459C7" w:rsidRPr="0093582B">
        <w:t>ональной характеристики больных</w:t>
      </w:r>
      <w:r w:rsidR="002E62B2" w:rsidRPr="0093582B">
        <w:t xml:space="preserve"> с мезиальной височной эпилепси</w:t>
      </w:r>
      <w:r w:rsidR="007507F9" w:rsidRPr="0093582B">
        <w:t>ей</w:t>
      </w:r>
      <w:r w:rsidR="00C15B26" w:rsidRPr="0093582B">
        <w:t xml:space="preserve"> и оценка результатов её хирургического лечения.</w:t>
      </w:r>
    </w:p>
    <w:p w:rsidR="0076572E" w:rsidRPr="0093582B" w:rsidRDefault="002E62B2" w:rsidP="0076572E">
      <w:pPr>
        <w:pStyle w:val="a9"/>
      </w:pPr>
      <w:r w:rsidRPr="0093582B">
        <w:rPr>
          <w:b/>
        </w:rPr>
        <w:t>Задачи</w:t>
      </w:r>
      <w:r w:rsidR="00145D01" w:rsidRPr="0093582B">
        <w:rPr>
          <w:b/>
        </w:rPr>
        <w:t xml:space="preserve"> исследования</w:t>
      </w:r>
      <w:r w:rsidRPr="0093582B">
        <w:t>:</w:t>
      </w:r>
    </w:p>
    <w:p w:rsidR="0076572E" w:rsidRPr="0093582B" w:rsidRDefault="002E62B2" w:rsidP="0076572E">
      <w:pPr>
        <w:pStyle w:val="a9"/>
        <w:numPr>
          <w:ilvl w:val="0"/>
          <w:numId w:val="15"/>
        </w:numPr>
        <w:ind w:left="360"/>
      </w:pPr>
      <w:r w:rsidRPr="0093582B">
        <w:t xml:space="preserve">Оценить </w:t>
      </w:r>
      <w:r w:rsidR="004F42F2" w:rsidRPr="0093582B">
        <w:t xml:space="preserve">неврологический и соматический </w:t>
      </w:r>
      <w:r w:rsidRPr="0093582B">
        <w:t>статус у пациентов с мезиальной височной эпилепсией.</w:t>
      </w:r>
    </w:p>
    <w:p w:rsidR="0076572E" w:rsidRPr="0093582B" w:rsidRDefault="002E62B2" w:rsidP="0076572E">
      <w:pPr>
        <w:pStyle w:val="a9"/>
        <w:numPr>
          <w:ilvl w:val="0"/>
          <w:numId w:val="15"/>
        </w:numPr>
        <w:ind w:left="360"/>
      </w:pPr>
      <w:r w:rsidRPr="0093582B">
        <w:t xml:space="preserve">Уточнить тип эпилептических приступов </w:t>
      </w:r>
      <w:r w:rsidR="004F42F2" w:rsidRPr="0093582B">
        <w:t xml:space="preserve">в зависимости от латерализации </w:t>
      </w:r>
      <w:r w:rsidRPr="0093582B">
        <w:t>структурного очага (право- или левосторонний).</w:t>
      </w:r>
    </w:p>
    <w:p w:rsidR="0076572E" w:rsidRPr="0093582B" w:rsidRDefault="002E62B2" w:rsidP="0076572E">
      <w:pPr>
        <w:pStyle w:val="a9"/>
        <w:numPr>
          <w:ilvl w:val="0"/>
          <w:numId w:val="15"/>
        </w:numPr>
        <w:ind w:left="360"/>
      </w:pPr>
      <w:r w:rsidRPr="0093582B">
        <w:t xml:space="preserve">Выявить </w:t>
      </w:r>
      <w:r w:rsidR="004F42F2" w:rsidRPr="0093582B">
        <w:t xml:space="preserve">особенности </w:t>
      </w:r>
      <w:r w:rsidRPr="0093582B">
        <w:t xml:space="preserve">нейровизуализационной картины больных с </w:t>
      </w:r>
      <w:r w:rsidR="007507F9" w:rsidRPr="0093582B">
        <w:t>фармакорезистентной эпилепсией и оценить информативность МРТ с разной напряженностью магнитного поля</w:t>
      </w:r>
      <w:r w:rsidR="00DB2D88" w:rsidRPr="0093582B">
        <w:t xml:space="preserve"> в оценке </w:t>
      </w:r>
      <w:r w:rsidR="001009F3" w:rsidRPr="0093582B">
        <w:t>гиппокампального</w:t>
      </w:r>
      <w:r w:rsidR="00DB2D88" w:rsidRPr="0093582B">
        <w:t xml:space="preserve"> склероза.</w:t>
      </w:r>
    </w:p>
    <w:p w:rsidR="0076572E" w:rsidRPr="0093582B" w:rsidRDefault="00DB2D88" w:rsidP="0076572E">
      <w:pPr>
        <w:pStyle w:val="a9"/>
        <w:numPr>
          <w:ilvl w:val="0"/>
          <w:numId w:val="15"/>
        </w:numPr>
        <w:ind w:left="360"/>
      </w:pPr>
      <w:r w:rsidRPr="0093582B">
        <w:t xml:space="preserve">Определить соотношение </w:t>
      </w:r>
      <w:r w:rsidR="007507F9" w:rsidRPr="0093582B">
        <w:t>эпилептического</w:t>
      </w:r>
      <w:r w:rsidR="001009F3" w:rsidRPr="0093582B">
        <w:t xml:space="preserve"> фокуса и структурного очага с использованием</w:t>
      </w:r>
      <w:r w:rsidR="007507F9" w:rsidRPr="0093582B">
        <w:t xml:space="preserve"> </w:t>
      </w:r>
      <w:r w:rsidR="002E62B2" w:rsidRPr="0093582B">
        <w:t>функциональных методов исследования (ЭЭГ и Видео-ЭЭГ мониторинг) у пациентов с мезиальн</w:t>
      </w:r>
      <w:r w:rsidRPr="0093582B">
        <w:t>ой</w:t>
      </w:r>
      <w:r w:rsidR="002E62B2" w:rsidRPr="0093582B">
        <w:t xml:space="preserve"> височн</w:t>
      </w:r>
      <w:r w:rsidRPr="0093582B">
        <w:t>ой эпилепсией</w:t>
      </w:r>
      <w:r w:rsidR="002E62B2" w:rsidRPr="0093582B">
        <w:t xml:space="preserve">. </w:t>
      </w:r>
    </w:p>
    <w:p w:rsidR="00754D37" w:rsidRPr="0093582B" w:rsidRDefault="002E62B2" w:rsidP="00AA6A71">
      <w:pPr>
        <w:pStyle w:val="a9"/>
        <w:numPr>
          <w:ilvl w:val="0"/>
          <w:numId w:val="15"/>
        </w:numPr>
        <w:ind w:left="360"/>
      </w:pPr>
      <w:r w:rsidRPr="0093582B">
        <w:t>Оценить</w:t>
      </w:r>
      <w:r w:rsidR="00AA6A71" w:rsidRPr="0093582B">
        <w:t xml:space="preserve"> в послеоперационном периоде у пациентов с мезиальной височной эпилепсией:</w:t>
      </w:r>
      <w:r w:rsidR="001009F3" w:rsidRPr="0093582B">
        <w:t xml:space="preserve"> </w:t>
      </w:r>
      <w:r w:rsidR="00DB2D88" w:rsidRPr="0093582B">
        <w:t>а) характер и частоту эпиприступов; б)</w:t>
      </w:r>
      <w:r w:rsidR="00145D01" w:rsidRPr="0093582B">
        <w:t xml:space="preserve"> когнитивные функции и</w:t>
      </w:r>
      <w:r w:rsidRPr="0093582B">
        <w:t xml:space="preserve"> </w:t>
      </w:r>
      <w:r w:rsidR="00DB2D88" w:rsidRPr="0093582B">
        <w:t xml:space="preserve">психопатологические нарушения; в) </w:t>
      </w:r>
      <w:r w:rsidRPr="0093582B">
        <w:t xml:space="preserve">качество жизни </w:t>
      </w:r>
      <w:r w:rsidR="00DB2D88" w:rsidRPr="0093582B">
        <w:t xml:space="preserve">по опроснику </w:t>
      </w:r>
      <w:r w:rsidR="00DB2D88" w:rsidRPr="0093582B">
        <w:rPr>
          <w:lang w:val="en-US"/>
        </w:rPr>
        <w:t>SF</w:t>
      </w:r>
      <w:r w:rsidR="001009F3" w:rsidRPr="0093582B">
        <w:t>-36</w:t>
      </w:r>
      <w:r w:rsidR="00DB2D88" w:rsidRPr="0093582B">
        <w:t>.</w:t>
      </w:r>
      <w:r w:rsidR="00145D01" w:rsidRPr="0093582B">
        <w:t xml:space="preserve"> </w:t>
      </w:r>
    </w:p>
    <w:p w:rsidR="00754D37" w:rsidRPr="0093582B" w:rsidRDefault="00754D37" w:rsidP="00EA43B5">
      <w:pPr>
        <w:spacing w:line="360" w:lineRule="auto"/>
        <w:rPr>
          <w:rFonts w:asciiTheme="majorHAnsi" w:hAnsiTheme="majorHAnsi" w:cstheme="majorHAnsi"/>
          <w:sz w:val="28"/>
          <w:szCs w:val="28"/>
        </w:rPr>
      </w:pPr>
    </w:p>
    <w:p w:rsidR="002459C7" w:rsidRPr="0093582B" w:rsidRDefault="002459C7" w:rsidP="00B73A7A">
      <w:pPr>
        <w:pStyle w:val="1"/>
      </w:pPr>
      <w:bookmarkStart w:id="2" w:name="_Toc104427522"/>
      <w:r w:rsidRPr="0093582B">
        <w:lastRenderedPageBreak/>
        <w:t>Глава I. Современный взгляд на проблему структурной эпилепсии и методы её лечения (обзор литературы).</w:t>
      </w:r>
      <w:bookmarkEnd w:id="2"/>
    </w:p>
    <w:p w:rsidR="004F42F2" w:rsidRPr="0093582B" w:rsidRDefault="004F42F2" w:rsidP="00B73A7A">
      <w:pPr>
        <w:pStyle w:val="2"/>
      </w:pPr>
      <w:bookmarkStart w:id="3" w:name="_Toc104427523"/>
      <w:r w:rsidRPr="0093582B">
        <w:t>1.1. Понятие структурной эпилепсии</w:t>
      </w:r>
      <w:bookmarkEnd w:id="3"/>
    </w:p>
    <w:p w:rsidR="00754D37" w:rsidRPr="0093582B" w:rsidRDefault="002E62B2" w:rsidP="00B73A7A">
      <w:pPr>
        <w:pStyle w:val="a9"/>
      </w:pPr>
      <w:r w:rsidRPr="0093582B">
        <w:t>Эпилепсия – заболевание мозга, характеризующееся стойким предрасположением к генерированию эпилептических припадков и сопровождающееся нейробиологическими, когнитивными, психологическими и социальными последствиями этого с</w:t>
      </w:r>
      <w:r w:rsidR="004F42F2" w:rsidRPr="0093582B">
        <w:t xml:space="preserve">остояния </w:t>
      </w:r>
      <w:r w:rsidR="004F42F2" w:rsidRPr="0093582B">
        <w:fldChar w:fldCharType="begin" w:fldLock="1"/>
      </w:r>
      <w:r w:rsidR="003A1608" w:rsidRPr="0093582B">
        <w:instrText>ADDIN CSL_CITATION {"citationItems":[{"id":"ITEM-1","itemData":{"DOI":"10.1111/j.0013-9580.2005.66104.x","ISSN":"00139580","abstract":"The International League Against Epilepsy (ILAE) and the International Bureau for Epilepsy (IBE) have come to consensus definitions for the terms epileptic seizure and epilepsy. An epileptic seizure is a transient occurrence of signs and/or symptoms due to abnormal excessive or synchronous neuronal activity in the brain. Epilepsy is a disorder of the brain characterized by an enduring predisposition to generate epileptic seizures and by the neurobiologic, cognitive, psychological, and social consequences of this condition. The definition of epilepsy requires the occurrence of at least one epileptic seizure. © 2005 International League Against Epilepsy.","author":[{"dropping-particle":"","family":"Fisher","given":"Robert S.","non-dropping-particle":"","parse-names":false,"suffix":""},{"dropping-particle":"","family":"Emde Boas","given":"Walter","non-dropping-particle":"Van","parse-names":false,"suffix":""},{"dropping-particle":"","family":"Blume","given":"Warren","non-dropping-particle":"","parse-names":false,"suffix":""},{"dropping-particle":"","family":"Elger","given":"Christian","non-dropping-particle":"","parse-names":false,"suffix":""},{"dropping-particle":"","family":"Genton","given":"Pierre","non-dropping-particle":"","parse-names":false,"suffix":""},{"dropping-particle":"","family":"Lee","given":"Phillip","non-dropping-particle":"","parse-names":false,"suffix":""},{"dropping-particle":"","family":"Engel","given":"Jerome","non-dropping-particle":"","parse-names":false,"suffix":""}],"container-title":"Epilepsia","id":"ITEM-1","issue":"4","issued":{"date-parts":[["2005"]]},"title":"Epileptic seizures and epilepsy: Definitions proposed by the International League Against Epilepsy (ILAE) and the International Bureau for Epilepsy (IBE)","type":"article","volume":"46"},"uris":["http://www.mendeley.com/documents/?uuid=5f1a42a7-5463-34e9-8681-4b3ac976cf44"]}],"mendeley":{"formattedCitation":"[7]","plainTextFormattedCitation":"[7]","previouslyFormattedCitation":"[7]"},"properties":{"noteIndex":0},"schema":"https://github.com/citation-style-language/schema/raw/master/csl-citation.json"}</w:instrText>
      </w:r>
      <w:r w:rsidR="004F42F2" w:rsidRPr="0093582B">
        <w:fldChar w:fldCharType="separate"/>
      </w:r>
      <w:r w:rsidR="003A1608" w:rsidRPr="0093582B">
        <w:rPr>
          <w:noProof/>
        </w:rPr>
        <w:t>[7]</w:t>
      </w:r>
      <w:r w:rsidR="004F42F2" w:rsidRPr="0093582B">
        <w:fldChar w:fldCharType="end"/>
      </w:r>
      <w:r w:rsidR="006D25FC" w:rsidRPr="0093582B">
        <w:t>.</w:t>
      </w:r>
    </w:p>
    <w:p w:rsidR="0043010F" w:rsidRPr="0093582B" w:rsidRDefault="002E62B2" w:rsidP="0043010F">
      <w:pPr>
        <w:pStyle w:val="a9"/>
      </w:pPr>
      <w:r w:rsidRPr="0093582B">
        <w:t xml:space="preserve">Диагноз эпилепсии можно рассматривать в </w:t>
      </w:r>
      <w:r w:rsidR="004F42F2" w:rsidRPr="0093582B">
        <w:t>случаях,</w:t>
      </w:r>
      <w:r w:rsidRPr="0093582B">
        <w:t xml:space="preserve"> когда:</w:t>
      </w:r>
    </w:p>
    <w:p w:rsidR="0043010F" w:rsidRPr="0093582B" w:rsidRDefault="004F42F2" w:rsidP="00E00683">
      <w:pPr>
        <w:pStyle w:val="a9"/>
        <w:numPr>
          <w:ilvl w:val="0"/>
          <w:numId w:val="5"/>
        </w:numPr>
        <w:ind w:left="360"/>
      </w:pPr>
      <w:r w:rsidRPr="0093582B">
        <w:t>Установлено</w:t>
      </w:r>
      <w:r w:rsidR="0043010F" w:rsidRPr="0093582B">
        <w:t xml:space="preserve"> </w:t>
      </w:r>
      <w:r w:rsidRPr="0093582B">
        <w:t xml:space="preserve">не </w:t>
      </w:r>
      <w:r w:rsidR="002E62B2" w:rsidRPr="0093582B">
        <w:t xml:space="preserve">менее двух неспровоцированных (или рефлекторных) эпилептических приступов с </w:t>
      </w:r>
      <w:r w:rsidR="0076572E" w:rsidRPr="0093582B">
        <w:t>интервалом&gt;</w:t>
      </w:r>
      <w:r w:rsidR="00E00683" w:rsidRPr="0093582B">
        <w:t xml:space="preserve"> 24 ч;</w:t>
      </w:r>
    </w:p>
    <w:p w:rsidR="0043010F" w:rsidRPr="0093582B" w:rsidRDefault="002E62B2" w:rsidP="00E00683">
      <w:pPr>
        <w:pStyle w:val="a9"/>
        <w:numPr>
          <w:ilvl w:val="0"/>
          <w:numId w:val="5"/>
        </w:numPr>
        <w:ind w:left="360"/>
      </w:pPr>
      <w:r w:rsidRPr="0093582B">
        <w:t>Один неспровоцированный (или рефлекторный) эпилептический приступ и вероятность повторных приступов, соответств</w:t>
      </w:r>
      <w:r w:rsidR="00BB6744" w:rsidRPr="0093582B">
        <w:t>ующая общему риску рецидива (60</w:t>
      </w:r>
      <w:r w:rsidR="0043010F" w:rsidRPr="0093582B">
        <w:t xml:space="preserve"> </w:t>
      </w:r>
      <w:r w:rsidRPr="0093582B">
        <w:t>%) после двух неспровоцированных эпилептических приступов, в следующие 10 лет</w:t>
      </w:r>
      <w:r w:rsidR="00E00683" w:rsidRPr="0093582B">
        <w:t>;</w:t>
      </w:r>
    </w:p>
    <w:p w:rsidR="00754D37" w:rsidRPr="0093582B" w:rsidRDefault="002E62B2" w:rsidP="00E00683">
      <w:pPr>
        <w:pStyle w:val="a9"/>
        <w:numPr>
          <w:ilvl w:val="0"/>
          <w:numId w:val="5"/>
        </w:numPr>
        <w:ind w:left="360"/>
      </w:pPr>
      <w:r w:rsidRPr="0093582B">
        <w:t>Диагноз эпилептического синдром</w:t>
      </w:r>
      <w:r w:rsidR="006D25FC" w:rsidRPr="0093582B">
        <w:t>а</w:t>
      </w:r>
      <w:r w:rsidRPr="0093582B">
        <w:t xml:space="preserve"> </w:t>
      </w:r>
      <w:r w:rsidR="00DF2690" w:rsidRPr="0093582B">
        <w:fldChar w:fldCharType="begin" w:fldLock="1"/>
      </w:r>
      <w:r w:rsidR="003A1608" w:rsidRPr="0093582B">
        <w:instrText>ADDIN CSL_CITATION {"citationItems":[{"id":"ITEM-1","itemData":{"author":[{"dropping-particle":"","family":"Ассоциация нейрохирургов России","given":"","non-dropping-particle":"","parse-names":false,"suffix":""}],"id":"ITEM-1","issued":{"date-parts":[["2015"]]},"page":"20-22","title":"Клинические рекомендации по предоперационному обследованию и хирургическому лечению пациентов с фармакорезистентными формами эпилепсии: стандарты ведения больных для врачей.","type":"article-journal"},"uris":["http://www.mendeley.com/documents/?uuid=1b9c779b-1f7d-3d0c-9463-bdacc13cd630"]}],"mendeley":{"formattedCitation":"[8]","plainTextFormattedCitation":"[8]","previouslyFormattedCitation":"[8]"},"properties":{"noteIndex":0},"schema":"https://github.com/citation-style-language/schema/raw/master/csl-citation.json"}</w:instrText>
      </w:r>
      <w:r w:rsidR="00DF2690" w:rsidRPr="0093582B">
        <w:fldChar w:fldCharType="separate"/>
      </w:r>
      <w:r w:rsidR="003A1608" w:rsidRPr="0093582B">
        <w:rPr>
          <w:noProof/>
        </w:rPr>
        <w:t>[8]</w:t>
      </w:r>
      <w:r w:rsidR="00DF2690" w:rsidRPr="0093582B">
        <w:fldChar w:fldCharType="end"/>
      </w:r>
      <w:r w:rsidR="006D25FC" w:rsidRPr="0093582B">
        <w:t>.</w:t>
      </w:r>
    </w:p>
    <w:p w:rsidR="00754D37" w:rsidRPr="0093582B" w:rsidRDefault="002E62B2" w:rsidP="00B73A7A">
      <w:pPr>
        <w:pStyle w:val="a9"/>
      </w:pPr>
      <w:r w:rsidRPr="0093582B">
        <w:t>Структурная эпилепсия</w:t>
      </w:r>
      <w:r w:rsidRPr="0093582B">
        <w:rPr>
          <w:b/>
        </w:rPr>
        <w:t xml:space="preserve"> – </w:t>
      </w:r>
      <w:r w:rsidR="000F64F6" w:rsidRPr="0093582B">
        <w:t>это вид эпилепсии, при которой этиологический фактор вызывает морфологические изменения в мозговой ткани, определяемые с помощью нейровизуализационных методов исследования.</w:t>
      </w:r>
    </w:p>
    <w:p w:rsidR="00754D37" w:rsidRPr="0093582B" w:rsidRDefault="002E62B2" w:rsidP="00B73A7A">
      <w:pPr>
        <w:pStyle w:val="a9"/>
      </w:pPr>
      <w:r w:rsidRPr="0093582B">
        <w:t>Связанные с эпилепсией с</w:t>
      </w:r>
      <w:r w:rsidR="00DF2690" w:rsidRPr="0093582B">
        <w:t>труктурные изменения могут быть</w:t>
      </w:r>
      <w:r w:rsidRPr="0093582B">
        <w:t xml:space="preserve"> вследствие внутриутробной инфекции, черепно-мозговых травм</w:t>
      </w:r>
      <w:r w:rsidR="00BB6744" w:rsidRPr="0093582B">
        <w:t xml:space="preserve">, сосудистых </w:t>
      </w:r>
      <w:r w:rsidR="007E73A3" w:rsidRPr="0093582B">
        <w:t>поражений мозга и др.</w:t>
      </w:r>
      <w:r w:rsidR="00BB6744" w:rsidRPr="0093582B">
        <w:t xml:space="preserve"> </w:t>
      </w:r>
      <w:r w:rsidR="00DF2690" w:rsidRPr="0093582B">
        <w:t xml:space="preserve">Крайне важными являются </w:t>
      </w:r>
      <w:r w:rsidR="0043010F" w:rsidRPr="0093582B">
        <w:t>эпилепсии,</w:t>
      </w:r>
      <w:r w:rsidRPr="0093582B">
        <w:t xml:space="preserve"> которые вызваны склерозом гипп</w:t>
      </w:r>
      <w:r w:rsidR="00DF2690" w:rsidRPr="0093582B">
        <w:t>окампа, гамартомой гипоталамуса</w:t>
      </w:r>
      <w:r w:rsidRPr="0093582B">
        <w:t>,</w:t>
      </w:r>
      <w:r w:rsidR="00DF2690" w:rsidRPr="0093582B">
        <w:t xml:space="preserve"> </w:t>
      </w:r>
      <w:r w:rsidRPr="0093582B">
        <w:t>характерные для синдрома Расмуссена.</w:t>
      </w:r>
      <w:r w:rsidR="00DF2690" w:rsidRPr="0093582B">
        <w:t xml:space="preserve"> </w:t>
      </w:r>
      <w:r w:rsidRPr="0093582B">
        <w:t>Эффект</w:t>
      </w:r>
      <w:r w:rsidR="000F64F6" w:rsidRPr="0093582B">
        <w:t>ивным методом лечения являю</w:t>
      </w:r>
      <w:r w:rsidR="00DF2690" w:rsidRPr="0093582B">
        <w:t xml:space="preserve">тся </w:t>
      </w:r>
      <w:r w:rsidR="000F64F6" w:rsidRPr="0093582B">
        <w:t>нейрохирургически</w:t>
      </w:r>
      <w:r w:rsidR="0043010F" w:rsidRPr="0093582B">
        <w:t>е вмешательства.</w:t>
      </w:r>
    </w:p>
    <w:p w:rsidR="00754D37" w:rsidRPr="0093582B" w:rsidRDefault="002E62B2" w:rsidP="00B73A7A">
      <w:pPr>
        <w:pStyle w:val="a9"/>
      </w:pPr>
      <w:r w:rsidRPr="0093582B">
        <w:t>Связанные с эпилепсией структурные изменения могут быть приобретенными или генетически обусловленными. Так, порок развития головного мозга в виде полимикрогирии может быть вызван и мутацией в гене CPR56, и внутриутробной цитомегаловирусной инфекцией.</w:t>
      </w:r>
      <w:r w:rsidR="000F64F6" w:rsidRPr="0093582B">
        <w:t xml:space="preserve"> В той ситуации, </w:t>
      </w:r>
      <w:r w:rsidR="000F64F6" w:rsidRPr="0093582B">
        <w:lastRenderedPageBreak/>
        <w:t>когда в основе развития эпилепсии лежат генетические факторы, сопровождающиеся структурными изменениями мозговой ткани (например, эпилепсия при туберозном склерозе), оба термина («генетическая» и «структурная») имеют право на существование.</w:t>
      </w:r>
    </w:p>
    <w:p w:rsidR="0043010F" w:rsidRPr="0093582B" w:rsidRDefault="002E62B2" w:rsidP="0043010F">
      <w:pPr>
        <w:pStyle w:val="a9"/>
      </w:pPr>
      <w:r w:rsidRPr="0093582B">
        <w:rPr>
          <w:u w:val="single"/>
        </w:rPr>
        <w:t>Общие структурные аномалии мозга, связанные с эпилепсией:</w:t>
      </w:r>
    </w:p>
    <w:p w:rsidR="0043010F" w:rsidRPr="0093582B" w:rsidRDefault="002E62B2" w:rsidP="00E00683">
      <w:pPr>
        <w:pStyle w:val="a9"/>
        <w:numPr>
          <w:ilvl w:val="0"/>
          <w:numId w:val="6"/>
        </w:numPr>
        <w:ind w:left="360"/>
      </w:pPr>
      <w:r w:rsidRPr="0093582B">
        <w:t>пороки развития коры головного мозга;</w:t>
      </w:r>
    </w:p>
    <w:p w:rsidR="0043010F" w:rsidRPr="0093582B" w:rsidRDefault="002E62B2" w:rsidP="00E00683">
      <w:pPr>
        <w:pStyle w:val="a9"/>
        <w:numPr>
          <w:ilvl w:val="0"/>
          <w:numId w:val="6"/>
        </w:numPr>
        <w:ind w:left="360"/>
      </w:pPr>
      <w:r w:rsidRPr="0093582B">
        <w:t>сосудистые пороки развития;</w:t>
      </w:r>
    </w:p>
    <w:p w:rsidR="0043010F" w:rsidRPr="0093582B" w:rsidRDefault="002E62B2" w:rsidP="00E00683">
      <w:pPr>
        <w:pStyle w:val="a9"/>
        <w:numPr>
          <w:ilvl w:val="0"/>
          <w:numId w:val="6"/>
        </w:numPr>
        <w:ind w:left="360"/>
      </w:pPr>
      <w:r w:rsidRPr="0093582B">
        <w:t>гиппокампальный склероз;</w:t>
      </w:r>
    </w:p>
    <w:p w:rsidR="0043010F" w:rsidRPr="0093582B" w:rsidRDefault="002E62B2" w:rsidP="00E00683">
      <w:pPr>
        <w:pStyle w:val="a9"/>
        <w:numPr>
          <w:ilvl w:val="0"/>
          <w:numId w:val="6"/>
        </w:numPr>
        <w:ind w:left="360"/>
      </w:pPr>
      <w:r w:rsidRPr="0093582B">
        <w:t>гипоксически-ишемические структурные</w:t>
      </w:r>
      <w:r w:rsidR="00BB6744" w:rsidRPr="0093582B">
        <w:t xml:space="preserve"> поражения</w:t>
      </w:r>
      <w:r w:rsidRPr="0093582B">
        <w:t>;</w:t>
      </w:r>
    </w:p>
    <w:p w:rsidR="0043010F" w:rsidRPr="0093582B" w:rsidRDefault="002E62B2" w:rsidP="00E00683">
      <w:pPr>
        <w:pStyle w:val="a9"/>
        <w:numPr>
          <w:ilvl w:val="0"/>
          <w:numId w:val="6"/>
        </w:numPr>
        <w:ind w:left="360"/>
      </w:pPr>
      <w:r w:rsidRPr="0093582B">
        <w:t>травматическое повреждение мозга;</w:t>
      </w:r>
    </w:p>
    <w:p w:rsidR="0043010F" w:rsidRPr="0093582B" w:rsidRDefault="006D25FC" w:rsidP="00E00683">
      <w:pPr>
        <w:pStyle w:val="a9"/>
        <w:numPr>
          <w:ilvl w:val="0"/>
          <w:numId w:val="6"/>
        </w:numPr>
        <w:ind w:left="360"/>
      </w:pPr>
      <w:r w:rsidRPr="0093582B">
        <w:t>опухоли</w:t>
      </w:r>
      <w:r w:rsidR="00E00683" w:rsidRPr="0093582B">
        <w:t>;</w:t>
      </w:r>
    </w:p>
    <w:p w:rsidR="002459C7" w:rsidRPr="0093582B" w:rsidRDefault="000F64F6" w:rsidP="00E00683">
      <w:pPr>
        <w:pStyle w:val="a9"/>
        <w:numPr>
          <w:ilvl w:val="0"/>
          <w:numId w:val="6"/>
        </w:numPr>
        <w:ind w:left="360"/>
      </w:pPr>
      <w:r w:rsidRPr="0093582B">
        <w:rPr>
          <w:rFonts w:ascii="Times New Roman" w:hAnsi="Times New Roman" w:cs="Times New Roman"/>
        </w:rPr>
        <w:t>порэнцефалическая киста</w:t>
      </w:r>
      <w:r w:rsidR="002E62B2" w:rsidRPr="0093582B">
        <w:t xml:space="preserve"> </w:t>
      </w:r>
      <w:r w:rsidR="00DF2690" w:rsidRPr="0093582B">
        <w:fldChar w:fldCharType="begin" w:fldLock="1"/>
      </w:r>
      <w:r w:rsidR="007153B1" w:rsidRPr="0093582B">
        <w:instrText>ADDIN CSL_CITATION {"citationItems":[{"id":"ITEM-1","itemData":{"author":[{"dropping-particle":"","family":"Ассоциация нейрохирургов России","given":"","non-dropping-particle":"","parse-names":false,"suffix":""}],"id":"ITEM-1","issued":{"date-parts":[["2015"]]},"page":"20-22","title":"Клинические рекомендации по предоперационному обследованию и хирургическому лечению пациентов с фармакорезистентными формами эпилепсии: стандарты ведения больных для врачей.","type":"article-journal"},"uris":["http://www.mendeley.com/documents/?uuid=1b9c779b-1f7d-3d0c-9463-bdacc13cd630"]}],"mendeley":{"formattedCitation":"[8]","manualFormatting":"[8","plainTextFormattedCitation":"[8]","previouslyFormattedCitation":"[8]"},"properties":{"noteIndex":0},"schema":"https://github.com/citation-style-language/schema/raw/master/csl-citation.json"}</w:instrText>
      </w:r>
      <w:r w:rsidR="00DF2690" w:rsidRPr="0093582B">
        <w:fldChar w:fldCharType="separate"/>
      </w:r>
      <w:r w:rsidR="003A1608" w:rsidRPr="0093582B">
        <w:rPr>
          <w:noProof/>
        </w:rPr>
        <w:t>[8</w:t>
      </w:r>
      <w:r w:rsidR="00DF2690" w:rsidRPr="0093582B">
        <w:fldChar w:fldCharType="end"/>
      </w:r>
      <w:r w:rsidR="007153B1" w:rsidRPr="0093582B">
        <w:t xml:space="preserve">, </w:t>
      </w:r>
      <w:r w:rsidR="00DF2690" w:rsidRPr="0093582B">
        <w:fldChar w:fldCharType="begin" w:fldLock="1"/>
      </w:r>
      <w:r w:rsidR="00EA200B" w:rsidRPr="0093582B">
        <w:instrText>ADDIN CSL_CITATION {"citationItems":[{"id":"ITEM-1","itemData":{"DOI":"10.1016/S1474-4422(18)30454-X","ISSN":"14744465","abstract":"Background: Seizures and their consequences contribute to the burden of epilepsy because they can cause health loss (premature mortality and residual disability). Data on the burden of epilepsy are needed for health-care planning and resource allocation. The aim of this study was to quantify health loss due to epilepsy by age, sex, year, and location using data from the Global Burden of Diseases, Injuries, and Risk Factors Study. Methods: We assessed the burden of epilepsy in 195 countries and territories from 1990 to 2016. Burden was measured as deaths, prevalence, and disability-adjusted life-years (DALYs; a summary measure of health loss defined by the sum of years of life lost [YLLs] for premature mortality and years lived with disability), by age, sex, year, location, and Socio-demographic Index (SDI; a compound measure of income per capita, education, and fertility). Vital registrations and verbal autopsies provided information about deaths, and data on the prevalence and severity of epilepsy largely came from population representative surveys. All estimates were calculated with 95% uncertainty intervals (UIs). Findings: In 2016, there were 45·9 million (95% UI 39·9–54·6) patients with all-active epilepsy (both idiopathic and secondary epilepsy globally; age-standardised prevalence 621·5 per 100 000 population; 540·1–737·0). Of these patients, 24·0 million (20·4–27·7) had active idiopathic epilepsy (prevalence 326·7 per 100 000 population; 278·4–378·1). Prevalence of active epilepsy increased with age, with peaks at 5–9 years (374·8 [280·1–490·0]) and at older than 80 years of age (545·1 [444·2–652·0]). Age-standardised prevalence of active idiopathic epilepsy was 329·3 per 100 000 population (280·3–381·2) in men and 318·9 per 100 000 population (271·1–369·4) in women, and was similar among SDI quintiles. Global age-standardised mortality rates of idiopathic epilepsy were 1·74 per 100 000 population (1·64–1·87; 1·40 per 100 000 population [1·23–1·54] for women and 2·09 per 100 000 population [1·96–2·25] for men). Age-standardised DALYs were 182·6 per 100 000 population (149·0–223·5; 163·6 per 100 000 population [130·6–204·3] for women and 201·2 per 100 000 population [166·9–241·4] for men). The higher DALY rates in men were due to higher YLL rates compared with women. Between 1990 and 2016, there was a non-significant 6·0% (−4·0 to 16·7) change in the age-standardised prevalence of idiopathic epilepsy, but a significant decrease in age-standardise…","author":[{"dropping-particle":"","family":"Beghi","given":"Ettore","non-dropping-particle":"","parse-names":false,"suffix":""},{"dropping-particle":"","family":"Giussani","given":"Giorgia","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raha","given":"Haftom Niguse","non-dropping-particle":"","parse-names":false,"suffix":""},{"dropping-particle":"","family":"Adib","given":"Mina G.","non-dropping-particle":"","parse-names":false,"suffix":""},{"dropping-particle":"","family":"Agrawal","given":"Sutapa","non-dropping-particle":"","parse-names":false,"suffix":""},{"dropping-particle":"","family":"Alahdab","given":"Fares","non-dropping-particle":"","parse-names":false,"suffix":""},{"dropping-particle":"","family":"Awasthi","given":"Ashish","non-dropping-particle":"","parse-names":false,"suffix":""},{"dropping-particle":"","family":"Ayele","given":"Yohanes","non-dropping-particle":"","parse-names":false,"suffix":""},{"dropping-particle":"","family":"Barboza","given":"Miguel A.","non-dropping-particle":"","parse-names":false,"suffix":""},{"dropping-particle":"","family":"Belachew","given":"Abate Bekele","non-dropping-particle":"","parse-names":false,"suffix":""},{"dropping-particle":"","family":"Biadgo","given":"Belete","non-dropping-particle":"","parse-names":false,"suffix":""},{"dropping-particle":"","family":"Bijani","given":"Ali","non-dropping-particle":"","parse-names":false,"suffix":""},{"dropping-particle":"","family":"Bitew","given":"Helen","non-dropping-particle":"","parse-names":false,"suffix":""},{"dropping-particle":"","family":"Carvalho","given":"Félix","non-dropping-particle":"","parse-names":false,"suffix":""},{"dropping-particle":"","family":"Chaiah","given":"Yazan","non-dropping-particle":"","parse-names":false,"suffix":""},{"dropping-particle":"","family":"Daryani","given":"Ahmad","non-dropping-particle":"","parse-names":false,"suffix":""},{"dropping-particle":"","family":"Do","given":"Huyen Phuc","non-dropping-particle":"","parse-names":false,"suffix":""},{"dropping-particle":"","family":"Dubey","given":"Manisha","non-dropping-particle":"","parse-names":false,"suffix":""},{"dropping-particle":"","family":"Endries","given":"Aman Yesuf Yesuf","non-dropping-particle":"","parse-names":false,"suffix":""},{"dropping-particle":"","family":"Eskandarieh","given":"Sharareh","non-dropping-particle":"","parse-names":false,"suffix":""},{"dropping-particle":"","family":"Faro","given":"Andre","non-dropping-particle":"","parse-names":false,"suffix":""},{"dropping-particle":"","family":"Farzadfar","given":"Farshad","non-dropping-particle":"","parse-names":false,"suffix":""},{"dropping-particle":"","family":"Fereshtehnejad","given":"Seyed Mohammad","non-dropping-particle":"","parse-names":false,"suffix":""},{"dropping-particle":"","family":"Fernandes","given":"Eduarda","non-dropping-particle":"","parse-names":false,"suffix":""},{"dropping-particle":"","family":"Fijabi","given":"Daniel Obadare","non-dropping-particle":"","parse-names":false,"suffix":""},{"dropping-particle":"","family":"Filip","given":"Irina","non-dropping-particle":"","parse-names":false,"suffix":""},{"dropping-particle":"","family":"Fischer","given":"Florian","non-dropping-particle":"","parse-names":false,"suffix":""},{"dropping-particle":"","family":"Gebre","given":"Abadi Kahsu","non-dropping-particle":"","parse-names":false,"suffix":""},{"dropping-particle":"","family":"Tsadik","given":"Afewerki Gebremeskel","non-dropping-particle":"","parse-names":false,"suffix":""},{"dropping-particle":"","family":"Gebremichael","given":"Teklu Gebrehiwo","non-dropping-particle":"","parse-names":false,"suffix":""},{"dropping-particle":"","family":"Gezae","given":"Kebede Embaye","non-dropping-particle":"","parse-names":false,"suffix":""},{"dropping-particle":"","family":"Ghasemi-Kasman","given":"Maryam","non-dropping-particle":"","parse-names":false,"suffix":""},{"dropping-particle":"","family":"Weldegwergs","given":"Kidu Gidey","non-dropping-particle":"","parse-names":false,"suffix":""},{"dropping-particle":"","family":"Degefa","given":"Meaza Girma","non-dropping-particle":"","parse-names":false,"suffix":""},{"dropping-particle":"V.","family":"Gnedovskaya","given":"Elena","non-dropping-particle":"","parse-names":false,"suffix":""},{"dropping-particle":"","family":"Hagos","given":"Tekleberhan B.","non-dropping-particle":"","parse-names":false,"suffix":""},{"dropping-particle":"","family":"Haj-Mirzaian","given":"Arvin","non-dropping-particle":"","parse-names":false,"suffix":""},{"dropping-particle":"","family":"Haj-Mirzaian","given":"Arya","non-dropping-particle":"","parse-names":false,"suffix":""},{"dropping-particle":"","family":"Hassen","given":"Hamid Yimam","non-dropping-particle":"","parse-names":false,"suffix":""},{"dropping-particle":"","family":"Hay","given":"Simon I.","non-dropping-particle":"","parse-names":false,"suffix":""},{"dropping-particle":"","family":"Jakovljevic","given":"Mihajlo","non-dropping-particle":"","parse-names":false,"suffix":""},{"dropping-particle":"","family":"Kasaeian","given":"Amir","non-dropping-particle":"","parse-names":false,"suffix":""},{"dropping-particle":"","family":"Kassa","given":"Tesfaye Dessale","non-dropping-particle":"","parse-names":false,"suffix":""},{"dropping-particle":"","family":"Khader","given":"Yousef Saleh","non-dropping-particle":"","parse-names":false,"suffix":""},{"dropping-particle":"","family":"Khalil","given":"Ibrahim","non-dropping-particle":"","parse-names":false,"suffix":""},{"dropping-particle":"","family":"Khan","given":"Ejaz Ahmad","non-dropping-particle":"","parse-names":false,"suffix":""},{"dropping-particle":"","family":"Khubchandani","given":"Jagdish","non-dropping-particle":"","parse-names":false,"suffix":""},{"dropping-particle":"","family":"Kisa","given":"Adnan","non-dropping-particle":"","parse-names":false,"suffix":""},{"dropping-particle":"","family":"Krohn","given":"Kristopher J.","non-dropping-particle":"","parse-names":false,"suffix":""},{"dropping-particle":"","family":"Kulkarni","given":"Chanda","non-dropping-particle":"","parse-names":false,"suffix":""},{"dropping-particle":"","family":"Nirayo","given":"Yirga Legesse","non-dropping-particle":"","parse-names":false,"suffix":""},{"dropping-particle":"","family":"Mackay","given":"Mark T.","non-dropping-particle":"","parse-names":false,"suffix":""},{"dropping-particle":"","family":"Majdan","given":"Marek","non-dropping-particle":"","parse-names":false,"suffix":""},{"dropping-particle":"","family":"Majeed","given":"Azeem","non-dropping-particle":"","parse-names":false,"suffix":""},{"dropping-particle":"","family":"Manhertz","given":"Treh","non-dropping-particle":"","parse-names":false,"suffix":""},{"dropping-particle":"","family":"Mehndiratta","given":"Man Mohan","non-dropping-particle":"","parse-names":false,"suffix":""},{"dropping-particle":"","family":"Mekonen","given":"Tesfa","non-dropping-particle":"","parse-names":false,"suffix":""},{"dropping-particle":"","family":"Meles","given":"Hagazi Gebre","non-dropping-particle":"","parse-names":false,"suffix":""},{"dropping-particle":"","family":"Mengistu","given":"Getnet","non-dropping-particle":"","parse-names":false,"suffix":""},{"dropping-particle":"","family":"Mohammed","given":"Shafiu","non-dropping-particle":"","parse-names":false,"suffix":""},{"dropping-particle":"","family":"Naghavi","given":"Mohsen","non-dropping-particle":"","parse-names":false,"suffix":""},{"dropping-particle":"","family":"Mokdad","given":"Ali H.","non-dropping-particle":"","parse-names":false,"suffix":""},{"dropping-particle":"","family":"Mustafa","given":"Ghulam","non-dropping-particle":"","parse-names":false,"suffix":""},{"dropping-particle":"","family":"Irvani","given":"Seyed Sina Naghibi","non-dropping-particle":"","parse-names":false,"suffix":""},{"dropping-particle":"","family":"Nguyen","given":"Long Hoang","non-dropping-particle":"","parse-names":false,"suffix":""},{"dropping-particle":"","family":"Nichols","given":"Emma","non-dropping-particle":"","parse-names":false,"suffix":""},{"dropping-particle":"","family":"Nixon","given":"Molly R.","non-dropping-particle":"","parse-names":false,"suffix":""},{"dropping-particle":"","family":"Ogbo","given":"Felix Akpojene","non-dropping-particle":"","parse-names":false,"suffix":""},{"dropping-particle":"","family":"Olagunju","given":"Andrew T.","non-dropping-particle":"","parse-names":false,"suffix":""},{"dropping-particle":"","family":"Olagunju","given":"Tinuke O.","non-dropping-particle":"","parse-names":false,"suffix":""},{"dropping-particle":"","family":"Owolabi","given":"Mayowa Ojo","non-dropping-particle":"","parse-names":false,"suffix":""},{"dropping-particle":"","family":"Phillips","given":"Michael R.","non-dropping-particle":"","parse-names":false,"suffix":""},{"dropping-particle":"","family":"Pinilla-Monsalve","given":"Gabriel David","non-dropping-particle":"","parse-names":false,"suffix":""},{"dropping-particle":"","family":"Qorbani","given":"Mostafa","non-dropping-particle":"","parse-names":false,"suffix":""},{"dropping-particle":"","family":"Radfar","given":"Amir","non-dropping-particle":"","parse-names":false,"suffix":""},{"dropping-particle":"","family":"Rafay","given":"Anwar","non-dropping-particle":"","parse-names":false,"suffix":""},{"dropping-particle":"","family":"Rahimi-Movaghar","given":"Vafa","non-dropping-particle":"","parse-names":false,"suffix":""},{"dropping-particle":"","family":"Reinig","given":"Nickolas","non-dropping-particle":"","parse-names":false,"suffix":""},{"dropping-particle":"","family":"Sachdev","given":"Perminder S.","non-dropping-particle":"","parse-names":false,"suffix":""},{"dropping-particle":"","family":"Safari","given":"Hosein","non-dropping-particle":"","parse-names":false,"suffix":""},{"dropping-particle":"","family":"Safari","given":"Saeed","non-dropping-particle":"","parse-names":false,"suffix":""},{"dropping-particle":"","family":"Safiri","given":"Saeid","non-dropping-particle":"","parse-names":false,"suffix":""},{"dropping-particle":"","family":"Sahraian","given":"Mohammad Ali","non-dropping-particle":"","parse-names":false,"suffix":""},{"dropping-particle":"","family":"Samy","given":"Abdallah M.","non-dropping-particle":"","parse-names":false,"suffix":""},{"dropping-particle":"","family":"Sarvi","given":"Shahabeddin","non-dropping-particle":"","parse-names":false,"suffix":""},{"dropping-particle":"","family":"Sawhney","given":"Monika","non-dropping-particle":"","parse-names":false,"suffix":""},{"dropping-particle":"","family":"Shaikh","given":"Masood A.","non-dropping-particle":"","parse-names":false,"suffix":""},{"dropping-particle":"","family":"Sharif","given":"Mehdi","non-dropping-particle":"","parse-names":false,"suffix":""},{"dropping-particle":"","family":"Singh","given":"Gagandeep","non-dropping-particle":"","parse-names":false,"suffix":""},{"dropping-particle":"","family":"Smith","given":"Mari","non-dropping-particle":"","parse-names":false,"suffix":""},{"dropping-particle":"","family":"Szoeke","given":"Cassandra E.I.","non-dropping-particle":"","parse-names":false,"suffix":""},{"dropping-particle":"","family":"Tabarés-Seisdedos","given":"Rafael","non-dropping-particle":"","parse-names":false,"suffix":""},{"dropping-particle":"","family":"Temsah","given":"Mohamad Hani","non-dropping-particle":"","parse-names":false,"suffix":""},{"dropping-particle":"","family":"Temsah","given":"Omar","non-dropping-particle":"","parse-names":false,"suffix":""},{"dropping-particle":"","family":"Tortajada-Girbés","given":"Miguel","non-dropping-particle":"","parse-names":false,"suffix":""},{"dropping-particle":"","family":"Tran","given":"Bach Xuan","non-dropping-particle":"","parse-names":false,"suffix":""},{"dropping-particle":"","family":"Tsegay","given":"Amanuel Amanuel Tesfay","non-dropping-particle":"","parse-names":false,"suffix":""},{"dropping-particle":"","family":"Ullah","given":"Irfan","non-dropping-particle":"","parse-names":false,"suffix":""},{"dropping-particle":"","family":"Venketasubramanian","given":"Narayanaswamy","non-dropping-particle":"","parse-names":false,"suffix":""},{"dropping-particle":"","family":"Westerman","given":"Ronny","non-dropping-particle":"","parse-names":false,"suffix":""},{"dropping-particle":"","family":"Winkler","given":"Andrea Sylvia","non-dropping-particle":"","parse-names":false,"suffix":""},{"dropping-particle":"","family":"Yimer","given":"Ebrahim M.","non-dropping-particle":"","parse-names":false,"suffix":""},{"dropping-particle":"","family":"Yonemoto","given":"Naohiro","non-dropping-particle":"","parse-names":false,"suffix":""},{"dropping-particle":"","family":"Feigin","given":"Valery L.","non-dropping-particle":"","parse-names":false,"suffix":""},{"dropping-particle":"","family":"Vos","given":"Theo","non-dropping-particle":"","parse-names":false,"suffix":""},{"dropping-particle":"","family":"Murray","given":"Christopher J.L.","non-dropping-particle":"","parse-names":false,"suffix":""}],"container-title":"The Lancet Neurology","id":"ITEM-1","issue":"4","issued":{"date-parts":[["2019"]]},"title":"Global, regional, and national burden of epilepsy, 1990–2016: a systematic analysis for the Global Burden of Disease Study 2016","type":"article-journal","volume":"18"},"uris":["http://www.mendeley.com/documents/?uuid=69b00d2b-dcd8-3136-8409-2842572f53f3"]}],"mendeley":{"formattedCitation":"[9]","manualFormatting":"9]","plainTextFormattedCitation":"[9]","previouslyFormattedCitation":"[9]"},"properties":{"noteIndex":0},"schema":"https://github.com/citation-style-language/schema/raw/master/csl-citation.json"}</w:instrText>
      </w:r>
      <w:r w:rsidR="00DF2690" w:rsidRPr="0093582B">
        <w:fldChar w:fldCharType="separate"/>
      </w:r>
      <w:r w:rsidR="003A1608" w:rsidRPr="0093582B">
        <w:rPr>
          <w:noProof/>
        </w:rPr>
        <w:t>9]</w:t>
      </w:r>
      <w:r w:rsidR="00DF2690" w:rsidRPr="0093582B">
        <w:fldChar w:fldCharType="end"/>
      </w:r>
      <w:r w:rsidR="002459C7" w:rsidRPr="0093582B">
        <w:t>.</w:t>
      </w:r>
    </w:p>
    <w:p w:rsidR="00754D37" w:rsidRPr="0093582B" w:rsidRDefault="000F64F6" w:rsidP="0043010F">
      <w:pPr>
        <w:pStyle w:val="2"/>
      </w:pPr>
      <w:bookmarkStart w:id="4" w:name="_Toc104427524"/>
      <w:r w:rsidRPr="0093582B">
        <w:t xml:space="preserve">1.2. </w:t>
      </w:r>
      <w:r w:rsidR="002E62B2" w:rsidRPr="0093582B">
        <w:t>Эпидемиология эпилепсии</w:t>
      </w:r>
      <w:bookmarkEnd w:id="4"/>
    </w:p>
    <w:p w:rsidR="00754D37" w:rsidRPr="0093582B" w:rsidRDefault="000F64F6" w:rsidP="0043010F">
      <w:pPr>
        <w:pStyle w:val="a9"/>
      </w:pPr>
      <w:r w:rsidRPr="0093582B">
        <w:t>Более 50</w:t>
      </w:r>
      <w:r w:rsidR="002E62B2" w:rsidRPr="0093582B">
        <w:t xml:space="preserve"> миллионов человек во всем мире страдают</w:t>
      </w:r>
      <w:r w:rsidR="006D25FC" w:rsidRPr="0093582B">
        <w:t xml:space="preserve"> эпилепсией</w:t>
      </w:r>
      <w:r w:rsidRPr="0093582B">
        <w:t>,</w:t>
      </w:r>
      <w:r w:rsidRPr="0093582B">
        <w:rPr>
          <w:rFonts w:ascii="Times New Roman" w:hAnsi="Times New Roman" w:cs="Times New Roman"/>
          <w:bCs/>
        </w:rPr>
        <w:t xml:space="preserve"> что делает ее одним из самых распространенных неврологических заболеваний во всем мире</w:t>
      </w:r>
      <w:r w:rsidR="002E62B2" w:rsidRPr="0093582B">
        <w:t>.</w:t>
      </w:r>
      <w:r w:rsidR="00921444" w:rsidRPr="0093582B">
        <w:t xml:space="preserve">, На долю активной формы эпилепсии среди общего населения </w:t>
      </w:r>
      <w:r w:rsidR="0043010F" w:rsidRPr="0093582B">
        <w:t xml:space="preserve">приходится от 4 до 10 </w:t>
      </w:r>
      <w:r w:rsidR="00921444" w:rsidRPr="0093582B">
        <w:t>на 1</w:t>
      </w:r>
      <w:r w:rsidR="0043010F" w:rsidRPr="0093582B">
        <w:t xml:space="preserve">000 </w:t>
      </w:r>
      <w:r w:rsidR="00921444" w:rsidRPr="0093582B">
        <w:t>человек</w:t>
      </w:r>
      <w:r w:rsidR="007153B1" w:rsidRPr="0093582B">
        <w:t xml:space="preserve"> </w:t>
      </w:r>
      <w:r w:rsidR="006D25FC" w:rsidRPr="0093582B">
        <w:fldChar w:fldCharType="begin" w:fldLock="1"/>
      </w:r>
      <w:r w:rsidR="00145D01" w:rsidRPr="0093582B">
        <w:instrText>ADDIN CSL_CITATION {"citationItems":[{"id":"ITEM-1","itemData":{"abstract":"pilepsy is one of the most common neurological diseases worldwide, affecting around 50 million people of all ages around the world. The risk of premature death in people with epilepsy is up to three times that of the general population. The lives of people with epilepsy are often impacted by stigma, discrimination and human rights violations. We know that while 80% of people with epilepsy live in low- and middle-income countries, most of them do not have access to treatment. This is despite the availability of effective antiseizure medicines, which can cost as little as US$ 5 per year. A lack of action to address the epilepsy treatment gap has dire consequences for people’s lives and well-being, and impacts social and economic development. This report presents encouraging evidence that almost a quarter of epilepsy cases are preventable and 70% of people with epilepsy can live seizure free with low-cost and effective medicines. As evidence from multiple countries shows, it is feasible to integrate epilepsy into primary health care and thereby ensure that all people with epilepsy have access to quality and affordable treatment and services. If we are to achieve the health-related Sustainable Development Goals (SDGs), it is imperative that we substantially scale up global efforts to address epilepsy. The SDGs include the targets of reducing premature deaths from noncommunicable diseases and promoting mental health and well-being; as well as achieving universal health coverage with access to quality services and effective, affordable essential medicines. The importance of addressing epilepsy was also underlined in a World Health Assembly (WHA) resolution on the global burden of epilepsy in 2015. The resolution requests that WHO provide technical support to countries for epilepsy management, especially those with the lowest access to services and resources, where the burden of epilepsy is greatest. This is the first global report on epilepsy produced by WHO and key partners. It highlights the available evidence on the burden of epilepsy and the public health response required at global, regional and national levels. The report is also an important milestone in re-energizing and translating the WHA resolution into action as it provides guidance to governments, policy-makers and stakeholders as they seek to reduce the disease burden as part of the universal health coverage agenda. I encourage all WHO Member States and partners to build on the findings and reco…","author":[{"dropping-particle":"","family":"World Health Organization","given":"","non-dropping-particle":"","parse-names":false,"suffix":""}],"container-title":"Who","id":"ITEM-1","issued":{"date-parts":[["2019"]]},"title":"WHO | Epilepsy: a public health imperative","type":"book"},"uris":["http://www.mendeley.com/documents/?uuid=4af5e788-9bc1-363d-8f32-31ef2f9e0bce"]}],"mendeley":{"formattedCitation":"[1]","plainTextFormattedCitation":"[1]","previouslyFormattedCitation":"[1]"},"properties":{"noteIndex":0},"schema":"https://github.com/citation-style-language/schema/raw/master/csl-citation.json"}</w:instrText>
      </w:r>
      <w:r w:rsidR="006D25FC" w:rsidRPr="0093582B">
        <w:fldChar w:fldCharType="separate"/>
      </w:r>
      <w:r w:rsidR="00145D01" w:rsidRPr="0093582B">
        <w:rPr>
          <w:noProof/>
        </w:rPr>
        <w:t>[1]</w:t>
      </w:r>
      <w:r w:rsidR="006D25FC" w:rsidRPr="0093582B">
        <w:fldChar w:fldCharType="end"/>
      </w:r>
      <w:r w:rsidR="006D25FC" w:rsidRPr="0093582B">
        <w:t>.</w:t>
      </w:r>
      <w:r w:rsidR="00805708" w:rsidRPr="0093582B">
        <w:t xml:space="preserve"> Согласно определению Международной противоэпилептической Лиги, наличие активной эпилепсии у пациента подразумевает прием противоэпилептических препаратов либо наличие приступов за последние 2 </w:t>
      </w:r>
      <w:r w:rsidR="0043010F" w:rsidRPr="0093582B">
        <w:t>–</w:t>
      </w:r>
      <w:r w:rsidR="00805708" w:rsidRPr="0093582B">
        <w:t xml:space="preserve"> 5 лет </w:t>
      </w:r>
      <w:r w:rsidR="00805708" w:rsidRPr="0093582B">
        <w:fldChar w:fldCharType="begin" w:fldLock="1"/>
      </w:r>
      <w:r w:rsidR="001D36A0" w:rsidRPr="0093582B">
        <w:instrText>ADDIN CSL_CITATION {"citationItems":[{"id":"ITEM-1","itemData":{"DOI":"10.1111/epi.13709","ISSN":"15281167","abstract":"The International League Against Epilepsy (ILAE) Classification of the Epilepsies has been updated to reflect our gain in understanding of the epilepsies and their underlying mechanisms following the major scientific advances that have taken place since the last ratified classification in 1989. As a critical tool for the practicing clinician, epilepsy classification must be relevant and dynamic to changes in thinking, yet robust and translatable to all areas of the globe. Its primary purpose is for diagnosis of patients, but it is also critical for epilepsy research, development of antiepileptic therapies, and communication around the world. The new classification originates from a draft document submitted for public comments in 2013, which was revised to incorporate extensive feedback from the international epilepsy community over several rounds of consultation. It presents three levels, starting with seizure type, where it assumes that the patient is having epileptic seizures as defined by the new 2017 ILAE Seizure Classification. After diagnosis of the seizure type, the next step is diagnosis of epilepsy type, including focal epilepsy, generalized epilepsy, combined generalized, and focal epilepsy, and also an unknown epilepsy group. The third level is that of epilepsy syndrome, where a specific syndromic diagnosis can be made. The new classification incorporates etiology along each stage, emphasizing the need to consider etiology at each step of diagnosis, as it often carries significant treatment implications. Etiology is broken into six subgroups, selected because of their potential therapeutic consequences. New terminology is introduced such as developmental and epileptic encephalopathy. The term benign is replaced by the terms self-limited and pharmacoresponsive, to be used where appropriate. It is hoped that this new framework will assist in improving epilepsy care and research in the 21st century.","author":[{"dropping-particle":"","family":"Scheffer","given":"Ingrid E.","non-dropping-particle":"","parse-names":false,"suffix":""},{"dropping-particle":"","family":"Berkovic","given":"Samuel","non-dropping-particle":"","parse-names":false,"suffix":""},{"dropping-particle":"","family":"Capovilla","given":"Giuseppe","non-dropping-particle":"","parse-names":false,"suffix":""},{"dropping-particle":"","family":"Connolly","given":"Mary B.","non-dropping-particle":"","parse-names":false,"suffix":""},{"dropping-particle":"","family":"French","given":"Jacqueline","non-dropping-particle":"","parse-names":false,"suffix":""},{"dropping-particle":"","family":"Guilhoto","given":"Laura","non-dropping-particle":"","parse-names":false,"suffix":""},{"dropping-particle":"","family":"Hirsch","given":"Edouard","non-dropping-particle":"","parse-names":false,"suffix":""},{"dropping-particle":"","family":"Jain","given":"Satish","non-dropping-particle":"","parse-names":false,"suffix":""},{"dropping-particle":"","family":"Mathern","given":"Gary W.","non-dropping-particle":"","parse-names":false,"suffix":""},{"dropping-particle":"","family":"Moshé","given":"Solomon L.","non-dropping-particle":"","parse-names":false,"suffix":""},{"dropping-particle":"","family":"Nordli","given":"Douglas R.","non-dropping-particle":"","parse-names":false,"suffix":""},{"dropping-particle":"","family":"Perucca","given":"Emilio","non-dropping-particle":"","parse-names":false,"suffix":""},{"dropping-particle":"","family":"Tomson","given":"Torbjörn","non-dropping-particle":"","parse-names":false,"suffix":""},{"dropping-particle":"","family":"Wiebe","given":"Samuel","non-dropping-particle":"","parse-names":false,"suffix":""},{"dropping-particle":"","family":"Zhang","given":"Yue Hua","non-dropping-particle":"","parse-names":false,"suffix":""},{"dropping-particle":"","family":"Zuberi","given":"Sameer M.","non-dropping-particle":"","parse-names":false,"suffix":""}],"container-title":"Epilepsia","id":"ITEM-1","issue":"4","issued":{"date-parts":[["2017"]]},"title":"ILAE classification of the epilepsies: Position paper of the ILAE Commission for Classification and Terminology","type":"article-journal","volume":"58"},"uris":["http://www.mendeley.com/documents/?uuid=174e3988-faae-30f0-be22-0e251075a6da"]}],"mendeley":{"formattedCitation":"[2]","plainTextFormattedCitation":"[2]","previouslyFormattedCitation":"[2]"},"properties":{"noteIndex":0},"schema":"https://github.com/citation-style-language/schema/raw/master/csl-citation.json"}</w:instrText>
      </w:r>
      <w:r w:rsidR="00805708" w:rsidRPr="0093582B">
        <w:fldChar w:fldCharType="separate"/>
      </w:r>
      <w:r w:rsidR="00145D01" w:rsidRPr="0093582B">
        <w:rPr>
          <w:noProof/>
        </w:rPr>
        <w:t>[2]</w:t>
      </w:r>
      <w:r w:rsidR="00805708" w:rsidRPr="0093582B">
        <w:fldChar w:fldCharType="end"/>
      </w:r>
      <w:r w:rsidR="00805708" w:rsidRPr="0093582B">
        <w:t>.</w:t>
      </w:r>
    </w:p>
    <w:p w:rsidR="00754D37" w:rsidRPr="0093582B" w:rsidRDefault="002E62B2" w:rsidP="0043010F">
      <w:pPr>
        <w:pStyle w:val="a9"/>
      </w:pPr>
      <w:r w:rsidRPr="0093582B">
        <w:t>Стандартизированная по возрасту распространенность активной эпилепсии в мире по данным на 2016 год составляет 621.5 на 100000. Распространенность активной эпилепсии увеличивается с возрастом,</w:t>
      </w:r>
      <w:r w:rsidR="004D25F8" w:rsidRPr="0093582B">
        <w:t xml:space="preserve"> достигая максимума к 5-9 годам и у людей старше 80 лет</w:t>
      </w:r>
      <w:r w:rsidRPr="0093582B">
        <w:t>. Заболеваемость эпилепсией в разных странах составляет в среднем 67.77 на 100000 человек</w:t>
      </w:r>
      <w:r w:rsidR="006D25FC" w:rsidRPr="0093582B">
        <w:t xml:space="preserve"> в год </w:t>
      </w:r>
      <w:r w:rsidR="006D25FC" w:rsidRPr="0093582B">
        <w:fldChar w:fldCharType="begin" w:fldLock="1"/>
      </w:r>
      <w:r w:rsidR="003A1608" w:rsidRPr="0093582B">
        <w:instrText>ADDIN CSL_CITATION {"citationItems":[{"id":"ITEM-1","itemData":{"DOI":"10.1212/WNL.0000000000004317","ISSN":"1526632X","abstract":"In the article \"Prevalence and incidence of epilepsy: A systematic review and meta-analysis of international studies\" by K.M. Fiest et al.,1 there are missing and incorrectly cited references in appendix e-3, table e-1, and table e-3. Please find the corrected supplementary materials with the article at Neurology.org. The authors regret these errors and omissions.","container-title":"Neurology","id":"ITEM-1","issue":"6","issued":{"date-parts":[["2017"]]},"title":"Corrections: Prevalence and incidence of epilepsy: A systematic review and meta-analysis of international studies (Neurology (2017) 88 (296-303) DOI: 10.1212/WNL.0000000000003509)","type":"article","volume":"89"},"uris":["http://www.mendeley.com/documents/?uuid=e017d0c5-23e9-342d-a872-9dd5cb8c6c02"]}],"mendeley":{"formattedCitation":"[10]","plainTextFormattedCitation":"[10]","previouslyFormattedCitation":"[10]"},"properties":{"noteIndex":0},"schema":"https://github.com/citation-style-language/schema/raw/master/csl-citation.json"}</w:instrText>
      </w:r>
      <w:r w:rsidR="006D25FC" w:rsidRPr="0093582B">
        <w:fldChar w:fldCharType="separate"/>
      </w:r>
      <w:r w:rsidR="003A1608" w:rsidRPr="0093582B">
        <w:rPr>
          <w:noProof/>
        </w:rPr>
        <w:t>[10]</w:t>
      </w:r>
      <w:r w:rsidR="006D25FC" w:rsidRPr="0093582B">
        <w:fldChar w:fldCharType="end"/>
      </w:r>
      <w:r w:rsidR="006D25FC" w:rsidRPr="0093582B">
        <w:t>.</w:t>
      </w:r>
    </w:p>
    <w:p w:rsidR="00754D37" w:rsidRPr="0093582B" w:rsidRDefault="00516DC0" w:rsidP="0043010F">
      <w:pPr>
        <w:pStyle w:val="a9"/>
      </w:pPr>
      <w:r w:rsidRPr="0093582B">
        <w:t xml:space="preserve">Согласно данным </w:t>
      </w:r>
      <w:r w:rsidR="002E62B2" w:rsidRPr="0093582B">
        <w:t xml:space="preserve">российского эпидемиологического исследования 517624 человек 14 лет и старше в 14 регионах РФ (0.34% населения РФ) </w:t>
      </w:r>
      <w:r w:rsidR="002E62B2" w:rsidRPr="0093582B">
        <w:lastRenderedPageBreak/>
        <w:t>стандартизированное по возрас</w:t>
      </w:r>
      <w:r w:rsidRPr="0093582B">
        <w:t xml:space="preserve">ту значение распространенности </w:t>
      </w:r>
      <w:r w:rsidR="002E62B2" w:rsidRPr="0093582B">
        <w:t xml:space="preserve">составило 3.40 случая на 1000. </w:t>
      </w:r>
      <w:r w:rsidR="00921444" w:rsidRPr="0093582B">
        <w:t>Эпилепсия</w:t>
      </w:r>
      <w:r w:rsidR="00E10E6E" w:rsidRPr="0093582B">
        <w:t xml:space="preserve"> более</w:t>
      </w:r>
      <w:r w:rsidRPr="0093582B">
        <w:t xml:space="preserve"> распространена</w:t>
      </w:r>
      <w:r w:rsidR="002E62B2" w:rsidRPr="0093582B">
        <w:t xml:space="preserve"> в Сибири и на Дальнем Востоке по с</w:t>
      </w:r>
      <w:r w:rsidRPr="0093582B">
        <w:t>равнению с центральной частью России</w:t>
      </w:r>
      <w:r w:rsidR="00E10E6E" w:rsidRPr="0093582B">
        <w:t xml:space="preserve"> и</w:t>
      </w:r>
      <w:r w:rsidRPr="0093582B">
        <w:t xml:space="preserve"> </w:t>
      </w:r>
      <w:r w:rsidR="00722561" w:rsidRPr="0093582B">
        <w:t>больше</w:t>
      </w:r>
      <w:r w:rsidR="002E62B2" w:rsidRPr="0093582B">
        <w:t xml:space="preserve"> в сельской местности по сравнению с крупными городами. Возрастная структура заболеваемости отличалась от наблюдаемой в странах Европы и США – значения заболеваемости были ниже в</w:t>
      </w:r>
      <w:r w:rsidR="006D25FC" w:rsidRPr="0093582B">
        <w:t xml:space="preserve"> старших возрастных группах </w:t>
      </w:r>
      <w:r w:rsidR="006D25FC" w:rsidRPr="0093582B">
        <w:fldChar w:fldCharType="begin" w:fldLock="1"/>
      </w:r>
      <w:r w:rsidR="003A1608" w:rsidRPr="0093582B">
        <w:instrText>ADDIN CSL_CITATION {"citationItems":[{"id":"ITEM-1","itemData":{"DOI":"10.1016/j.eplepsyres.2010.09.011","ISSN":"09201211","abstract":"This study is the first analysis of the epidemiology of epilepsy in the Russian Federation (RF), in the English medical literature. The RF is geographically the largest territory in the world with a population of 142 million. The study evaluated prevalence of epilepsy in older teenagers and adults in 14 regions of the RF with total population of 517,624 persons (about 0.34% of all the population of the RF). Study sites were located in both European (Western population) and Siberian (Eastern population) regions of Russia. We identified 1753 patients with established epilepsy (1033 men, 720 women) from available medical information sources. Epilepsy cases were evaluated by study neurologists or epileptologists; all the patients underwent EEG, one third - neuroimaging.The age adjusted prevalence of epilepsy, standardized to the European Standard Million was 3.40 (95%CI: 3.26-3.55) per 1000. Prevalence was higher among men-4.50 (95%CI: 4.25-4.76) than among women-2.52 (95%CI: 2.35-2.69) (p&lt; 0.0001). Prevalence in the Eastern population was significantly higher than in the Western population. The highest prevalence was found in the age group 50-59 years. Localization-related (focal) epilepsies/epilepsy syndromes were diagnosed in the majority (81.6%). In about one-third of those with localization-related epilepsies etiology remained undetermined. Head injury was the main identified cause of epilepsy, followed by cerebrovascular disorders. Conclusion: The prevalence of epilepsy in the population ≥14 y.o. in Russia is consistent with results of the studies in adults in other European countries, although at lower end of the range. Age and gender trends are similar. © 2010 Elsevier B.V.","author":[{"dropping-particle":"","family":"Guekht","given":"Alla","non-dropping-particle":"","parse-names":false,"suffix":""},{"dropping-particle":"","family":"Hauser","given":"W. Allen","non-dropping-particle":"","parse-names":false,"suffix":""},{"dropping-particle":"","family":"Milchakova","given":"Larissa","non-dropping-particle":"","parse-names":false,"suffix":""},{"dropping-particle":"","family":"Churillin","given":"Yury","non-dropping-particle":"","parse-names":false,"suffix":""},{"dropping-particle":"","family":"Shpak","given":"Alexander","non-dropping-particle":"","parse-names":false,"suffix":""},{"dropping-particle":"","family":"Gusev","given":"Eugene","non-dropping-particle":"","parse-names":false,"suffix":""}],"container-title":"Epilepsy Research","id":"ITEM-1","issue":"2-3","issued":{"date-parts":[["2010"]]},"title":"The epidemiology of epilepsy in the Russian Federation","type":"article-journal","volume":"92"},"uris":["http://www.mendeley.com/documents/?uuid=6f249325-94c8-3cb2-b925-0391e286b94b"]}],"mendeley":{"formattedCitation":"[11]","plainTextFormattedCitation":"[11]","previouslyFormattedCitation":"[11]"},"properties":{"noteIndex":0},"schema":"https://github.com/citation-style-language/schema/raw/master/csl-citation.json"}</w:instrText>
      </w:r>
      <w:r w:rsidR="006D25FC" w:rsidRPr="0093582B">
        <w:fldChar w:fldCharType="separate"/>
      </w:r>
      <w:r w:rsidR="003A1608" w:rsidRPr="0093582B">
        <w:rPr>
          <w:noProof/>
        </w:rPr>
        <w:t>[11]</w:t>
      </w:r>
      <w:r w:rsidR="006D25FC" w:rsidRPr="0093582B">
        <w:fldChar w:fldCharType="end"/>
      </w:r>
      <w:r w:rsidR="002E62B2" w:rsidRPr="0093582B">
        <w:t xml:space="preserve">. </w:t>
      </w:r>
    </w:p>
    <w:p w:rsidR="00754D37" w:rsidRPr="0093582B" w:rsidRDefault="0068118D" w:rsidP="0043010F">
      <w:pPr>
        <w:pStyle w:val="a9"/>
      </w:pPr>
      <w:r w:rsidRPr="0093582B">
        <w:t xml:space="preserve">Регистрируется около 125000 летальных исходов в год среди пациентов с эпилепсией </w:t>
      </w:r>
      <w:r w:rsidR="006D25FC" w:rsidRPr="0093582B">
        <w:fldChar w:fldCharType="begin" w:fldLock="1"/>
      </w:r>
      <w:r w:rsidR="003A1608" w:rsidRPr="0093582B">
        <w:instrText>ADDIN CSL_CITATION {"citationItems":[{"id":"ITEM-1","itemData":{"DOI":"10.1016/S1474-4422(18)30454-X","ISSN":"14744465","abstract":"Background: Seizures and their consequences contribute to the burden of epilepsy because they can cause health loss (premature mortality and residual disability). Data on the burden of epilepsy are needed for health-care planning and resource allocation. The aim of this study was to quantify health loss due to epilepsy by age, sex, year, and location using data from the Global Burden of Diseases, Injuries, and Risk Factors Study. Methods: We assessed the burden of epilepsy in 195 countries and territories from 1990 to 2016. Burden was measured as deaths, prevalence, and disability-adjusted life-years (DALYs; a summary measure of health loss defined by the sum of years of life lost [YLLs] for premature mortality and years lived with disability), by age, sex, year, location, and Socio-demographic Index (SDI; a compound measure of income per capita, education, and fertility). Vital registrations and verbal autopsies provided information about deaths, and data on the prevalence and severity of epilepsy largely came from population representative surveys. All estimates were calculated with 95% uncertainty intervals (UIs). Findings: In 2016, there were 45·9 million (95% UI 39·9–54·6) patients with all-active epilepsy (both idiopathic and secondary epilepsy globally; age-standardised prevalence 621·5 per 100 000 population; 540·1–737·0). Of these patients, 24·0 million (20·4–27·7) had active idiopathic epilepsy (prevalence 326·7 per 100 000 population; 278·4–378·1). Prevalence of active epilepsy increased with age, with peaks at 5–9 years (374·8 [280·1–490·0]) and at older than 80 years of age (545·1 [444·2–652·0]). Age-standardised prevalence of active idiopathic epilepsy was 329·3 per 100 000 population (280·3–381·2) in men and 318·9 per 100 000 population (271·1–369·4) in women, and was similar among SDI quintiles. Global age-standardised mortality rates of idiopathic epilepsy were 1·74 per 100 000 population (1·64–1·87; 1·40 per 100 000 population [1·23–1·54] for women and 2·09 per 100 000 population [1·96–2·25] for men). Age-standardised DALYs were 182·6 per 100 000 population (149·0–223·5; 163·6 per 100 000 population [130·6–204·3] for women and 201·2 per 100 000 population [166·9–241·4] for men). The higher DALY rates in men were due to higher YLL rates compared with women. Between 1990 and 2016, there was a non-significant 6·0% (−4·0 to 16·7) change in the age-standardised prevalence of idiopathic epilepsy, but a significant decrease in age-standardise…","author":[{"dropping-particle":"","family":"Beghi","given":"Ettore","non-dropping-particle":"","parse-names":false,"suffix":""},{"dropping-particle":"","family":"Giussani","given":"Giorgia","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raha","given":"Haftom Niguse","non-dropping-particle":"","parse-names":false,"suffix":""},{"dropping-particle":"","family":"Adib","given":"Mina G.","non-dropping-particle":"","parse-names":false,"suffix":""},{"dropping-particle":"","family":"Agrawal","given":"Sutapa","non-dropping-particle":"","parse-names":false,"suffix":""},{"dropping-particle":"","family":"Alahdab","given":"Fares","non-dropping-particle":"","parse-names":false,"suffix":""},{"dropping-particle":"","family":"Awasthi","given":"Ashish","non-dropping-particle":"","parse-names":false,"suffix":""},{"dropping-particle":"","family":"Ayele","given":"Yohanes","non-dropping-particle":"","parse-names":false,"suffix":""},{"dropping-particle":"","family":"Barboza","given":"Miguel A.","non-dropping-particle":"","parse-names":false,"suffix":""},{"dropping-particle":"","family":"Belachew","given":"Abate Bekele","non-dropping-particle":"","parse-names":false,"suffix":""},{"dropping-particle":"","family":"Biadgo","given":"Belete","non-dropping-particle":"","parse-names":false,"suffix":""},{"dropping-particle":"","family":"Bijani","given":"Ali","non-dropping-particle":"","parse-names":false,"suffix":""},{"dropping-particle":"","family":"Bitew","given":"Helen","non-dropping-particle":"","parse-names":false,"suffix":""},{"dropping-particle":"","family":"Carvalho","given":"Félix","non-dropping-particle":"","parse-names":false,"suffix":""},{"dropping-particle":"","family":"Chaiah","given":"Yazan","non-dropping-particle":"","parse-names":false,"suffix":""},{"dropping-particle":"","family":"Daryani","given":"Ahmad","non-dropping-particle":"","parse-names":false,"suffix":""},{"dropping-particle":"","family":"Do","given":"Huyen Phuc","non-dropping-particle":"","parse-names":false,"suffix":""},{"dropping-particle":"","family":"Dubey","given":"Manisha","non-dropping-particle":"","parse-names":false,"suffix":""},{"dropping-particle":"","family":"Endries","given":"Aman Yesuf Yesuf","non-dropping-particle":"","parse-names":false,"suffix":""},{"dropping-particle":"","family":"Eskandarieh","given":"Sharareh","non-dropping-particle":"","parse-names":false,"suffix":""},{"dropping-particle":"","family":"Faro","given":"Andre","non-dropping-particle":"","parse-names":false,"suffix":""},{"dropping-particle":"","family":"Farzadfar","given":"Farshad","non-dropping-particle":"","parse-names":false,"suffix":""},{"dropping-particle":"","family":"Fereshtehnejad","given":"Seyed Mohammad","non-dropping-particle":"","parse-names":false,"suffix":""},{"dropping-particle":"","family":"Fernandes","given":"Eduarda","non-dropping-particle":"","parse-names":false,"suffix":""},{"dropping-particle":"","family":"Fijabi","given":"Daniel Obadare","non-dropping-particle":"","parse-names":false,"suffix":""},{"dropping-particle":"","family":"Filip","given":"Irina","non-dropping-particle":"","parse-names":false,"suffix":""},{"dropping-particle":"","family":"Fischer","given":"Florian","non-dropping-particle":"","parse-names":false,"suffix":""},{"dropping-particle":"","family":"Gebre","given":"Abadi Kahsu","non-dropping-particle":"","parse-names":false,"suffix":""},{"dropping-particle":"","family":"Tsadik","given":"Afewerki Gebremeskel","non-dropping-particle":"","parse-names":false,"suffix":""},{"dropping-particle":"","family":"Gebremichael","given":"Teklu Gebrehiwo","non-dropping-particle":"","parse-names":false,"suffix":""},{"dropping-particle":"","family":"Gezae","given":"Kebede Embaye","non-dropping-particle":"","parse-names":false,"suffix":""},{"dropping-particle":"","family":"Ghasemi-Kasman","given":"Maryam","non-dropping-particle":"","parse-names":false,"suffix":""},{"dropping-particle":"","family":"Weldegwergs","given":"Kidu Gidey","non-dropping-particle":"","parse-names":false,"suffix":""},{"dropping-particle":"","family":"Degefa","given":"Meaza Girma","non-dropping-particle":"","parse-names":false,"suffix":""},{"dropping-particle":"V.","family":"Gnedovskaya","given":"Elena","non-dropping-particle":"","parse-names":false,"suffix":""},{"dropping-particle":"","family":"Hagos","given":"Tekleberhan B.","non-dropping-particle":"","parse-names":false,"suffix":""},{"dropping-particle":"","family":"Haj-Mirzaian","given":"Arvin","non-dropping-particle":"","parse-names":false,"suffix":""},{"dropping-particle":"","family":"Haj-Mirzaian","given":"Arya","non-dropping-particle":"","parse-names":false,"suffix":""},{"dropping-particle":"","family":"Hassen","given":"Hamid Yimam","non-dropping-particle":"","parse-names":false,"suffix":""},{"dropping-particle":"","family":"Hay","given":"Simon I.","non-dropping-particle":"","parse-names":false,"suffix":""},{"dropping-particle":"","family":"Jakovljevic","given":"Mihajlo","non-dropping-particle":"","parse-names":false,"suffix":""},{"dropping-particle":"","family":"Kasaeian","given":"Amir","non-dropping-particle":"","parse-names":false,"suffix":""},{"dropping-particle":"","family":"Kassa","given":"Tesfaye Dessale","non-dropping-particle":"","parse-names":false,"suffix":""},{"dropping-particle":"","family":"Khader","given":"Yousef Saleh","non-dropping-particle":"","parse-names":false,"suffix":""},{"dropping-particle":"","family":"Khalil","given":"Ibrahim","non-dropping-particle":"","parse-names":false,"suffix":""},{"dropping-particle":"","family":"Khan","given":"Ejaz Ahmad","non-dropping-particle":"","parse-names":false,"suffix":""},{"dropping-particle":"","family":"Khubchandani","given":"Jagdish","non-dropping-particle":"","parse-names":false,"suffix":""},{"dropping-particle":"","family":"Kisa","given":"Adnan","non-dropping-particle":"","parse-names":false,"suffix":""},{"dropping-particle":"","family":"Krohn","given":"Kristopher J.","non-dropping-particle":"","parse-names":false,"suffix":""},{"dropping-particle":"","family":"Kulkarni","given":"Chanda","non-dropping-particle":"","parse-names":false,"suffix":""},{"dropping-particle":"","family":"Nirayo","given":"Yirga Legesse","non-dropping-particle":"","parse-names":false,"suffix":""},{"dropping-particle":"","family":"Mackay","given":"Mark T.","non-dropping-particle":"","parse-names":false,"suffix":""},{"dropping-particle":"","family":"Majdan","given":"Marek","non-dropping-particle":"","parse-names":false,"suffix":""},{"dropping-particle":"","family":"Majeed","given":"Azeem","non-dropping-particle":"","parse-names":false,"suffix":""},{"dropping-particle":"","family":"Manhertz","given":"Treh","non-dropping-particle":"","parse-names":false,"suffix":""},{"dropping-particle":"","family":"Mehndiratta","given":"Man Mohan","non-dropping-particle":"","parse-names":false,"suffix":""},{"dropping-particle":"","family":"Mekonen","given":"Tesfa","non-dropping-particle":"","parse-names":false,"suffix":""},{"dropping-particle":"","family":"Meles","given":"Hagazi Gebre","non-dropping-particle":"","parse-names":false,"suffix":""},{"dropping-particle":"","family":"Mengistu","given":"Getnet","non-dropping-particle":"","parse-names":false,"suffix":""},{"dropping-particle":"","family":"Mohammed","given":"Shafiu","non-dropping-particle":"","parse-names":false,"suffix":""},{"dropping-particle":"","family":"Naghavi","given":"Mohsen","non-dropping-particle":"","parse-names":false,"suffix":""},{"dropping-particle":"","family":"Mokdad","given":"Ali H.","non-dropping-particle":"","parse-names":false,"suffix":""},{"dropping-particle":"","family":"Mustafa","given":"Ghulam","non-dropping-particle":"","parse-names":false,"suffix":""},{"dropping-particle":"","family":"Irvani","given":"Seyed Sina Naghibi","non-dropping-particle":"","parse-names":false,"suffix":""},{"dropping-particle":"","family":"Nguyen","given":"Long Hoang","non-dropping-particle":"","parse-names":false,"suffix":""},{"dropping-particle":"","family":"Nichols","given":"Emma","non-dropping-particle":"","parse-names":false,"suffix":""},{"dropping-particle":"","family":"Nixon","given":"Molly R.","non-dropping-particle":"","parse-names":false,"suffix":""},{"dropping-particle":"","family":"Ogbo","given":"Felix Akpojene","non-dropping-particle":"","parse-names":false,"suffix":""},{"dropping-particle":"","family":"Olagunju","given":"Andrew T.","non-dropping-particle":"","parse-names":false,"suffix":""},{"dropping-particle":"","family":"Olagunju","given":"Tinuke O.","non-dropping-particle":"","parse-names":false,"suffix":""},{"dropping-particle":"","family":"Owolabi","given":"Mayowa Ojo","non-dropping-particle":"","parse-names":false,"suffix":""},{"dropping-particle":"","family":"Phillips","given":"Michael R.","non-dropping-particle":"","parse-names":false,"suffix":""},{"dropping-particle":"","family":"Pinilla-Monsalve","given":"Gabriel David","non-dropping-particle":"","parse-names":false,"suffix":""},{"dropping-particle":"","family":"Qorbani","given":"Mostafa","non-dropping-particle":"","parse-names":false,"suffix":""},{"dropping-particle":"","family":"Radfar","given":"Amir","non-dropping-particle":"","parse-names":false,"suffix":""},{"dropping-particle":"","family":"Rafay","given":"Anwar","non-dropping-particle":"","parse-names":false,"suffix":""},{"dropping-particle":"","family":"Rahimi-Movaghar","given":"Vafa","non-dropping-particle":"","parse-names":false,"suffix":""},{"dropping-particle":"","family":"Reinig","given":"Nickolas","non-dropping-particle":"","parse-names":false,"suffix":""},{"dropping-particle":"","family":"Sachdev","given":"Perminder S.","non-dropping-particle":"","parse-names":false,"suffix":""},{"dropping-particle":"","family":"Safari","given":"Hosein","non-dropping-particle":"","parse-names":false,"suffix":""},{"dropping-particle":"","family":"Safari","given":"Saeed","non-dropping-particle":"","parse-names":false,"suffix":""},{"dropping-particle":"","family":"Safiri","given":"Saeid","non-dropping-particle":"","parse-names":false,"suffix":""},{"dropping-particle":"","family":"Sahraian","given":"Mohammad Ali","non-dropping-particle":"","parse-names":false,"suffix":""},{"dropping-particle":"","family":"Samy","given":"Abdallah M.","non-dropping-particle":"","parse-names":false,"suffix":""},{"dropping-particle":"","family":"Sarvi","given":"Shahabeddin","non-dropping-particle":"","parse-names":false,"suffix":""},{"dropping-particle":"","family":"Sawhney","given":"Monika","non-dropping-particle":"","parse-names":false,"suffix":""},{"dropping-particle":"","family":"Shaikh","given":"Masood A.","non-dropping-particle":"","parse-names":false,"suffix":""},{"dropping-particle":"","family":"Sharif","given":"Mehdi","non-dropping-particle":"","parse-names":false,"suffix":""},{"dropping-particle":"","family":"Singh","given":"Gagandeep","non-dropping-particle":"","parse-names":false,"suffix":""},{"dropping-particle":"","family":"Smith","given":"Mari","non-dropping-particle":"","parse-names":false,"suffix":""},{"dropping-particle":"","family":"Szoeke","given":"Cassandra E.I.","non-dropping-particle":"","parse-names":false,"suffix":""},{"dropping-particle":"","family":"Tabarés-Seisdedos","given":"Rafael","non-dropping-particle":"","parse-names":false,"suffix":""},{"dropping-particle":"","family":"Temsah","given":"Mohamad Hani","non-dropping-particle":"","parse-names":false,"suffix":""},{"dropping-particle":"","family":"Temsah","given":"Omar","non-dropping-particle":"","parse-names":false,"suffix":""},{"dropping-particle":"","family":"Tortajada-Girbés","given":"Miguel","non-dropping-particle":"","parse-names":false,"suffix":""},{"dropping-particle":"","family":"Tran","given":"Bach Xuan","non-dropping-particle":"","parse-names":false,"suffix":""},{"dropping-particle":"","family":"Tsegay","given":"Amanuel Amanuel Tesfay","non-dropping-particle":"","parse-names":false,"suffix":""},{"dropping-particle":"","family":"Ullah","given":"Irfan","non-dropping-particle":"","parse-names":false,"suffix":""},{"dropping-particle":"","family":"Venketasubramanian","given":"Narayanaswamy","non-dropping-particle":"","parse-names":false,"suffix":""},{"dropping-particle":"","family":"Westerman","given":"Ronny","non-dropping-particle":"","parse-names":false,"suffix":""},{"dropping-particle":"","family":"Winkler","given":"Andrea Sylvia","non-dropping-particle":"","parse-names":false,"suffix":""},{"dropping-particle":"","family":"Yimer","given":"Ebrahim M.","non-dropping-particle":"","parse-names":false,"suffix":""},{"dropping-particle":"","family":"Yonemoto","given":"Naohiro","non-dropping-particle":"","parse-names":false,"suffix":""},{"dropping-particle":"","family":"Feigin","given":"Valery L.","non-dropping-particle":"","parse-names":false,"suffix":""},{"dropping-particle":"","family":"Vos","given":"Theo","non-dropping-particle":"","parse-names":false,"suffix":""},{"dropping-particle":"","family":"Murray","given":"Christopher J.L.","non-dropping-particle":"","parse-names":false,"suffix":""}],"container-title":"The Lancet Neurology","id":"ITEM-1","issue":"4","issued":{"date-parts":[["2019"]]},"title":"Global, regional, and national burden of epilepsy, 1990–2016: a systematic analysis for the Global Burden of Disease Study 2016","type":"article-journal","volume":"18"},"uris":["http://www.mendeley.com/documents/?uuid=69b00d2b-dcd8-3136-8409-2842572f53f3"]}],"mendeley":{"formattedCitation":"[9]","plainTextFormattedCitation":"[9]","previouslyFormattedCitation":"[9]"},"properties":{"noteIndex":0},"schema":"https://github.com/citation-style-language/schema/raw/master/csl-citation.json"}</w:instrText>
      </w:r>
      <w:r w:rsidR="006D25FC" w:rsidRPr="0093582B">
        <w:fldChar w:fldCharType="separate"/>
      </w:r>
      <w:r w:rsidR="003A1608" w:rsidRPr="0093582B">
        <w:rPr>
          <w:noProof/>
        </w:rPr>
        <w:t>[9]</w:t>
      </w:r>
      <w:r w:rsidR="006D25FC" w:rsidRPr="0093582B">
        <w:fldChar w:fldCharType="end"/>
      </w:r>
      <w:r w:rsidRPr="0093582B">
        <w:t xml:space="preserve">. </w:t>
      </w:r>
      <w:r w:rsidR="00916FB7" w:rsidRPr="0093582B">
        <w:t xml:space="preserve">Эпилепсия в странах с низким и средним уровнем дохода имеет высокую преждевременную смертность, как и в странах с высоким уровнем дохода. Однако странах с низким и средним уровнем дохода избыточная смертность может быть вызвана модифицируемыми факторами риска, связанными с отсутствием доступа к специализированным медицинским учреждениям и профильным специалистам, высоким травматизмом в момент приступа (ожоги, ЗЧМТ). Избыточная смертность таких пациентов может быть существенно снижена путем информирования о риске преждевременной смерти, с также за счет улучшения доступа к медицинской помощи и ПЭП. </w:t>
      </w:r>
      <w:r w:rsidR="006D25FC" w:rsidRPr="0093582B">
        <w:fldChar w:fldCharType="begin" w:fldLock="1"/>
      </w:r>
      <w:r w:rsidR="007153B1" w:rsidRPr="0093582B">
        <w:instrText>ADDIN CSL_CITATION {"citationItems":[{"id":"ITEM-1","itemData":{"DOI":"10.1111/epi.14068","ISSN":"15281167","abstract":"Among the causes of epilepsy are several that are currently preventable. In this review, we summarize the public health burden of epilepsy arising from such causes and suggest priorities for primary epilepsy prevention. We conducted a systematic review of published epidemiologic studies of epilepsy of 4 preventable etiologic categories—perinatal insults, traumatic brain injury (TBI), central nervous system (CNS) infection, and stroke. Applying consistent criteria, we assessed the quality of each study and extracted data on measures of risk from those with adequate quality ratings, summarizing findings across studies as medians and interquartile ranges. Among higher-quality population-based studies, the median prevalence of active epilepsy across all ages was 11.1 per 1000 population in lower- and middle-income countries (LMIC) and 7.0 per 1000 in high-income countries (HIC). Perinatal brain insults were the largest attributable fraction of preventable etiologies in children, with median estimated fractions of 17% in LMIC and 15% in HIC. Stroke was the most common preventable etiology among older adults with epilepsy, both in LMIC and in HIC, accounting for half or more of all new onset cases. TBI was the attributed cause in nearly 5% of epilepsy cases in HIC and LMIC. CNS infections were a more common attributed cause in LMIC, accounting for about 5% of all epilepsy cases. Among some rural LMIC communities, the median proportion of epilepsy cases attributable to endemic neurocysticercosis was 34%. A large proportion of the overall public health burden of epilepsy is attributable to preventable causes. The attributable fraction for perinatal causes, infections, TBI, and stroke in sum reaches nearly 25% in both LMIC and HIC. Public health interventions addressing maternal and child health care, immunizations, public sanitation, brain injury prevention, and stroke prevention have the potential to significantly reduce the burden of epilepsy.","author":[{"dropping-particle":"","family":"Thurman","given":"David J.","non-dropping-particle":"","parse-names":false,"suffix":""},{"dropping-particle":"","family":"Begley","given":"Charles E.","non-dropping-particle":"","parse-names":false,"suffix":""},{"dropping-particle":"","family":"Carpio","given":"Arturo","non-dropping-particle":"","parse-names":false,"suffix":""},{"dropping-particle":"","family":"Helmers","given":"Sandra","non-dropping-particle":"","parse-names":false,"suffix":""},{"dropping-particle":"","family":"Hesdorffer","given":"Dale C.","non-dropping-particle":"","parse-names":false,"suffix":""},{"dropping-particle":"","family":"Mu","given":"Jie","non-dropping-particle":"","parse-names":false,"suffix":""},{"dropping-particle":"","family":"Touré","given":"Kamadore","non-dropping-particle":"","parse-names":false,"suffix":""},{"dropping-particle":"","family":"Parko","given":"Karen L.","non-dropping-particle":"","parse-names":false,"suffix":""},{"dropping-particle":"","family":"Newton","given":"Charles R.","non-dropping-particle":"","parse-names":false,"suffix":""}],"container-title":"Epilepsia","id":"ITEM-1","issue":"5","issued":{"date-parts":[["2018"]]},"title":"The primary prevention of epilepsy: A report of the Prevention Task Force of the International League Against Epilepsy","type":"article","volume":"59"},"uris":["http://www.mendeley.com/documents/?uuid=f5ad705a-61b8-33b8-9de2-2af46a0d2af2"]}],"mendeley":{"formattedCitation":"[12]","manualFormatting":"[12","plainTextFormattedCitation":"[12]","previouslyFormattedCitation":"[12]"},"properties":{"noteIndex":0},"schema":"https://github.com/citation-style-language/schema/raw/master/csl-citation.json"}</w:instrText>
      </w:r>
      <w:r w:rsidR="006D25FC" w:rsidRPr="0093582B">
        <w:fldChar w:fldCharType="separate"/>
      </w:r>
      <w:r w:rsidR="003A1608" w:rsidRPr="0093582B">
        <w:rPr>
          <w:noProof/>
        </w:rPr>
        <w:t>[12</w:t>
      </w:r>
      <w:r w:rsidR="006D25FC" w:rsidRPr="0093582B">
        <w:fldChar w:fldCharType="end"/>
      </w:r>
      <w:r w:rsidR="006D25FC" w:rsidRPr="0093582B">
        <w:fldChar w:fldCharType="begin" w:fldLock="1"/>
      </w:r>
      <w:r w:rsidR="00F06B3C" w:rsidRPr="0093582B">
        <w:instrText>ADDIN CSL_CITATION {"citationItems":[{"id":"ITEM-1","itemData":{"author":[{"dropping-particle":"","family":"Александров М.В.","given":"и соавт.","non-dropping-particle":"","parse-names":false,"suffix":""}],"container-title":"Российский нейрохирургический журнал им. профессора А.П. Поленова","id":"ITEM-1","issued":{"date-parts":[["2017"]]},"page":"5-9","title":"Структурно-функциональная организация эпилептического очага. Российский нейрохирургический журнал им. профессора А.П. Поленова","type":"article-journal"},"uris":["http://www.mendeley.com/documents/?uuid=9b482de4-1ab7-343a-a2fd-217d03788885"]}],"mendeley":{"formattedCitation":"[13]","manualFormatting":", 13]","plainTextFormattedCitation":"[13]","previouslyFormattedCitation":"[13]"},"properties":{"noteIndex":0},"schema":"https://github.com/citation-style-language/schema/raw/master/csl-citation.json"}</w:instrText>
      </w:r>
      <w:r w:rsidR="006D25FC" w:rsidRPr="0093582B">
        <w:fldChar w:fldCharType="separate"/>
      </w:r>
      <w:r w:rsidR="007153B1" w:rsidRPr="0093582B">
        <w:rPr>
          <w:noProof/>
        </w:rPr>
        <w:t xml:space="preserve">, </w:t>
      </w:r>
      <w:r w:rsidR="003A1608" w:rsidRPr="0093582B">
        <w:rPr>
          <w:noProof/>
        </w:rPr>
        <w:t>13]</w:t>
      </w:r>
      <w:r w:rsidR="006D25FC" w:rsidRPr="0093582B">
        <w:fldChar w:fldCharType="end"/>
      </w:r>
      <w:r w:rsidR="002E62B2" w:rsidRPr="0093582B">
        <w:t>.</w:t>
      </w:r>
      <w:r w:rsidRPr="0093582B">
        <w:t xml:space="preserve"> </w:t>
      </w:r>
    </w:p>
    <w:p w:rsidR="00754D37" w:rsidRPr="0093582B" w:rsidRDefault="002E62B2" w:rsidP="0043010F">
      <w:pPr>
        <w:pStyle w:val="a9"/>
      </w:pPr>
      <w:r w:rsidRPr="0093582B">
        <w:t xml:space="preserve">Преждевременная смертность больных эпилепсией обусловлена в том числе </w:t>
      </w:r>
      <w:r w:rsidR="00516DC0" w:rsidRPr="0093582B">
        <w:t xml:space="preserve">и </w:t>
      </w:r>
      <w:r w:rsidR="00916FB7" w:rsidRPr="0093582B">
        <w:t>суицидальной наклонностью</w:t>
      </w:r>
      <w:r w:rsidRPr="0093582B">
        <w:t>, а также</w:t>
      </w:r>
      <w:r w:rsidR="00516DC0" w:rsidRPr="0093582B">
        <w:t xml:space="preserve"> высокой распространенностью среди пациентов соматической и психиатрической патологии</w:t>
      </w:r>
      <w:r w:rsidRPr="0093582B">
        <w:t xml:space="preserve"> </w:t>
      </w:r>
      <w:r w:rsidR="006D25FC" w:rsidRPr="0093582B">
        <w:fldChar w:fldCharType="begin" w:fldLock="1"/>
      </w:r>
      <w:r w:rsidR="003A1608" w:rsidRPr="0093582B">
        <w:instrText>ADDIN CSL_CITATION {"citationItems":[{"id":"ITEM-1","itemData":{"author":[{"dropping-particle":"","family":"Гусев Е.И. и соавт.","given":"","non-dropping-particle":"","parse-names":false,"suffix":""}],"container-title":"Болезни мозга – медицинские и социальные аспекты – материалы международной конференции.Под редакцией Е.И. Гусева А.Б.Г. Москва: Буки-Веди","id":"ITEM-1","issued":{"date-parts":[["2016"]]},"page":"27-46","title":"Эпидемиология и медико-социальные аспекты болезней мозга в РФ.","type":"article-journal"},"uris":["http://www.mendeley.com/documents/?uuid=53450cd7-22da-3a2d-babe-bab1fa5c9cbf"]}],"mendeley":{"formattedCitation":"[14]","plainTextFormattedCitation":"[14]","previouslyFormattedCitation":"[14]"},"properties":{"noteIndex":0},"schema":"https://github.com/citation-style-language/schema/raw/master/csl-citation.json"}</w:instrText>
      </w:r>
      <w:r w:rsidR="006D25FC" w:rsidRPr="0093582B">
        <w:fldChar w:fldCharType="separate"/>
      </w:r>
      <w:r w:rsidR="003A1608" w:rsidRPr="0093582B">
        <w:rPr>
          <w:noProof/>
        </w:rPr>
        <w:t>[14]</w:t>
      </w:r>
      <w:r w:rsidR="006D25FC" w:rsidRPr="0093582B">
        <w:fldChar w:fldCharType="end"/>
      </w:r>
      <w:r w:rsidR="000F64F6" w:rsidRPr="0093582B">
        <w:t>.</w:t>
      </w:r>
    </w:p>
    <w:p w:rsidR="00754D37" w:rsidRPr="0093582B" w:rsidRDefault="00516DC0" w:rsidP="0043010F">
      <w:pPr>
        <w:pStyle w:val="a9"/>
      </w:pPr>
      <w:r w:rsidRPr="0093582B">
        <w:t xml:space="preserve">Среди причин </w:t>
      </w:r>
      <w:r w:rsidR="002E62B2" w:rsidRPr="0093582B">
        <w:t>смерти</w:t>
      </w:r>
      <w:r w:rsidRPr="0093582B">
        <w:t xml:space="preserve"> пациентов с эпилепсией отдельно выделяют синдром внезапной смерти при эпилепсии - </w:t>
      </w:r>
      <w:r w:rsidR="002E62B2" w:rsidRPr="0093582B">
        <w:t xml:space="preserve">SUDEP, частота </w:t>
      </w:r>
      <w:r w:rsidR="0072760F" w:rsidRPr="0093582B">
        <w:t>которого</w:t>
      </w:r>
      <w:r w:rsidR="002E62B2" w:rsidRPr="0093582B">
        <w:t xml:space="preserve"> среди молодых людей с эпилепсией, в особенности фармакорезистентной, по </w:t>
      </w:r>
      <w:r w:rsidRPr="0093582B">
        <w:t xml:space="preserve">данным различных исследований </w:t>
      </w:r>
      <w:r w:rsidR="002E62B2" w:rsidRPr="0093582B">
        <w:t xml:space="preserve">в 24-27 раз </w:t>
      </w:r>
      <w:r w:rsidR="000F64F6" w:rsidRPr="0093582B">
        <w:t xml:space="preserve">выше, чем в общей популяции </w:t>
      </w:r>
      <w:r w:rsidR="000F64F6" w:rsidRPr="0093582B">
        <w:fldChar w:fldCharType="begin" w:fldLock="1"/>
      </w:r>
      <w:r w:rsidR="003A1608" w:rsidRPr="0093582B">
        <w:instrText>ADDIN CSL_CITATION {"citationItems":[{"id":"ITEM-1","itemData":{"DOI":"10.1111/epi.12328","ISSN":"00139580","abstract":"Purpose Patients with epilepsy are at increased risk of premature death from all causes and likely also from sudden unexplained death (SUD). Many patients with epilepsy have significant comorbidity, and it is unclear how much of the increased risk can be explained by epilepsy itself. We aimed to chart the incidence of sudden unexpected death in epilepsy (SUDEP) and estimate the risk of death from all causes and SUD conferred by epilepsy independently. Methods We conducted a historical cohort study using data from Danish registries and a complete manual review of all death certificates. The population studied consisted of all Danish residents in the age group 1-35 years, in the period 2000-2006 (inclusive), and the main outcome measures were risk of death and SUD. Key Findings We identified 33,022 subjects with epilepsy (median follow-up 3.7 years) and 3,001,952 subjects without (median follow-up 7.0 years). Among 685 deaths in the population with epilepsy, we identified 50 cases of definite and probable SUDEP corresponding to an incidence rate of 41.1 (95% confidence interval [CI] 31.6-54.9) per 100,000 person-years. Incidence rates increased with age from 17.6 (95% CI 9.5-32.8) in the age group 1-18 years to 73.8 (95% CI 52.5-103.8) for the age group 24-35 years. Having epilepsy increased the crude risk of death with a hazard ratio (HR) of 11.9 (95% CI 11.0-12.9). When adjusting for sex and comorbidities often encountered in patients with epilepsy (neurologic disease including cerebral palsy, psychiatric disease including mental retardation, and congenital disorders), as well as the Charlson comorbidity score, the HR fell to 5.4 (95% CI 4.9-6.0). The crude HR for SUD was 27.5 (95% CI 18.1-41.8) and fell to 16.3 (95% CI 9.8-26.9) when adjusted for the same covariates as above. Significance Epilepsy in and of itself carries a significant risk of premature death and SUD. These findings highlight the potential gains of risk factor modification for the prevention of premature death and SUDEP in patients with epilepsy. © Wiley Periodicals, Inc. © 2013 International League Against Epilepsy.","author":[{"dropping-particle":"","family":"Holst","given":"Anders Gaarsdal","non-dropping-particle":"","parse-names":false,"suffix":""},{"dropping-particle":"","family":"Winkel","given":"Bo Gregers","non-dropping-particle":"","parse-names":false,"suffix":""},{"dropping-particle":"","family":"Risgaard","given":"Bjarke","non-dropping-particle":"","parse-names":false,"suffix":""},{"dropping-particle":"","family":"Nielsen","given":"Jonas Bille","non-dropping-particle":"","parse-names":false,"suffix":""},{"dropping-particle":"","family":"Rasmussen","given":"Peter Vibe","non-dropping-particle":"","parse-names":false,"suffix":""},{"dropping-particle":"","family":"Haunsø","given":"Stig","non-dropping-particle":"","parse-names":false,"suffix":""},{"dropping-particle":"","family":"Sabers","given":"Anne","non-dropping-particle":"","parse-names":false,"suffix":""},{"dropping-particle":"","family":"Uldall","given":"Peter","non-dropping-particle":"","parse-names":false,"suffix":""},{"dropping-particle":"","family":"Tfelt-Hansen","given":"Jacob","non-dropping-particle":"","parse-names":false,"suffix":""}],"container-title":"Epilepsia","id":"ITEM-1","issue":"9","issued":{"date-parts":[["2013"]]},"title":"Epilepsy and risk of death and sudden unexpected death in the young: A nationwide study","type":"article-journal","volume":"54"},"uris":["http://www.mendeley.com/documents/?uuid=32efff2a-12a1-3625-951e-eedd52b54a74"]}],"mendeley":{"formattedCitation":"[15]","plainTextFormattedCitation":"[15]","previouslyFormattedCitation":"[15]"},"properties":{"noteIndex":0},"schema":"https://github.com/citation-style-language/schema/raw/master/csl-citation.json"}</w:instrText>
      </w:r>
      <w:r w:rsidR="000F64F6" w:rsidRPr="0093582B">
        <w:fldChar w:fldCharType="separate"/>
      </w:r>
      <w:r w:rsidR="003A1608" w:rsidRPr="0093582B">
        <w:rPr>
          <w:noProof/>
        </w:rPr>
        <w:t>[15]</w:t>
      </w:r>
      <w:r w:rsidR="000F64F6" w:rsidRPr="0093582B">
        <w:fldChar w:fldCharType="end"/>
      </w:r>
      <w:r w:rsidR="002E62B2" w:rsidRPr="0093582B">
        <w:t>.</w:t>
      </w:r>
    </w:p>
    <w:p w:rsidR="00516DC0" w:rsidRPr="0093582B" w:rsidRDefault="00DA27E4" w:rsidP="0043010F">
      <w:pPr>
        <w:pStyle w:val="a9"/>
      </w:pPr>
      <w:r w:rsidRPr="0093582B">
        <w:rPr>
          <w:rFonts w:ascii="Times New Roman" w:hAnsi="Times New Roman" w:cs="Times New Roman"/>
        </w:rPr>
        <w:t xml:space="preserve">В </w:t>
      </w:r>
      <w:r w:rsidR="00516DC0" w:rsidRPr="0093582B">
        <w:rPr>
          <w:rFonts w:ascii="Times New Roman" w:hAnsi="Times New Roman" w:cs="Times New Roman"/>
        </w:rPr>
        <w:t>этиологии заболевания структурная эпилепсия занимает второе место после эпилепсии неизвестной этиологии</w:t>
      </w:r>
      <w:r w:rsidR="00722561" w:rsidRPr="0093582B">
        <w:rPr>
          <w:rFonts w:ascii="Times New Roman" w:hAnsi="Times New Roman" w:cs="Times New Roman"/>
        </w:rPr>
        <w:t xml:space="preserve"> (17.5 случаев на 100000 человек)</w:t>
      </w:r>
      <w:r w:rsidR="00516DC0" w:rsidRPr="0093582B">
        <w:rPr>
          <w:rFonts w:ascii="Times New Roman" w:hAnsi="Times New Roman" w:cs="Times New Roman"/>
        </w:rPr>
        <w:t xml:space="preserve">. </w:t>
      </w:r>
      <w:r w:rsidR="00343B26" w:rsidRPr="0093582B">
        <w:rPr>
          <w:rFonts w:ascii="Times New Roman" w:hAnsi="Times New Roman" w:cs="Times New Roman"/>
        </w:rPr>
        <w:t xml:space="preserve"> </w:t>
      </w:r>
      <w:r w:rsidR="00516DC0" w:rsidRPr="0093582B">
        <w:rPr>
          <w:rFonts w:ascii="Times New Roman" w:hAnsi="Times New Roman" w:cs="Times New Roman"/>
        </w:rPr>
        <w:t xml:space="preserve">Доля структурной эпилепсии </w:t>
      </w:r>
      <w:r w:rsidR="00343B26" w:rsidRPr="0093582B">
        <w:rPr>
          <w:rFonts w:ascii="Times New Roman" w:hAnsi="Times New Roman" w:cs="Times New Roman"/>
        </w:rPr>
        <w:t>по данным</w:t>
      </w:r>
      <w:r w:rsidR="008813F8" w:rsidRPr="0093582B">
        <w:rPr>
          <w:rFonts w:ascii="Times New Roman" w:hAnsi="Times New Roman" w:cs="Times New Roman"/>
        </w:rPr>
        <w:t xml:space="preserve"> систематического обзора</w:t>
      </w:r>
      <w:r w:rsidR="00343B26" w:rsidRPr="0093582B">
        <w:rPr>
          <w:rFonts w:ascii="Times New Roman" w:hAnsi="Times New Roman" w:cs="Times New Roman"/>
        </w:rPr>
        <w:t xml:space="preserve"> </w:t>
      </w:r>
      <w:r w:rsidR="008813F8" w:rsidRPr="0093582B">
        <w:rPr>
          <w:rFonts w:ascii="Times New Roman" w:hAnsi="Times New Roman" w:cs="Times New Roman"/>
        </w:rPr>
        <w:t xml:space="preserve">Beghi E. </w:t>
      </w:r>
      <w:r w:rsidR="00516DC0" w:rsidRPr="0093582B">
        <w:rPr>
          <w:rFonts w:ascii="Times New Roman" w:hAnsi="Times New Roman" w:cs="Times New Roman"/>
        </w:rPr>
        <w:t xml:space="preserve">составила </w:t>
      </w:r>
      <w:r w:rsidR="00722561" w:rsidRPr="0093582B">
        <w:rPr>
          <w:rFonts w:ascii="Times New Roman" w:hAnsi="Times New Roman" w:cs="Times New Roman"/>
        </w:rPr>
        <w:t xml:space="preserve">17.2 </w:t>
      </w:r>
      <w:r w:rsidR="00516DC0" w:rsidRPr="0093582B">
        <w:rPr>
          <w:rFonts w:ascii="Times New Roman" w:hAnsi="Times New Roman" w:cs="Times New Roman"/>
        </w:rPr>
        <w:t>случаев</w:t>
      </w:r>
      <w:r w:rsidR="00722561" w:rsidRPr="0093582B">
        <w:rPr>
          <w:rFonts w:ascii="Times New Roman" w:hAnsi="Times New Roman" w:cs="Times New Roman"/>
        </w:rPr>
        <w:t xml:space="preserve"> на 100000 человек </w:t>
      </w:r>
      <w:r w:rsidR="00722561" w:rsidRPr="0093582B">
        <w:rPr>
          <w:rFonts w:ascii="Times New Roman" w:hAnsi="Times New Roman" w:cs="Times New Roman"/>
        </w:rPr>
        <w:fldChar w:fldCharType="begin" w:fldLock="1"/>
      </w:r>
      <w:r w:rsidR="003A1608" w:rsidRPr="0093582B">
        <w:rPr>
          <w:rFonts w:ascii="Times New Roman" w:hAnsi="Times New Roman" w:cs="Times New Roman"/>
        </w:rPr>
        <w:instrText>ADDIN CSL_CITATION {"citationItems":[{"id":"ITEM-1","itemData":{"DOI":"10.1016/S1474-4422(18)30454-X","ISSN":"14744465","abstract":"Background: Seizures and their consequences contribute to the burden of epilepsy because they can cause health loss (premature mortality and residual disability). Data on the burden of epilepsy are needed for health-care planning and resource allocation. The aim of this study was to quantify health loss due to epilepsy by age, sex, year, and location using data from the Global Burden of Diseases, Injuries, and Risk Factors Study. Methods: We assessed the burden of epilepsy in 195 countries and territories from 1990 to 2016. Burden was measured as deaths, prevalence, and disability-adjusted life-years (DALYs; a summary measure of health loss defined by the sum of years of life lost [YLLs] for premature mortality and years lived with disability), by age, sex, year, location, and Socio-demographic Index (SDI; a compound measure of income per capita, education, and fertility). Vital registrations and verbal autopsies provided information about deaths, and data on the prevalence and severity of epilepsy largely came from population representative surveys. All estimates were calculated with 95% uncertainty intervals (UIs). Findings: In 2016, there were 45·9 million (95% UI 39·9–54·6) patients with all-active epilepsy (both idiopathic and secondary epilepsy globally; age-standardised prevalence 621·5 per 100 000 population; 540·1–737·0). Of these patients, 24·0 million (20·4–27·7) had active idiopathic epilepsy (prevalence 326·7 per 100 000 population; 278·4–378·1). Prevalence of active epilepsy increased with age, with peaks at 5–9 years (374·8 [280·1–490·0]) and at older than 80 years of age (545·1 [444·2–652·0]). Age-standardised prevalence of active idiopathic epilepsy was 329·3 per 100 000 population (280·3–381·2) in men and 318·9 per 100 000 population (271·1–369·4) in women, and was similar among SDI quintiles. Global age-standardised mortality rates of idiopathic epilepsy were 1·74 per 100 000 population (1·64–1·87; 1·40 per 100 000 population [1·23–1·54] for women and 2·09 per 100 000 population [1·96–2·25] for men). Age-standardised DALYs were 182·6 per 100 000 population (149·0–223·5; 163·6 per 100 000 population [130·6–204·3] for women and 201·2 per 100 000 population [166·9–241·4] for men). The higher DALY rates in men were due to higher YLL rates compared with women. Between 1990 and 2016, there was a non-significant 6·0% (−4·0 to 16·7) change in the age-standardised prevalence of idiopathic epilepsy, but a significant decrease in age-standardise…","author":[{"dropping-particle":"","family":"Beghi","given":"Ettore","non-dropping-particle":"","parse-names":false,"suffix":""},{"dropping-particle":"","family":"Giussani","given":"Giorgia","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raha","given":"Haftom Niguse","non-dropping-particle":"","parse-names":false,"suffix":""},{"dropping-particle":"","family":"Adib","given":"Mina G.","non-dropping-particle":"","parse-names":false,"suffix":""},{"dropping-particle":"","family":"Agrawal","given":"Sutapa","non-dropping-particle":"","parse-names":false,"suffix":""},{"dropping-particle":"","family":"Alahdab","given":"Fares","non-dropping-particle":"","parse-names":false,"suffix":""},{"dropping-particle":"","family":"Awasthi","given":"Ashish","non-dropping-particle":"","parse-names":false,"suffix":""},{"dropping-particle":"","family":"Ayele","given":"Yohanes","non-dropping-particle":"","parse-names":false,"suffix":""},{"dropping-particle":"","family":"Barboza","given":"Miguel A.","non-dropping-particle":"","parse-names":false,"suffix":""},{"dropping-particle":"","family":"Belachew","given":"Abate Bekele","non-dropping-particle":"","parse-names":false,"suffix":""},{"dropping-particle":"","family":"Biadgo","given":"Belete","non-dropping-particle":"","parse-names":false,"suffix":""},{"dropping-particle":"","family":"Bijani","given":"Ali","non-dropping-particle":"","parse-names":false,"suffix":""},{"dropping-particle":"","family":"Bitew","given":"Helen","non-dropping-particle":"","parse-names":false,"suffix":""},{"dropping-particle":"","family":"Carvalho","given":"Félix","non-dropping-particle":"","parse-names":false,"suffix":""},{"dropping-particle":"","family":"Chaiah","given":"Yazan","non-dropping-particle":"","parse-names":false,"suffix":""},{"dropping-particle":"","family":"Daryani","given":"Ahmad","non-dropping-particle":"","parse-names":false,"suffix":""},{"dropping-particle":"","family":"Do","given":"Huyen Phuc","non-dropping-particle":"","parse-names":false,"suffix":""},{"dropping-particle":"","family":"Dubey","given":"Manisha","non-dropping-particle":"","parse-names":false,"suffix":""},{"dropping-particle":"","family":"Endries","given":"Aman Yesuf Yesuf","non-dropping-particle":"","parse-names":false,"suffix":""},{"dropping-particle":"","family":"Eskandarieh","given":"Sharareh","non-dropping-particle":"","parse-names":false,"suffix":""},{"dropping-particle":"","family":"Faro","given":"Andre","non-dropping-particle":"","parse-names":false,"suffix":""},{"dropping-particle":"","family":"Farzadfar","given":"Farshad","non-dropping-particle":"","parse-names":false,"suffix":""},{"dropping-particle":"","family":"Fereshtehnejad","given":"Seyed Mohammad","non-dropping-particle":"","parse-names":false,"suffix":""},{"dropping-particle":"","family":"Fernandes","given":"Eduarda","non-dropping-particle":"","parse-names":false,"suffix":""},{"dropping-particle":"","family":"Fijabi","given":"Daniel Obadare","non-dropping-particle":"","parse-names":false,"suffix":""},{"dropping-particle":"","family":"Filip","given":"Irina","non-dropping-particle":"","parse-names":false,"suffix":""},{"dropping-particle":"","family":"Fischer","given":"Florian","non-dropping-particle":"","parse-names":false,"suffix":""},{"dropping-particle":"","family":"Gebre","given":"Abadi Kahsu","non-dropping-particle":"","parse-names":false,"suffix":""},{"dropping-particle":"","family":"Tsadik","given":"Afewerki Gebremeskel","non-dropping-particle":"","parse-names":false,"suffix":""},{"dropping-particle":"","family":"Gebremichael","given":"Teklu Gebrehiwo","non-dropping-particle":"","parse-names":false,"suffix":""},{"dropping-particle":"","family":"Gezae","given":"Kebede Embaye","non-dropping-particle":"","parse-names":false,"suffix":""},{"dropping-particle":"","family":"Ghasemi-Kasman","given":"Maryam","non-dropping-particle":"","parse-names":false,"suffix":""},{"dropping-particle":"","family":"Weldegwergs","given":"Kidu Gidey","non-dropping-particle":"","parse-names":false,"suffix":""},{"dropping-particle":"","family":"Degefa","given":"Meaza Girma","non-dropping-particle":"","parse-names":false,"suffix":""},{"dropping-particle":"V.","family":"Gnedovskaya","given":"Elena","non-dropping-particle":"","parse-names":false,"suffix":""},{"dropping-particle":"","family":"Hagos","given":"Tekleberhan B.","non-dropping-particle":"","parse-names":false,"suffix":""},{"dropping-particle":"","family":"Haj-Mirzaian","given":"Arvin","non-dropping-particle":"","parse-names":false,"suffix":""},{"dropping-particle":"","family":"Haj-Mirzaian","given":"Arya","non-dropping-particle":"","parse-names":false,"suffix":""},{"dropping-particle":"","family":"Hassen","given":"Hamid Yimam","non-dropping-particle":"","parse-names":false,"suffix":""},{"dropping-particle":"","family":"Hay","given":"Simon I.","non-dropping-particle":"","parse-names":false,"suffix":""},{"dropping-particle":"","family":"Jakovljevic","given":"Mihajlo","non-dropping-particle":"","parse-names":false,"suffix":""},{"dropping-particle":"","family":"Kasaeian","given":"Amir","non-dropping-particle":"","parse-names":false,"suffix":""},{"dropping-particle":"","family":"Kassa","given":"Tesfaye Dessale","non-dropping-particle":"","parse-names":false,"suffix":""},{"dropping-particle":"","family":"Khader","given":"Yousef Saleh","non-dropping-particle":"","parse-names":false,"suffix":""},{"dropping-particle":"","family":"Khalil","given":"Ibrahim","non-dropping-particle":"","parse-names":false,"suffix":""},{"dropping-particle":"","family":"Khan","given":"Ejaz Ahmad","non-dropping-particle":"","parse-names":false,"suffix":""},{"dropping-particle":"","family":"Khubchandani","given":"Jagdish","non-dropping-particle":"","parse-names":false,"suffix":""},{"dropping-particle":"","family":"Kisa","given":"Adnan","non-dropping-particle":"","parse-names":false,"suffix":""},{"dropping-particle":"","family":"Krohn","given":"Kristopher J.","non-dropping-particle":"","parse-names":false,"suffix":""},{"dropping-particle":"","family":"Kulkarni","given":"Chanda","non-dropping-particle":"","parse-names":false,"suffix":""},{"dropping-particle":"","family":"Nirayo","given":"Yirga Legesse","non-dropping-particle":"","parse-names":false,"suffix":""},{"dropping-particle":"","family":"Mackay","given":"Mark T.","non-dropping-particle":"","parse-names":false,"suffix":""},{"dropping-particle":"","family":"Majdan","given":"Marek","non-dropping-particle":"","parse-names":false,"suffix":""},{"dropping-particle":"","family":"Majeed","given":"Azeem","non-dropping-particle":"","parse-names":false,"suffix":""},{"dropping-particle":"","family":"Manhertz","given":"Treh","non-dropping-particle":"","parse-names":false,"suffix":""},{"dropping-particle":"","family":"Mehndiratta","given":"Man Mohan","non-dropping-particle":"","parse-names":false,"suffix":""},{"dropping-particle":"","family":"Mekonen","given":"Tesfa","non-dropping-particle":"","parse-names":false,"suffix":""},{"dropping-particle":"","family":"Meles","given":"Hagazi Gebre","non-dropping-particle":"","parse-names":false,"suffix":""},{"dropping-particle":"","family":"Mengistu","given":"Getnet","non-dropping-particle":"","parse-names":false,"suffix":""},{"dropping-particle":"","family":"Mohammed","given":"Shafiu","non-dropping-particle":"","parse-names":false,"suffix":""},{"dropping-particle":"","family":"Naghavi","given":"Mohsen","non-dropping-particle":"","parse-names":false,"suffix":""},{"dropping-particle":"","family":"Mokdad","given":"Ali H.","non-dropping-particle":"","parse-names":false,"suffix":""},{"dropping-particle":"","family":"Mustafa","given":"Ghulam","non-dropping-particle":"","parse-names":false,"suffix":""},{"dropping-particle":"","family":"Irvani","given":"Seyed Sina Naghibi","non-dropping-particle":"","parse-names":false,"suffix":""},{"dropping-particle":"","family":"Nguyen","given":"Long Hoang","non-dropping-particle":"","parse-names":false,"suffix":""},{"dropping-particle":"","family":"Nichols","given":"Emma","non-dropping-particle":"","parse-names":false,"suffix":""},{"dropping-particle":"","family":"Nixon","given":"Molly R.","non-dropping-particle":"","parse-names":false,"suffix":""},{"dropping-particle":"","family":"Ogbo","given":"Felix Akpojene","non-dropping-particle":"","parse-names":false,"suffix":""},{"dropping-particle":"","family":"Olagunju","given":"Andrew T.","non-dropping-particle":"","parse-names":false,"suffix":""},{"dropping-particle":"","family":"Olagunju","given":"Tinuke O.","non-dropping-particle":"","parse-names":false,"suffix":""},{"dropping-particle":"","family":"Owolabi","given":"Mayowa Ojo","non-dropping-particle":"","parse-names":false,"suffix":""},{"dropping-particle":"","family":"Phillips","given":"Michael R.","non-dropping-particle":"","parse-names":false,"suffix":""},{"dropping-particle":"","family":"Pinilla-Monsalve","given":"Gabriel David","non-dropping-particle":"","parse-names":false,"suffix":""},{"dropping-particle":"","family":"Qorbani","given":"Mostafa","non-dropping-particle":"","parse-names":false,"suffix":""},{"dropping-particle":"","family":"Radfar","given":"Amir","non-dropping-particle":"","parse-names":false,"suffix":""},{"dropping-particle":"","family":"Rafay","given":"Anwar","non-dropping-particle":"","parse-names":false,"suffix":""},{"dropping-particle":"","family":"Rahimi-Movaghar","given":"Vafa","non-dropping-particle":"","parse-names":false,"suffix":""},{"dropping-particle":"","family":"Reinig","given":"Nickolas","non-dropping-particle":"","parse-names":false,"suffix":""},{"dropping-particle":"","family":"Sachdev","given":"Perminder S.","non-dropping-particle":"","parse-names":false,"suffix":""},{"dropping-particle":"","family":"Safari","given":"Hosein","non-dropping-particle":"","parse-names":false,"suffix":""},{"dropping-particle":"","family":"Safari","given":"Saeed","non-dropping-particle":"","parse-names":false,"suffix":""},{"dropping-particle":"","family":"Safiri","given":"Saeid","non-dropping-particle":"","parse-names":false,"suffix":""},{"dropping-particle":"","family":"Sahraian","given":"Mohammad Ali","non-dropping-particle":"","parse-names":false,"suffix":""},{"dropping-particle":"","family":"Samy","given":"Abdallah M.","non-dropping-particle":"","parse-names":false,"suffix":""},{"dropping-particle":"","family":"Sarvi","given":"Shahabeddin","non-dropping-particle":"","parse-names":false,"suffix":""},{"dropping-particle":"","family":"Sawhney","given":"Monika","non-dropping-particle":"","parse-names":false,"suffix":""},{"dropping-particle":"","family":"Shaikh","given":"Masood A.","non-dropping-particle":"","parse-names":false,"suffix":""},{"dropping-particle":"","family":"Sharif","given":"Mehdi","non-dropping-particle":"","parse-names":false,"suffix":""},{"dropping-particle":"","family":"Singh","given":"Gagandeep","non-dropping-particle":"","parse-names":false,"suffix":""},{"dropping-particle":"","family":"Smith","given":"Mari","non-dropping-particle":"","parse-names":false,"suffix":""},{"dropping-particle":"","family":"Szoeke","given":"Cassandra E.I.","non-dropping-particle":"","parse-names":false,"suffix":""},{"dropping-particle":"","family":"Tabarés-Seisdedos","given":"Rafael","non-dropping-particle":"","parse-names":false,"suffix":""},{"dropping-particle":"","family":"Temsah","given":"Mohamad Hani","non-dropping-particle":"","parse-names":false,"suffix":""},{"dropping-particle":"","family":"Temsah","given":"Omar","non-dropping-particle":"","parse-names":false,"suffix":""},{"dropping-particle":"","family":"Tortajada-Girbés","given":"Miguel","non-dropping-particle":"","parse-names":false,"suffix":""},{"dropping-particle":"","family":"Tran","given":"Bach Xuan","non-dropping-particle":"","parse-names":false,"suffix":""},{"dropping-particle":"","family":"Tsegay","given":"Amanuel Amanuel Tesfay","non-dropping-particle":"","parse-names":false,"suffix":""},{"dropping-particle":"","family":"Ullah","given":"Irfan","non-dropping-particle":"","parse-names":false,"suffix":""},{"dropping-particle":"","family":"Venketasubramanian","given":"Narayanaswamy","non-dropping-particle":"","parse-names":false,"suffix":""},{"dropping-particle":"","family":"Westerman","given":"Ronny","non-dropping-particle":"","parse-names":false,"suffix":""},{"dropping-particle":"","family":"Winkler","given":"Andrea Sylvia","non-dropping-particle":"","parse-names":false,"suffix":""},{"dropping-particle":"","family":"Yimer","given":"Ebrahim M.","non-dropping-particle":"","parse-names":false,"suffix":""},{"dropping-particle":"","family":"Yonemoto","given":"Naohiro","non-dropping-particle":"","parse-names":false,"suffix":""},{"dropping-particle":"","family":"Feigin","given":"Valery L.","non-dropping-particle":"","parse-names":false,"suffix":""},{"dropping-particle":"","family":"Vos","given":"Theo","non-dropping-particle":"","parse-names":false,"suffix":""},{"dropping-particle":"","family":"Murray","given":"Christopher J.L.","non-dropping-particle":"","parse-names":false,"suffix":""}],"container-title":"The Lancet Neurology","id":"ITEM-1","issue":"4","issued":{"date-parts":[["2019"]]},"title":"Global, regional, and national burden of epilepsy, 1990–2016: a systematic analysis for the Global Burden of Disease Study 2016","type":"article-journal","volume":"18"},"uris":["http://www.mendeley.com/documents/?uuid=69b00d2b-dcd8-3136-8409-2842572f53f3"]}],"mendeley":{"formattedCitation":"[9]","plainTextFormattedCitation":"[9]","previouslyFormattedCitation":"[9]"},"properties":{"noteIndex":0},"schema":"https://github.com/citation-style-language/schema/raw/master/csl-citation.json"}</w:instrText>
      </w:r>
      <w:r w:rsidR="00722561" w:rsidRPr="0093582B">
        <w:rPr>
          <w:rFonts w:ascii="Times New Roman" w:hAnsi="Times New Roman" w:cs="Times New Roman"/>
        </w:rPr>
        <w:fldChar w:fldCharType="separate"/>
      </w:r>
      <w:r w:rsidR="003A1608" w:rsidRPr="0093582B">
        <w:rPr>
          <w:rFonts w:ascii="Times New Roman" w:hAnsi="Times New Roman" w:cs="Times New Roman"/>
          <w:noProof/>
        </w:rPr>
        <w:t>[9]</w:t>
      </w:r>
      <w:r w:rsidR="00722561" w:rsidRPr="0093582B">
        <w:rPr>
          <w:rFonts w:ascii="Times New Roman" w:hAnsi="Times New Roman" w:cs="Times New Roman"/>
        </w:rPr>
        <w:fldChar w:fldCharType="end"/>
      </w:r>
      <w:r w:rsidR="00516DC0" w:rsidRPr="0093582B">
        <w:rPr>
          <w:rFonts w:ascii="Times New Roman" w:hAnsi="Times New Roman" w:cs="Times New Roman"/>
        </w:rPr>
        <w:t>.</w:t>
      </w:r>
      <w:r w:rsidR="008813F8" w:rsidRPr="0093582B">
        <w:rPr>
          <w:rFonts w:ascii="Times New Roman" w:hAnsi="Times New Roman" w:cs="Times New Roman"/>
        </w:rPr>
        <w:t xml:space="preserve"> Данные были получены в </w:t>
      </w:r>
      <w:r w:rsidR="00C51814" w:rsidRPr="0093582B">
        <w:rPr>
          <w:rFonts w:ascii="Times New Roman" w:hAnsi="Times New Roman" w:cs="Times New Roman"/>
        </w:rPr>
        <w:t xml:space="preserve">популяционном исследовании США в 1980-1984 годах </w:t>
      </w:r>
      <w:r w:rsidR="00C51814" w:rsidRPr="0093582B">
        <w:rPr>
          <w:rFonts w:ascii="Times New Roman" w:hAnsi="Times New Roman" w:cs="Times New Roman"/>
        </w:rPr>
        <w:fldChar w:fldCharType="begin" w:fldLock="1"/>
      </w:r>
      <w:r w:rsidR="003A1608" w:rsidRPr="0093582B">
        <w:rPr>
          <w:rFonts w:ascii="Times New Roman" w:hAnsi="Times New Roman" w:cs="Times New Roman"/>
        </w:rPr>
        <w:instrText>ADDIN CSL_CITATION {"citationItems":[{"id":"ITEM-1","itemData":{"DOI":"10.1111/j.1528-1157.1999.tb01587.x","ISSN":"00139580","abstract":"Purpose: To determine the incidence and the distribution of epileptic syndromes in a well-defined population. Methods: By using the records-linkage system of the Rochester Epidemiology Project, we screened all the residents of Rochester, Minnesota, who received a diagnosis of seizures, convulsions, or epilepsy from 1980 through 1984. One hundred fifty-seven residents with incident epilepsy (recurrent unprovoked seizures) were classified by using the International League Against Epilepsy (ILAE) Classification of the Epilepsies and Epileptic Syndromes. Residents with special syndromes were excluded. With a pretested algorithm, patients were classified at three levels of specification: major syndromic groups (e.g., localization-related syndromes), syndromic subgroups (e.g., idiopathic epilepsy with age-related onset), and whenever possible, individual syndromes. Results: All but one patient were classified into major syndromic groups and subgroups. The annual age-adjusted incidence per 100,000 population was 52.3 cases (34.9 for localization-related epilepsies; 7.7 for generalized epilepsies; 9.7 for undetermined epilepsies). Incidence was 0.2 for idiopathic, 17.2 for cryptogenic, 17.5 for symptomatic localization-related epilepsies, 3.7 for idiopathic, 1.7 for symptomatic or cryptogenic (age-related), and 2.3 for symptomatic (non age-related) generalized epilepsies. Conclusions: With the exception of idiopathic epilepsies, the incidence of the major syndromic categories in our study was higher than that provided by previous population- based studies.","author":[{"dropping-particle":"","family":"Zarrelli","given":"Michele M.","non-dropping-particle":"","parse-names":false,"suffix":""},{"dropping-particle":"","family":"Beghi","given":"Ettore","non-dropping-particle":"","parse-names":false,"suffix":""},{"dropping-particle":"","family":"Rocca","given":"Walter A.","non-dropping-particle":"","parse-names":false,"suffix":""},{"dropping-particle":"","family":"Hauser","given":"W. Allen","non-dropping-particle":"","parse-names":false,"suffix":""}],"container-title":"Epilepsia","id":"ITEM-1","issue":"12","issued":{"date-parts":[["1999"]]},"title":"Incidence of epileptic syndromes in Rochester, Minnesota: 1980-1984","type":"article-journal","volume":"40"},"uris":["http://www.mendeley.com/documents/?uuid=1faeb783-ac0f-3237-b50d-5fd01afc8549"]}],"mendeley":{"formattedCitation":"[16]","plainTextFormattedCitation":"[16]","previouslyFormattedCitation":"[16]"},"properties":{"noteIndex":0},"schema":"https://github.com/citation-style-language/schema/raw/master/csl-citation.json"}</w:instrText>
      </w:r>
      <w:r w:rsidR="00C51814" w:rsidRPr="0093582B">
        <w:rPr>
          <w:rFonts w:ascii="Times New Roman" w:hAnsi="Times New Roman" w:cs="Times New Roman"/>
        </w:rPr>
        <w:fldChar w:fldCharType="separate"/>
      </w:r>
      <w:r w:rsidR="003A1608" w:rsidRPr="0093582B">
        <w:rPr>
          <w:rFonts w:ascii="Times New Roman" w:hAnsi="Times New Roman" w:cs="Times New Roman"/>
          <w:noProof/>
        </w:rPr>
        <w:t>[16]</w:t>
      </w:r>
      <w:r w:rsidR="00C51814" w:rsidRPr="0093582B">
        <w:rPr>
          <w:rFonts w:ascii="Times New Roman" w:hAnsi="Times New Roman" w:cs="Times New Roman"/>
        </w:rPr>
        <w:fldChar w:fldCharType="end"/>
      </w:r>
      <w:r w:rsidR="00C51814" w:rsidRPr="0093582B">
        <w:rPr>
          <w:rFonts w:ascii="Times New Roman" w:hAnsi="Times New Roman" w:cs="Times New Roman"/>
        </w:rPr>
        <w:t xml:space="preserve">, современные источники в основном </w:t>
      </w:r>
      <w:r w:rsidR="00C51814" w:rsidRPr="0093582B">
        <w:rPr>
          <w:rFonts w:ascii="Times New Roman" w:hAnsi="Times New Roman" w:cs="Times New Roman"/>
        </w:rPr>
        <w:lastRenderedPageBreak/>
        <w:t>рассматривают эпидемиологию не по этиологическому фактору, а по типу приступов</w:t>
      </w:r>
      <w:r w:rsidR="00014C14" w:rsidRPr="0093582B">
        <w:rPr>
          <w:rFonts w:ascii="Times New Roman" w:hAnsi="Times New Roman" w:cs="Times New Roman"/>
        </w:rPr>
        <w:t xml:space="preserve"> или локализации очага. В</w:t>
      </w:r>
      <w:r w:rsidR="00C51814" w:rsidRPr="0093582B">
        <w:rPr>
          <w:rFonts w:ascii="Times New Roman" w:hAnsi="Times New Roman" w:cs="Times New Roman"/>
        </w:rPr>
        <w:t xml:space="preserve"> </w:t>
      </w:r>
      <w:r w:rsidR="00014C14" w:rsidRPr="0093582B">
        <w:rPr>
          <w:rFonts w:ascii="Times New Roman" w:hAnsi="Times New Roman" w:cs="Times New Roman"/>
        </w:rPr>
        <w:t xml:space="preserve">обзоре Мухина К.Ю. отмечается что височная форма составляет 25% всех форм структурных форм эпилепсии </w:t>
      </w:r>
      <w:r w:rsidR="00014C14" w:rsidRPr="0093582B">
        <w:rPr>
          <w:rFonts w:ascii="Times New Roman" w:hAnsi="Times New Roman" w:cs="Times New Roman"/>
        </w:rPr>
        <w:fldChar w:fldCharType="begin" w:fldLock="1"/>
      </w:r>
      <w:r w:rsidR="003A1608" w:rsidRPr="0093582B">
        <w:rPr>
          <w:rFonts w:ascii="Times New Roman" w:hAnsi="Times New Roman" w:cs="Times New Roman"/>
        </w:rPr>
        <w:instrText>ADDIN CSL_CITATION {"citationItems":[{"id":"ITEM-1","itemData":{"author":[{"dropping-particle":"","family":"Мухин К.Ю.","given":"","non-dropping-particle":"","parse-names":false,"suffix":""}],"container-title":"Российский журнал детской","id":"ITEM-1","issued":{"date-parts":[["2008"]]},"page":"41-60","title":"Палеокортикальная височная эпилепсия, обусловленная мезиальным височным склерозом: клиника, диагностика и лечение (обзор литературы)","type":"article-journal"},"uris":["http://www.mendeley.com/documents/?uuid=f5b13f12-83da-465f-84d9-789022d6702f"]}],"mendeley":{"formattedCitation":"[17]","plainTextFormattedCitation":"[17]","previouslyFormattedCitation":"[17]"},"properties":{"noteIndex":0},"schema":"https://github.com/citation-style-language/schema/raw/master/csl-citation.json"}</w:instrText>
      </w:r>
      <w:r w:rsidR="00014C14" w:rsidRPr="0093582B">
        <w:rPr>
          <w:rFonts w:ascii="Times New Roman" w:hAnsi="Times New Roman" w:cs="Times New Roman"/>
        </w:rPr>
        <w:fldChar w:fldCharType="separate"/>
      </w:r>
      <w:r w:rsidR="003A1608" w:rsidRPr="0093582B">
        <w:rPr>
          <w:rFonts w:ascii="Times New Roman" w:hAnsi="Times New Roman" w:cs="Times New Roman"/>
          <w:noProof/>
        </w:rPr>
        <w:t>[17]</w:t>
      </w:r>
      <w:r w:rsidR="00014C14" w:rsidRPr="0093582B">
        <w:rPr>
          <w:rFonts w:ascii="Times New Roman" w:hAnsi="Times New Roman" w:cs="Times New Roman"/>
        </w:rPr>
        <w:fldChar w:fldCharType="end"/>
      </w:r>
      <w:r w:rsidR="0043010F" w:rsidRPr="0093582B">
        <w:rPr>
          <w:rFonts w:ascii="Times New Roman" w:hAnsi="Times New Roman" w:cs="Times New Roman"/>
        </w:rPr>
        <w:t>.</w:t>
      </w:r>
    </w:p>
    <w:p w:rsidR="00754D37" w:rsidRPr="0093582B" w:rsidRDefault="002E62B2" w:rsidP="0043010F">
      <w:pPr>
        <w:pStyle w:val="a9"/>
      </w:pPr>
      <w:r w:rsidRPr="0093582B">
        <w:t xml:space="preserve">Несмотря на </w:t>
      </w:r>
      <w:r w:rsidR="0043010F" w:rsidRPr="0093582B">
        <w:t>совершенствование</w:t>
      </w:r>
      <w:r w:rsidRPr="0093582B">
        <w:t xml:space="preserve"> методов диагностики и лечения, показатели смертности и инвалидности при эпилепсии </w:t>
      </w:r>
      <w:r w:rsidR="00343B26" w:rsidRPr="0093582B">
        <w:t>остаются</w:t>
      </w:r>
      <w:r w:rsidR="008B709D" w:rsidRPr="0093582B">
        <w:t xml:space="preserve"> высокими. </w:t>
      </w:r>
      <w:r w:rsidRPr="0093582B">
        <w:t>Применительно к эпидемиоло</w:t>
      </w:r>
      <w:r w:rsidR="000F64F6" w:rsidRPr="0093582B">
        <w:t xml:space="preserve">гическим исследованиям </w:t>
      </w:r>
      <w:r w:rsidR="00685D24" w:rsidRPr="0093582B">
        <w:rPr>
          <w:rFonts w:ascii="Times New Roman" w:hAnsi="Times New Roman" w:cs="Times New Roman"/>
        </w:rPr>
        <w:t xml:space="preserve">изменение определения </w:t>
      </w:r>
      <w:r w:rsidR="000F64F6" w:rsidRPr="0093582B">
        <w:t>эпилепсии, которая</w:t>
      </w:r>
      <w:r w:rsidRPr="0093582B">
        <w:t xml:space="preserve"> теперь включает значительное количество случаев с единичными неспровоцированными при</w:t>
      </w:r>
      <w:r w:rsidR="00805708" w:rsidRPr="0093582B">
        <w:t>ступами</w:t>
      </w:r>
      <w:r w:rsidRPr="0093582B">
        <w:t>, повлияет</w:t>
      </w:r>
      <w:r w:rsidR="00343B26" w:rsidRPr="0093582B">
        <w:t xml:space="preserve"> на </w:t>
      </w:r>
      <w:r w:rsidR="00805708" w:rsidRPr="0093582B">
        <w:t>показатели заболеваемости</w:t>
      </w:r>
      <w:r w:rsidRPr="0093582B">
        <w:t>, распространенност</w:t>
      </w:r>
      <w:r w:rsidR="00343B26" w:rsidRPr="0093582B">
        <w:t>и</w:t>
      </w:r>
      <w:r w:rsidRPr="0093582B">
        <w:t xml:space="preserve"> и смертност</w:t>
      </w:r>
      <w:r w:rsidR="00343B26" w:rsidRPr="0093582B">
        <w:t>и</w:t>
      </w:r>
      <w:r w:rsidR="0043010F" w:rsidRPr="0093582B">
        <w:t xml:space="preserve"> от эпилепсии в будущем.</w:t>
      </w:r>
    </w:p>
    <w:p w:rsidR="00754D37" w:rsidRPr="0093582B" w:rsidRDefault="00722561" w:rsidP="008B709D">
      <w:pPr>
        <w:pStyle w:val="2"/>
      </w:pPr>
      <w:bookmarkStart w:id="5" w:name="_Toc104427525"/>
      <w:r w:rsidRPr="0093582B">
        <w:t xml:space="preserve">1.3. </w:t>
      </w:r>
      <w:r w:rsidR="002619AB" w:rsidRPr="0093582B">
        <w:t>Понятие фармакорезистентной эпилепсии</w:t>
      </w:r>
      <w:bookmarkEnd w:id="5"/>
    </w:p>
    <w:p w:rsidR="002619AB" w:rsidRPr="0093582B" w:rsidRDefault="002619AB" w:rsidP="008B709D">
      <w:pPr>
        <w:pStyle w:val="a9"/>
      </w:pPr>
      <w:r w:rsidRPr="0093582B">
        <w:t>Фармакорезистентная эпилепсия (ФРЭ)</w:t>
      </w:r>
      <w:r w:rsidR="008B709D" w:rsidRPr="0093582B">
        <w:t xml:space="preserve"> </w:t>
      </w:r>
      <w:r w:rsidRPr="0093582B">
        <w:t xml:space="preserve">– форма эпилепсии, не поддающаяся адекватному контролю над приступами, несмотря на лечение двумя ПЭП в виде монотерапии или в комбинации. Доля больных с ФРЭ варьирует от 20 до 30% </w:t>
      </w:r>
      <w:r w:rsidRPr="0093582B">
        <w:fldChar w:fldCharType="begin" w:fldLock="1"/>
      </w:r>
      <w:r w:rsidR="003A1608" w:rsidRPr="0093582B">
        <w:instrText>ADDIN CSL_CITATION {"citationItems":[{"id":"ITEM-1","itemData":{"DOI":"10.1111/epi.14596","ISSN":"15281167","abstract":"Objective: The definition of drug-resistant epilepsy (DRE) affects case identification and treatment, and impacts prevalence or incidence estimates and health burden estimation in epidemiology. The objective of this systematic review is to evaluate the consistency between definitions of DRE in the literature and the official definition in the International League Against Epilepsy (ILAE) guidelines, and to estimate the incidence, prevalence, and risk factors for DRE. Methods: MEDLINE and EMBASE were searched for observational studies of DRE published between January 1980 and July 2015. The definitions of DRE in these studies were compared with the definition in the ILAE guidelines. Random-effect model meta-analyses were used to generate pooled estimates of prevalence or incidence and pooled odds ratios of the association with risk factors. Results: Thirty-five studies met inclusion criteria, including 13 080 epilepsy patients and 3941 patients with DRE. The definition of DRE varied widely across studies, with only 12% meeting the requirements of the ILAE definition. The pooled prevalence proportion of DRE among epilepsy patients was 0.30 (95% confidence interval [CI] 0.19-0.42), and the pooled incidence proportion was 0.15 (95% CI 0.11-0.19). Age at onset, symptomatic epilepsy, abnormal neuroimaging findings, abnormal electroencephalography results, history of mental retardation, neuropsychiatric disorders, febrile seizure, and status epilepticus increased risk for DRE. Significance: There are limited high-quality data available on DRE. Lack of consistency in definitions limits the ability to obtain robust estimates on the burden of DRE. More data based on the ILAE definition from well-designed epidemiologic studies are needed to generate accurate and reliable results.","author":[{"dropping-particle":"","family":"Kalilani","given":"Linda","non-dropping-particle":"","parse-names":false,"suffix":""},{"dropping-particle":"","family":"Sun","given":"Xuezheng","non-dropping-particle":"","parse-names":false,"suffix":""},{"dropping-particle":"","family":"Pelgrims","given":"Barbara","non-dropping-particle":"","parse-names":false,"suffix":""},{"dropping-particle":"","family":"Noack-Rink","given":"Matthias","non-dropping-particle":"","parse-names":false,"suffix":""},{"dropping-particle":"","family":"Villanueva","given":"Vicente","non-dropping-particle":"","parse-names":false,"suffix":""}],"container-title":"Epilepsia","id":"ITEM-1","issue":"12","issued":{"date-parts":[["2018"]]},"title":"The epidemiology of drug-resistant epilepsy: A systematic review and meta-analysis","type":"article-journal","volume":"59"},"uris":["http://www.mendeley.com/documents/?uuid=a688c536-ffad-375e-9554-2982de5d3463"]}],"mendeley":{"formattedCitation":"[18]","plainTextFormattedCitation":"[18]","previouslyFormattedCitation":"[18]"},"properties":{"noteIndex":0},"schema":"https://github.com/citation-style-language/schema/raw/master/csl-citation.json"}</w:instrText>
      </w:r>
      <w:r w:rsidRPr="0093582B">
        <w:fldChar w:fldCharType="separate"/>
      </w:r>
      <w:r w:rsidR="003A1608" w:rsidRPr="0093582B">
        <w:rPr>
          <w:noProof/>
        </w:rPr>
        <w:t>[18]</w:t>
      </w:r>
      <w:r w:rsidRPr="0093582B">
        <w:fldChar w:fldCharType="end"/>
      </w:r>
      <w:r w:rsidRPr="0093582B">
        <w:t>.</w:t>
      </w:r>
    </w:p>
    <w:p w:rsidR="00754D37" w:rsidRPr="0093582B" w:rsidRDefault="002E62B2" w:rsidP="008B709D">
      <w:pPr>
        <w:pStyle w:val="a9"/>
      </w:pPr>
      <w:r w:rsidRPr="0093582B">
        <w:t xml:space="preserve">Фармакорезистентность является проявлением </w:t>
      </w:r>
      <w:r w:rsidR="007F0DFA" w:rsidRPr="0093582B">
        <w:t>общей тяжести заболевания, а также</w:t>
      </w:r>
      <w:r w:rsidRPr="0093582B">
        <w:t xml:space="preserve"> результатом дис</w:t>
      </w:r>
      <w:r w:rsidR="002619AB" w:rsidRPr="0093582B">
        <w:t xml:space="preserve">баланса между </w:t>
      </w:r>
      <w:r w:rsidRPr="0093582B">
        <w:t xml:space="preserve">эпилептической и противоэпилептической системами головного мозга. Возможно, в основе фармакорезистентности лежат </w:t>
      </w:r>
      <w:r w:rsidR="007F0DFA" w:rsidRPr="0093582B">
        <w:t>врождённые</w:t>
      </w:r>
      <w:r w:rsidRPr="0093582B">
        <w:t xml:space="preserve"> или </w:t>
      </w:r>
      <w:r w:rsidR="007F0DFA" w:rsidRPr="0093582B">
        <w:t>приобретённые</w:t>
      </w:r>
      <w:r w:rsidRPr="0093582B">
        <w:t xml:space="preserve"> изменения активности </w:t>
      </w:r>
      <w:r w:rsidR="007F0DFA" w:rsidRPr="0093582B">
        <w:t xml:space="preserve">белковых </w:t>
      </w:r>
      <w:r w:rsidR="00647308" w:rsidRPr="0093582B">
        <w:t xml:space="preserve">структур мозга, </w:t>
      </w:r>
      <w:r w:rsidR="007F0DFA" w:rsidRPr="0093582B">
        <w:t xml:space="preserve">клеток </w:t>
      </w:r>
      <w:r w:rsidRPr="0093582B">
        <w:t>гематоэнцефалического барьера и/или чувствительность молекулярных мишеней противоэпилептич</w:t>
      </w:r>
      <w:r w:rsidR="007F0DFA" w:rsidRPr="0093582B">
        <w:t xml:space="preserve">еских лекарственных средств </w:t>
      </w:r>
      <w:r w:rsidR="00C37EAC" w:rsidRPr="0093582B">
        <w:fldChar w:fldCharType="begin" w:fldLock="1"/>
      </w:r>
      <w:r w:rsidR="003A1608" w:rsidRPr="0093582B">
        <w:instrText>ADDIN CSL_CITATION {"citationItems":[{"id":"ITEM-1","itemData":{"author":[{"dropping-particle":"","family":"Ассоциация нейрохирургов России","given":"","non-dropping-particle":"","parse-names":false,"suffix":""}],"id":"ITEM-1","issued":{"date-parts":[["2021"]]},"title":"Эпилепсия и эпилептический статус у взрослых и детей. Клинические рекомендации","type":"article-journal"},"uris":["http://www.mendeley.com/documents/?uuid=874fb089-f6cc-41ab-8aeb-f8e4358c6cf7"]}],"mendeley":{"formattedCitation":"[19]","plainTextFormattedCitation":"[19]","previouslyFormattedCitation":"[19]"},"properties":{"noteIndex":0},"schema":"https://github.com/citation-style-language/schema/raw/master/csl-citation.json"}</w:instrText>
      </w:r>
      <w:r w:rsidR="00C37EAC" w:rsidRPr="0093582B">
        <w:fldChar w:fldCharType="separate"/>
      </w:r>
      <w:r w:rsidR="003A1608" w:rsidRPr="0093582B">
        <w:rPr>
          <w:noProof/>
        </w:rPr>
        <w:t>[19]</w:t>
      </w:r>
      <w:r w:rsidR="00C37EAC" w:rsidRPr="0093582B">
        <w:fldChar w:fldCharType="end"/>
      </w:r>
      <w:r w:rsidR="00C37EAC" w:rsidRPr="0093582B">
        <w:t>.</w:t>
      </w:r>
    </w:p>
    <w:p w:rsidR="001A21DE" w:rsidRPr="0093582B" w:rsidRDefault="002E62B2" w:rsidP="008B709D">
      <w:pPr>
        <w:pStyle w:val="a9"/>
      </w:pPr>
      <w:r w:rsidRPr="0093582B">
        <w:t>К причинам отсутствия долж</w:t>
      </w:r>
      <w:r w:rsidR="002619AB" w:rsidRPr="0093582B">
        <w:t>ного эффекта в лечении относят</w:t>
      </w:r>
      <w:r w:rsidRPr="0093582B">
        <w:t xml:space="preserve"> несоблюдение установлен</w:t>
      </w:r>
      <w:r w:rsidR="007F0DFA" w:rsidRPr="0093582B">
        <w:t xml:space="preserve">ного врачом режима приема лекарственных средств </w:t>
      </w:r>
      <w:r w:rsidRPr="0093582B">
        <w:t xml:space="preserve">и неправильный выбор </w:t>
      </w:r>
      <w:r w:rsidR="007F0DFA" w:rsidRPr="0093582B">
        <w:t>ПЭП</w:t>
      </w:r>
      <w:r w:rsidRPr="0093582B">
        <w:t xml:space="preserve"> в результате неверного дифференциального диагноза. Доверительные отношения с пациентами и их семьями являются обязательными для обеспечения хорошего понимания проблемы и оптимального соблюдения предпи</w:t>
      </w:r>
      <w:r w:rsidR="008B709D" w:rsidRPr="0093582B">
        <w:t>санного режима приема лекарств.</w:t>
      </w:r>
    </w:p>
    <w:p w:rsidR="001A21DE" w:rsidRPr="0093582B" w:rsidRDefault="002E62B2" w:rsidP="008B709D">
      <w:pPr>
        <w:pStyle w:val="a9"/>
      </w:pPr>
      <w:r w:rsidRPr="0093582B">
        <w:lastRenderedPageBreak/>
        <w:t>Причины явной фармакорезистент</w:t>
      </w:r>
      <w:r w:rsidR="00647308" w:rsidRPr="0093582B">
        <w:t xml:space="preserve">ной эпилепсии </w:t>
      </w:r>
      <w:r w:rsidR="008B709D" w:rsidRPr="0093582B">
        <w:t>–</w:t>
      </w:r>
      <w:r w:rsidR="00647308" w:rsidRPr="0093582B">
        <w:t xml:space="preserve"> это неправильная диагностика</w:t>
      </w:r>
      <w:r w:rsidRPr="0093582B">
        <w:t xml:space="preserve"> психогенных </w:t>
      </w:r>
      <w:r w:rsidR="00647308" w:rsidRPr="0093582B">
        <w:t>неэпилептических судорог</w:t>
      </w:r>
      <w:r w:rsidR="00EA43B5" w:rsidRPr="0093582B">
        <w:t xml:space="preserve"> </w:t>
      </w:r>
      <w:r w:rsidRPr="0093582B">
        <w:t>и невозможность определить правильный тип эпилепсии, что приводит к трудностям в в</w:t>
      </w:r>
      <w:r w:rsidR="008B709D" w:rsidRPr="0093582B">
        <w:t>ыборе лекарственных препаратов.</w:t>
      </w:r>
    </w:p>
    <w:p w:rsidR="00647308" w:rsidRPr="0093582B" w:rsidRDefault="001A21DE" w:rsidP="008B709D">
      <w:pPr>
        <w:pStyle w:val="a9"/>
      </w:pPr>
      <w:r w:rsidRPr="0093582B">
        <w:t>У любого п</w:t>
      </w:r>
      <w:r w:rsidR="00647308" w:rsidRPr="0093582B">
        <w:t>ациента с некурабельными приступами</w:t>
      </w:r>
      <w:r w:rsidRPr="0093582B">
        <w:t xml:space="preserve"> следует исключить «ложную фармакорезистентность». П</w:t>
      </w:r>
      <w:r w:rsidR="002E62B2" w:rsidRPr="0093582B">
        <w:t>роблемы, которые могут привести к</w:t>
      </w:r>
      <w:r w:rsidRPr="0093582B">
        <w:t xml:space="preserve"> «ложной фармакорезистентности»</w:t>
      </w:r>
      <w:r w:rsidR="002E62B2" w:rsidRPr="0093582B">
        <w:t xml:space="preserve"> - это назначение неадекватной дозировки лекарства и неправильная оценка реакции на лечение с гипердиагностикой побочных эффектов (т.е. лекарственные взаимодействия, приводящие к усилению побочных эффектов и плохой переносимости).</w:t>
      </w:r>
    </w:p>
    <w:p w:rsidR="00647308" w:rsidRPr="0093582B" w:rsidRDefault="00647308" w:rsidP="008B709D">
      <w:pPr>
        <w:pStyle w:val="a9"/>
      </w:pPr>
      <w:r w:rsidRPr="0093582B">
        <w:t xml:space="preserve">Дополнительно усложняет диагностику фармакорезистентности то, что для данных пациентов могут быть характерны фазы длительной спонтанной ремиссии, чередующиеся с рецидивирующим течением </w:t>
      </w:r>
      <w:r w:rsidRPr="0093582B">
        <w:fldChar w:fldCharType="begin" w:fldLock="1"/>
      </w:r>
      <w:r w:rsidR="003A1608" w:rsidRPr="0093582B">
        <w:instrText>ADDIN CSL_CITATION {"citationItems":[{"id":"ITEM-1","itemData":{"DOI":"10.3389/fneur.2021.674483","ISSN":"16642295","abstract":"Epilepsy is one of the most common neurological chronic disorders, with an estimated prevalence of 0. 5 – 1%. Currently, treatment options for epilepsy are predominantly based on the administration of symptomatic therapy. Most patients are able to achieve seizure freedom by the first two appropriate drug trials. Thus, patients who cannot reach a satisfactory response after that are defined as pharmacoresistant. However, despite the availability of more than 20 antiseizure medications (ASMs), about one-third of epilepsies remain drug-resistant. The heterogeneity of seizures and epilepsies, the coexistence of comorbidities, and the broad spectrum of efficacy, safety, and tolerability related to the ASMs, make the management of these patients actually challenging. In this review, we analyze the most relevant clinical and pathogenetic issues related to drug-resistant epilepsy, and then we discuss the current evidence about the use of available ASMs and the alternative non-pharmacological approaches.","author":[{"dropping-particle":"","family":"Fattorusso","given":"Antonella","non-dropping-particle":"","parse-names":false,"suffix":""},{"dropping-particle":"","family":"Matricardi","given":"Sara","non-dropping-particle":"","parse-names":false,"suffix":""},{"dropping-particle":"","family":"Mencaroni","given":"Elisabetta","non-dropping-particle":"","parse-names":false,"suffix":""},{"dropping-particle":"","family":"Dell'Isola","given":"Giovanni Battista","non-dropping-particle":"","parse-names":false,"suffix":""},{"dropping-particle":"","family":"Cara","given":"Giuseppe","non-dropping-particle":"Di","parse-names":false,"suffix":""},{"dropping-particle":"","family":"Striano","given":"Pasquale","non-dropping-particle":"","parse-names":false,"suffix":""},{"dropping-particle":"","family":"Verrotti","given":"Alberto","non-dropping-particle":"","parse-names":false,"suffix":""}],"container-title":"Frontiers in Neurology","id":"ITEM-1","issued":{"date-parts":[["2021"]]},"title":"The Pharmacoresistant Epilepsy: An Overview on Existant and New Emerging Therapies","type":"article","volume":"12"},"uris":["http://www.mendeley.com/documents/?uuid=c942792d-dc2d-36e6-bec1-f0ccdb6faa43"]}],"mendeley":{"formattedCitation":"[20]","plainTextFormattedCitation":"[20]","previouslyFormattedCitation":"[20]"},"properties":{"noteIndex":0},"schema":"https://github.com/citation-style-language/schema/raw/master/csl-citation.json"}</w:instrText>
      </w:r>
      <w:r w:rsidRPr="0093582B">
        <w:fldChar w:fldCharType="separate"/>
      </w:r>
      <w:r w:rsidR="003A1608" w:rsidRPr="0093582B">
        <w:rPr>
          <w:noProof/>
        </w:rPr>
        <w:t>[20]</w:t>
      </w:r>
      <w:r w:rsidRPr="0093582B">
        <w:fldChar w:fldCharType="end"/>
      </w:r>
      <w:r w:rsidRPr="0093582B">
        <w:t>.</w:t>
      </w:r>
    </w:p>
    <w:p w:rsidR="00EA43B5" w:rsidRPr="0093582B" w:rsidRDefault="00EA43B5" w:rsidP="008B709D">
      <w:pPr>
        <w:pStyle w:val="a9"/>
      </w:pPr>
      <w:r w:rsidRPr="0093582B">
        <w:t>Примечательно, что пациенты с фармакорезистентностью имеют от 2 до 10 раз более высокий риск внезапной смерти по сравнению с населением в целом. Внезапная неожиданная смерть при эпилепсии определяется как внезапная смерть человека, страдающего эпилепсией, и который не имел коморбидной патологии. Смерть часто наступает ночью. Риск обратно пропорционален контролю над приступами, особенно у пациентов с более высокой частотой судорожных при</w:t>
      </w:r>
      <w:r w:rsidR="008B709D" w:rsidRPr="0093582B">
        <w:t xml:space="preserve">падков и длительной эпилепсией. </w:t>
      </w:r>
      <w:r w:rsidRPr="0093582B">
        <w:t xml:space="preserve">В связи с этим единственный способ предотвратить это осложнение у фармакорезистентных пациентов </w:t>
      </w:r>
      <w:r w:rsidR="008B709D" w:rsidRPr="0093582B">
        <w:t>–</w:t>
      </w:r>
      <w:r w:rsidRPr="0093582B">
        <w:t xml:space="preserve"> это оптимизировать контроль над приступами </w:t>
      </w:r>
      <w:r w:rsidRPr="0093582B">
        <w:fldChar w:fldCharType="begin" w:fldLock="1"/>
      </w:r>
      <w:r w:rsidR="003A1608" w:rsidRPr="0093582B">
        <w:instrText>ADDIN CSL_CITATION {"citationItems":[{"id":"ITEM-1","itemData":{"DOI":"10.1111/epi.13604","ISSN":"15281167","abstract":"Since previous reviews of epidemiologic studies of premature mortality among people with epilepsy were completed several years ago, a large body of new evidence about this subject has been published. We aim to update prior reviews of mortality in epilepsy and to reevaluate and quantify the risks, potential risk factors, and causes of these deaths. We systematically searched the Medline and Embase databases to identify published reports describing mortality risks in cohorts and populations of people with epilepsy. We reviewed relevant reports and applied criteria to identify those studies likely to accurately quantify these risks in representative populations. From these we extracted and summarized the reported data. All population-based studies reported an increased risk of premature mortality among people with epilepsy compared to general populations. Standard mortality ratios are especially high among people with epilepsy aged &lt;50 years, among those whose epilepsy is categorized as structural/metabolic, those whose seizures do not fully remit under treatment, and those with convulsive seizures. Among deaths directly attributable to epilepsy or seizures, important immediate causes include sudden unexpected death in epilepsy (SUDEP), status epilepticus, unintentional injuries, and suicide. Epilepsy-associated premature mortality imposes a significant public health burden, and many of the specific causes of death are potentially preventable. These require increased attention from healthcare providers, researchers, and public health professionals.","author":[{"dropping-particle":"","family":"Thurman","given":"David J.","non-dropping-particle":"","parse-names":false,"suffix":""},{"dropping-particle":"","family":"Logroscino","given":"Giancarlo","non-dropping-particle":"","parse-names":false,"suffix":""},{"dropping-particle":"","family":"Beghi","given":"Ettore","non-dropping-particle":"","parse-names":false,"suffix":""},{"dropping-particle":"","family":"Hauser","given":"W. Allen","non-dropping-particle":"","parse-names":false,"suffix":""},{"dropping-particle":"","family":"Hesdorffer","given":"Dale C.","non-dropping-particle":"","parse-names":false,"suffix":""},{"dropping-particle":"","family":"Newton","given":"Charles R.","non-dropping-particle":"","parse-names":false,"suffix":""},{"dropping-particle":"","family":"Scorza","given":"Fulvio Alexandre","non-dropping-particle":"","parse-names":false,"suffix":""},{"dropping-particle":"","family":"Sander","given":"Josemir W.","non-dropping-particle":"","parse-names":false,"suffix":""},{"dropping-particle":"","family":"Tomson","given":"Torbjörn","non-dropping-particle":"","parse-names":false,"suffix":""}],"container-title":"Epilepsia","id":"ITEM-1","issue":"1","issued":{"date-parts":[["2017"]]},"title":"The burden of premature mortality of epilepsy in high-income countries: A systematic review from the Mortality Task Force of the International League Against Epilepsy","type":"article","volume":"58"},"uris":["http://www.mendeley.com/documents/?uuid=d67ff1c9-cb86-3be0-b3e4-b1c24a1b55f3"]}],"mendeley":{"formattedCitation":"[21]","plainTextFormattedCitation":"[21]","previouslyFormattedCitation":"[21]"},"properties":{"noteIndex":0},"schema":"https://github.com/citation-style-language/schema/raw/master/csl-citation.json"}</w:instrText>
      </w:r>
      <w:r w:rsidRPr="0093582B">
        <w:fldChar w:fldCharType="separate"/>
      </w:r>
      <w:r w:rsidR="003A1608" w:rsidRPr="0093582B">
        <w:rPr>
          <w:noProof/>
        </w:rPr>
        <w:t>[21]</w:t>
      </w:r>
      <w:r w:rsidRPr="0093582B">
        <w:fldChar w:fldCharType="end"/>
      </w:r>
      <w:r w:rsidRPr="0093582B">
        <w:t>.</w:t>
      </w:r>
    </w:p>
    <w:p w:rsidR="001A21DE" w:rsidRPr="0093582B" w:rsidRDefault="001A21DE" w:rsidP="008B709D">
      <w:pPr>
        <w:pStyle w:val="a9"/>
      </w:pPr>
      <w:r w:rsidRPr="0093582B">
        <w:t>У пациентов</w:t>
      </w:r>
      <w:r w:rsidR="002E62B2" w:rsidRPr="0093582B">
        <w:t xml:space="preserve"> с фармакорезистентностью могут быть разл</w:t>
      </w:r>
      <w:r w:rsidRPr="0093582B">
        <w:t>ичные сопутствующие заболевани</w:t>
      </w:r>
      <w:r w:rsidR="007970CB" w:rsidRPr="0093582B">
        <w:t>я</w:t>
      </w:r>
      <w:r w:rsidRPr="0093582B">
        <w:t xml:space="preserve">, которые встречаются чаще, чем в общей популяции. </w:t>
      </w:r>
      <w:r w:rsidR="008B709D" w:rsidRPr="0093582B">
        <w:t>Например,</w:t>
      </w:r>
      <w:r w:rsidRPr="0093582B">
        <w:t xml:space="preserve"> ко</w:t>
      </w:r>
      <w:r w:rsidR="002E62B2" w:rsidRPr="0093582B">
        <w:t>гнитивные и психоневрологические расстройства, такие как депрессия и тревога у взрослых, дефицит внимания с синдромом гиперактивности, расстройства аутистического спектра и нейроповед</w:t>
      </w:r>
      <w:r w:rsidRPr="0093582B">
        <w:t>енческие проблемы у детей</w:t>
      </w:r>
      <w:r w:rsidR="002E62B2" w:rsidRPr="0093582B">
        <w:t xml:space="preserve">. Эти сопутствующие заболевания ухудшают языковые и </w:t>
      </w:r>
      <w:r w:rsidR="002E62B2" w:rsidRPr="0093582B">
        <w:lastRenderedPageBreak/>
        <w:t>социальные навыки, отрицательно влияя на долгосрочное психосоциальное функционирование.</w:t>
      </w:r>
    </w:p>
    <w:p w:rsidR="008B709D" w:rsidRPr="0093582B" w:rsidRDefault="002E62B2" w:rsidP="008B709D">
      <w:pPr>
        <w:pStyle w:val="a9"/>
      </w:pPr>
      <w:r w:rsidRPr="0093582B">
        <w:t>Спектр нарушений может широко варьировать в зависимости от структурной, функциональной или генетической этиологии, которая привела к припадкам, или к отрицательному эффекту лечения. В редких отобранных случаях таргетная терапия основной причины эпилепсии может улучшить как судороги, так и когнитивные дисфункции, как кетогенная диета при синдроме дефицита GLUT1. При многих эпилептических энцефалопатиях быстрое начало эффективной терапии может улучшить когнитивные и нейроповеденческие симптомы. Тем не менее, эти сопутствующие заболевания могут сохраняться, несмотря на адекватную терапию</w:t>
      </w:r>
      <w:r w:rsidR="001A21DE" w:rsidRPr="0093582B">
        <w:t xml:space="preserve"> </w:t>
      </w:r>
      <w:r w:rsidR="001A21DE" w:rsidRPr="0093582B">
        <w:fldChar w:fldCharType="begin" w:fldLock="1"/>
      </w:r>
      <w:r w:rsidR="003A1608" w:rsidRPr="0093582B">
        <w:instrText>ADDIN CSL_CITATION {"citationItems":[{"id":"ITEM-1","itemData":{"DOI":"10.2147/NDT.S84852","ISSN":"11782021","abstract":"Despite the development of new antiepileptic drugs (AEDs), ~20%-30% of people with epilepsy remain refractory to treatment and are said to have drug-resistant epilepsy (DRE). This multifaceted condition comprises intractable seizures, neurobiochemical changes, cognitive decline, and psychosocial dysfunction. An ongoing challenge to both researchers and clinicians alike, DRE management is complicated by the heterogeneity among this patient group. The underlying mechanism of DRE is not completely understood. Many hypotheses exist, and relate to both the intrinsic characteristics of the particular epilepsy (associated syndrome/lesion, initial response to AED, and the number and type of seizures prior to diagnosis) and other pharmacological mechanisms of resistance. The four current hypotheses behind pharmacological resistance are the \"transporter\", \"target\", \"network\", and \"intrinsic severity\" hypotheses, and these are reviewed in this paper. Of equal challenge is managing patients with DRE, and this requires a multidisciplinary approach, involving physicians, surgeons, psychiatrists, neuropsychologists, pharmacists, dietitians, and specialist nurses. Attention to comorbid psychiatric and other diseases is paramount, given the higher prevalence in this cohort and associated poorer health outcomes. Treatment options need to consider the economic burden to the patient and the likelihood of AED compliance and tolerability. Most importantly, higher mortality rates, due to comorbidities, suicide, and sudden death, emphasize the importance of seizure control in reducing this risk. Overall, resective surgery offers the best rates of seizure control. It is not an option for all patients, and there is often a significant delay in referring to epilepsy surgery centers. Optimization of AEDs, identification and treatment of comorbidities, patient education to promote adherence to treatment, and avoidance of triggers should be periodically performed until further insights regarding causative pathology can guide better therapies.","author":[{"dropping-particle":"","family":"Dalic","given":"Linda","non-dropping-particle":"","parse-names":false,"suffix":""},{"dropping-particle":"","family":"Cook","given":"Mark J.","non-dropping-particle":"","parse-names":false,"suffix":""}],"container-title":"Neuropsychiatric Disease and Treatment","id":"ITEM-1","issued":{"date-parts":[["2016"]]},"title":"Managing drug-resistant epilepsy: Challenges and solutions","type":"article","volume":"12"},"uris":["http://www.mendeley.com/documents/?uuid=1a2a6284-7d0f-321b-a9d6-73975e2bfef3"]}],"mendeley":{"formattedCitation":"[22]","plainTextFormattedCitation":"[22]","previouslyFormattedCitation":"[22]"},"properties":{"noteIndex":0},"schema":"https://github.com/citation-style-language/schema/raw/master/csl-citation.json"}</w:instrText>
      </w:r>
      <w:r w:rsidR="001A21DE" w:rsidRPr="0093582B">
        <w:fldChar w:fldCharType="separate"/>
      </w:r>
      <w:r w:rsidR="003A1608" w:rsidRPr="0093582B">
        <w:rPr>
          <w:noProof/>
        </w:rPr>
        <w:t>[22]</w:t>
      </w:r>
      <w:r w:rsidR="001A21DE" w:rsidRPr="0093582B">
        <w:fldChar w:fldCharType="end"/>
      </w:r>
      <w:r w:rsidRPr="0093582B">
        <w:t>.</w:t>
      </w:r>
    </w:p>
    <w:p w:rsidR="002E62B2" w:rsidRPr="0093582B" w:rsidRDefault="0064122F" w:rsidP="008B709D">
      <w:pPr>
        <w:pStyle w:val="a9"/>
      </w:pPr>
      <w:r w:rsidRPr="0093582B">
        <w:t xml:space="preserve">Выделены следующие факторы риска фармакорезистентности: возраст начала эпилепсии (&lt;1 года), структурная этиология, аномалии нейровизуализации, коморбидность с нервно-психическими расстройствами или умственной отсталостью, наличие длительных фебрильных судорог или эпилептический статус в детском возрасте, а также наличие специфических аномалий на ЭЭГ </w:t>
      </w:r>
      <w:r w:rsidR="002E62B2" w:rsidRPr="0093582B">
        <w:rPr>
          <w:rFonts w:ascii="Times New Roman" w:hAnsi="Times New Roman" w:cs="Times New Roman"/>
        </w:rPr>
        <w:fldChar w:fldCharType="begin" w:fldLock="1"/>
      </w:r>
      <w:r w:rsidR="007153B1" w:rsidRPr="0093582B">
        <w:rPr>
          <w:rFonts w:ascii="Times New Roman" w:hAnsi="Times New Roman" w:cs="Times New Roman"/>
        </w:rPr>
        <w:instrText>ADDIN CSL_CITATION {"citationItems":[{"id":"ITEM-1","itemData":{"DOI":"10.1111/epi.14596","ISSN":"15281167","abstract":"Objective: The definition of drug-resistant epilepsy (DRE) affects case identification and treatment, and impacts prevalence or incidence estimates and health burden estimation in epidemiology. The objective of this systematic review is to evaluate the consistency between definitions of DRE in the literature and the official definition in the International League Against Epilepsy (ILAE) guidelines, and to estimate the incidence, prevalence, and risk factors for DRE. Methods: MEDLINE and EMBASE were searched for observational studies of DRE published between January 1980 and July 2015. The definitions of DRE in these studies were compared with the definition in the ILAE guidelines. Random-effect model meta-analyses were used to generate pooled estimates of prevalence or incidence and pooled odds ratios of the association with risk factors. Results: Thirty-five studies met inclusion criteria, including 13 080 epilepsy patients and 3941 patients with DRE. The definition of DRE varied widely across studies, with only 12% meeting the requirements of the ILAE definition. The pooled prevalence proportion of DRE among epilepsy patients was 0.30 (95% confidence interval [CI] 0.19-0.42), and the pooled incidence proportion was 0.15 (95% CI 0.11-0.19). Age at onset, symptomatic epilepsy, abnormal neuroimaging findings, abnormal electroencephalography results, history of mental retardation, neuropsychiatric disorders, febrile seizure, and status epilepticus increased risk for DRE. Significance: There are limited high-quality data available on DRE. Lack of consistency in definitions limits the ability to obtain robust estimates on the burden of DRE. More data based on the ILAE definition from well-designed epidemiologic studies are needed to generate accurate and reliable results.","author":[{"dropping-particle":"","family":"Kalilani","given":"Linda","non-dropping-particle":"","parse-names":false,"suffix":""},{"dropping-particle":"","family":"Sun","given":"Xuezheng","non-dropping-particle":"","parse-names":false,"suffix":""},{"dropping-particle":"","family":"Pelgrims","given":"Barbara","non-dropping-particle":"","parse-names":false,"suffix":""},{"dropping-particle":"","family":"Noack-Rink","given":"Matthias","non-dropping-particle":"","parse-names":false,"suffix":""},{"dropping-particle":"","family":"Villanueva","given":"Vicente","non-dropping-particle":"","parse-names":false,"suffix":""}],"container-title":"Epilepsia","id":"ITEM-1","issue":"12","issued":{"date-parts":[["2018"]]},"title":"The epidemiology of drug-resistant epilepsy: A systematic review and meta-analysis","type":"article-journal","volume":"59"},"uris":["http://www.mendeley.com/documents/?uuid=a688c536-ffad-375e-9554-2982de5d3463"]}],"mendeley":{"formattedCitation":"[18]","manualFormatting":"[18","plainTextFormattedCitation":"[18]","previouslyFormattedCitation":"[18]"},"properties":{"noteIndex":0},"schema":"https://github.com/citation-style-language/schema/raw/master/csl-citation.json"}</w:instrText>
      </w:r>
      <w:r w:rsidR="002E62B2" w:rsidRPr="0093582B">
        <w:rPr>
          <w:rFonts w:ascii="Times New Roman" w:hAnsi="Times New Roman" w:cs="Times New Roman"/>
        </w:rPr>
        <w:fldChar w:fldCharType="separate"/>
      </w:r>
      <w:r w:rsidR="003A1608" w:rsidRPr="0093582B">
        <w:rPr>
          <w:rFonts w:ascii="Times New Roman" w:hAnsi="Times New Roman" w:cs="Times New Roman"/>
          <w:noProof/>
        </w:rPr>
        <w:t>[18</w:t>
      </w:r>
      <w:r w:rsidR="002E62B2" w:rsidRPr="0093582B">
        <w:rPr>
          <w:rFonts w:ascii="Times New Roman" w:hAnsi="Times New Roman" w:cs="Times New Roman"/>
        </w:rPr>
        <w:fldChar w:fldCharType="end"/>
      </w:r>
      <w:r w:rsidRPr="0093582B">
        <w:rPr>
          <w:rFonts w:ascii="Times New Roman" w:hAnsi="Times New Roman" w:cs="Times New Roman"/>
        </w:rPr>
        <w:fldChar w:fldCharType="begin" w:fldLock="1"/>
      </w:r>
      <w:r w:rsidR="007153B1" w:rsidRPr="0093582B">
        <w:rPr>
          <w:rFonts w:ascii="Times New Roman" w:hAnsi="Times New Roman" w:cs="Times New Roman"/>
        </w:rPr>
        <w:instrText>ADDIN CSL_CITATION {"citationItems":[{"id":"ITEM-1","itemData":{"DOI":"10.1001/jamaneurol.2017.3949","ISSN":"21686149","abstract":"IMPORTANCE A study published in 2000 showed that more than one-Third of adults with epilepsy have inadequate control of seizures with antiepileptic drugs (AEDs). This study evaluates overall treatment outcomes in light of the introduction of more than 1 dozen new AEDs in the past 2 decades. OBJECTIVE To assess long-Term treatment outcome in patients with newly diagnosed and treated epilepsy. DESIGN, SETTING, AND PARTICIPANTS This longitudinal observational cohort studywas conducted at the Epilepsy Unit of theWestern Infirmary in Glasgow, Scotland. A total of 1795 individuals who were newly treated for epilepsy with AEDs between July 1, 1982, and October 31, 2012, were included in this analysis. All patients were followed up for a minimum of 2 years (until October 31, 2014) or until death, whichever came sooner. Data analysis was completed between March 2015 and May 2016. EXPOSURES Treatment with antiepileptic drugs for patients newly diagnosed with epilepsy. MAIN OUTCOMES AND MEASURES Seizure controlwas assessed at the end of the study period. Probability of achieving 1-year seizure freedom was estimated for each AED regimen prescribed. Multivariable models assessed the associations between risk factors and AED treatment outcome after adjustments were made for demographic and clinical characteristics. RESULTS Of the 1795 included patients, 964 (53.7%) were male; the median age was 33 years (range, 9-93 years). At the end of the study period, 1144 patients (63.7%) had been seizure free for the previous year or longer. Among those achieving 1-year seizure freedom, 993 (86.8%) were taking monotherapy and 1028 (89.9%) had achieved seizure control with the first or second AED regimens. Of the total patient pool, 906 (50.5%) remained seizure free for 1 year or longer with the initial AED. If this AED failed, the second and third regimens provided an additional 11.6%and 4.4%likelihoods of seizure freedom, respectively. Only 2.12%of patients attained optimal seizure control with subsequent AEDs. Epilepsy that was not successfully controlled with the first AED had 1.73 times greater odds of not responding to treatment for each subsequent medication regimen (odds ratio, 1.73; 95%CI, 1.56-1.91; P &lt; .001). CONCLUSIONS AND RELEVANCE Despite the availability of many new AEDs with differing mechanisms of action, overall outcomes in newly diagnosed epilepsy have not improved. Most patients who attain control do so with the first or second AED. The probability of achiev…","author":[{"dropping-particle":"","family":"Chen","given":"Zhibin","non-dropping-particle":"","parse-names":false,"suffix":""},{"dropping-particle":"","family":"Brodie","given":"Martin J.","non-dropping-particle":"","parse-names":false,"suffix":""},{"dropping-particle":"","family":"Liew","given":"Danny","non-dropping-particle":"","parse-names":false,"suffix":""},{"dropping-particle":"","family":"Kwan","given":"Patrick","non-dropping-particle":"","parse-names":false,"suffix":""}],"container-title":"JAMA Neurology","id":"ITEM-1","issue":"3","issued":{"date-parts":[["2018"]]},"title":"Treatment outcomes in patients with newly diagnosed epilepsy treated with established and new antiepileptic drugs a 30-year longitudinal cohort study","type":"article-journal","volume":"75"},"uris":["http://www.mendeley.com/documents/?uuid=7d5a37dd-039e-3322-9dff-a9f95c736b89"]}],"mendeley":{"formattedCitation":"[23]","manualFormatting":", 23]","plainTextFormattedCitation":"[23]","previouslyFormattedCitation":"[23]"},"properties":{"noteIndex":0},"schema":"https://github.com/citation-style-language/schema/raw/master/csl-citation.json"}</w:instrText>
      </w:r>
      <w:r w:rsidRPr="0093582B">
        <w:rPr>
          <w:rFonts w:ascii="Times New Roman" w:hAnsi="Times New Roman" w:cs="Times New Roman"/>
        </w:rPr>
        <w:fldChar w:fldCharType="separate"/>
      </w:r>
      <w:r w:rsidR="007153B1" w:rsidRPr="0093582B">
        <w:rPr>
          <w:rFonts w:ascii="Times New Roman" w:hAnsi="Times New Roman" w:cs="Times New Roman"/>
          <w:noProof/>
        </w:rPr>
        <w:t xml:space="preserve">, </w:t>
      </w:r>
      <w:r w:rsidR="003A1608" w:rsidRPr="0093582B">
        <w:rPr>
          <w:rFonts w:ascii="Times New Roman" w:hAnsi="Times New Roman" w:cs="Times New Roman"/>
          <w:noProof/>
        </w:rPr>
        <w:t>23]</w:t>
      </w:r>
      <w:r w:rsidRPr="0093582B">
        <w:rPr>
          <w:rFonts w:ascii="Times New Roman" w:hAnsi="Times New Roman" w:cs="Times New Roman"/>
        </w:rPr>
        <w:fldChar w:fldCharType="end"/>
      </w:r>
      <w:r w:rsidR="002E62B2" w:rsidRPr="0093582B">
        <w:rPr>
          <w:rFonts w:ascii="Times New Roman" w:hAnsi="Times New Roman" w:cs="Times New Roman"/>
        </w:rPr>
        <w:t>.</w:t>
      </w:r>
    </w:p>
    <w:p w:rsidR="002E62B2" w:rsidRPr="0093582B" w:rsidRDefault="0064122F" w:rsidP="008B709D">
      <w:pPr>
        <w:pStyle w:val="a9"/>
        <w:rPr>
          <w:rFonts w:ascii="Times New Roman" w:hAnsi="Times New Roman" w:cs="Times New Roman"/>
        </w:rPr>
      </w:pPr>
      <w:r w:rsidRPr="0093582B">
        <w:rPr>
          <w:rFonts w:ascii="Times New Roman" w:hAnsi="Times New Roman" w:cs="Times New Roman"/>
        </w:rPr>
        <w:t>В этиологии структурных изменений лежит нейродегенерация</w:t>
      </w:r>
      <w:r w:rsidR="002E62B2" w:rsidRPr="0093582B">
        <w:rPr>
          <w:rFonts w:ascii="Times New Roman" w:hAnsi="Times New Roman" w:cs="Times New Roman"/>
        </w:rPr>
        <w:t>, ра</w:t>
      </w:r>
      <w:r w:rsidRPr="0093582B">
        <w:rPr>
          <w:rFonts w:ascii="Times New Roman" w:hAnsi="Times New Roman" w:cs="Times New Roman"/>
        </w:rPr>
        <w:t>зрастание аксонов, синаптическая реорганизация</w:t>
      </w:r>
      <w:r w:rsidR="002E62B2" w:rsidRPr="0093582B">
        <w:rPr>
          <w:rFonts w:ascii="Times New Roman" w:hAnsi="Times New Roman" w:cs="Times New Roman"/>
        </w:rPr>
        <w:t>, нейрогенез</w:t>
      </w:r>
      <w:r w:rsidRPr="0093582B">
        <w:rPr>
          <w:rFonts w:ascii="Times New Roman" w:hAnsi="Times New Roman" w:cs="Times New Roman"/>
        </w:rPr>
        <w:t xml:space="preserve"> и глиоз. Данные факторы </w:t>
      </w:r>
      <w:r w:rsidR="002E62B2" w:rsidRPr="0093582B">
        <w:rPr>
          <w:rFonts w:ascii="Times New Roman" w:hAnsi="Times New Roman" w:cs="Times New Roman"/>
        </w:rPr>
        <w:t xml:space="preserve">вызывают формирование аномальной нейронной сети, которая приводит к </w:t>
      </w:r>
      <w:r w:rsidRPr="0093582B">
        <w:rPr>
          <w:rFonts w:ascii="Times New Roman" w:hAnsi="Times New Roman" w:cs="Times New Roman"/>
        </w:rPr>
        <w:t xml:space="preserve">резистентности к </w:t>
      </w:r>
      <w:r w:rsidR="002E62B2" w:rsidRPr="0093582B">
        <w:rPr>
          <w:rFonts w:ascii="Times New Roman" w:hAnsi="Times New Roman" w:cs="Times New Roman"/>
        </w:rPr>
        <w:t>фармакотерапии. При склерозе гиппокампа возможно развитие подобных механизмов.</w:t>
      </w:r>
      <w:r w:rsidR="00A60525" w:rsidRPr="0093582B">
        <w:rPr>
          <w:rFonts w:ascii="Times New Roman" w:hAnsi="Times New Roman" w:cs="Times New Roman"/>
        </w:rPr>
        <w:t xml:space="preserve"> </w:t>
      </w:r>
      <w:r w:rsidR="002E62B2" w:rsidRPr="0093582B">
        <w:rPr>
          <w:rFonts w:ascii="Times New Roman" w:hAnsi="Times New Roman" w:cs="Times New Roman"/>
        </w:rPr>
        <w:t>Экспериментальные данные подтверждают выводы о том, что повреждение гиппокампа связано с резистентностью к фармакотерапии в опытах на крысах</w:t>
      </w:r>
      <w:r w:rsidR="00A60525" w:rsidRPr="0093582B">
        <w:rPr>
          <w:rFonts w:ascii="Times New Roman" w:hAnsi="Times New Roman" w:cs="Times New Roman"/>
        </w:rPr>
        <w:t xml:space="preserve"> </w:t>
      </w:r>
      <w:r w:rsidR="00A60525" w:rsidRPr="0093582B">
        <w:rPr>
          <w:rFonts w:ascii="Times New Roman" w:hAnsi="Times New Roman" w:cs="Times New Roman"/>
        </w:rPr>
        <w:fldChar w:fldCharType="begin" w:fldLock="1"/>
      </w:r>
      <w:r w:rsidR="003A1608" w:rsidRPr="0093582B">
        <w:rPr>
          <w:rFonts w:ascii="Times New Roman" w:hAnsi="Times New Roman" w:cs="Times New Roman"/>
        </w:rPr>
        <w:instrText>ADDIN CSL_CITATION {"citationItems":[{"id":"ITEM-1","itemData":{"DOI":"10.1523/JNEUROSCI.0866-19.2019","ISSN":"15292401","abstract":"Cognitive impairments are key features in multiple sclerosis (MS), a progressive disorder characterized by neuroinflammation-induced demyelination in the central nervous system. To understand the neural substrates that link demyelination to cognitive deficits in MS, we investigated hippocampal neurogenesis and synaptic connectivity of adult-born neurons, which play an essential role in cognitive function. The administration and withdrawal of the combination of cuprizone and rapamycin (Cup/Rap) in C57BL/6J male mice efficiently demyelinated and remyelinated the hippocampus, respectively. In the demyelinated hippocampus, neurogenesis was nearly absent in the dentate gyrus, which was due to inhibited proliferation of neural stem cells (NSCs). Specifically, radial glia-like type 1 NSCs were shifted from a proliferative state to a mitotically-quiescent state in the demyelinated hippocampus. In addition, dendritic spine densities of adult-born neurons were significantly decreased, indicating a reduction in synaptic connections between hippocampal newborn neurons and excitatory input neurons. Concomitant with hippocampal remyelination induced by withdrawal of Cup/Rap, proliferation of type 1 NSCs and dendritic spine densities of adult-born neurons reverted to normal in the hippocampus. Our study shows that proliferation of hippocampal NSCs and synaptic connectivity of adult-born neurons are inversely correlated with the level of demyelination, providing critical insight into hippocampal neurogenesis as a potential therapeutic target to treat cognitive deficits associated with MS.","author":[{"dropping-particle":"","family":"Zhang","given":"Hai","non-dropping-particle":"","parse-names":false,"suffix":""},{"dropping-particle":"","family":"Kim","given":"Yeonghwan","non-dropping-particle":"","parse-names":false,"suffix":""},{"dropping-particle":"","family":"Ro","given":"Eun Jeoung","non-dropping-particle":"","parse-names":false,"suffix":""},{"dropping-particle":"","family":"Ho","given":"Cindy","non-dropping-particle":"","parse-names":false,"suffix":""},{"dropping-particle":"","family":"Lee","given":"Daehoon","non-dropping-particle":"","parse-names":false,"suffix":""},{"dropping-particle":"","family":"Trapp","given":"Bruce D.","non-dropping-particle":"","parse-names":false,"suffix":""},{"dropping-particle":"","family":"Suh","given":"Hoonkyo","non-dropping-particle":"","parse-names":false,"suffix":""}],"container-title":"Journal of Neuroscience","id":"ITEM-1","issue":"2","issued":{"date-parts":[["2020"]]},"title":"Hippocampal neurogenesis and neural circuit formation in a cuprizone-induced multiple sclerosis mouse model","type":"article-journal","volume":"40"},"uris":["http://www.mendeley.com/documents/?uuid=db20c912-0834-3654-9eb9-7f59e75c1b14"]}],"mendeley":{"formattedCitation":"[24]","plainTextFormattedCitation":"[24]","previouslyFormattedCitation":"[24]"},"properties":{"noteIndex":0},"schema":"https://github.com/citation-style-language/schema/raw/master/csl-citation.json"}</w:instrText>
      </w:r>
      <w:r w:rsidR="00A60525" w:rsidRPr="0093582B">
        <w:rPr>
          <w:rFonts w:ascii="Times New Roman" w:hAnsi="Times New Roman" w:cs="Times New Roman"/>
        </w:rPr>
        <w:fldChar w:fldCharType="separate"/>
      </w:r>
      <w:r w:rsidR="003A1608" w:rsidRPr="0093582B">
        <w:rPr>
          <w:rFonts w:ascii="Times New Roman" w:hAnsi="Times New Roman" w:cs="Times New Roman"/>
          <w:noProof/>
        </w:rPr>
        <w:t>[24]</w:t>
      </w:r>
      <w:r w:rsidR="00A60525" w:rsidRPr="0093582B">
        <w:rPr>
          <w:rFonts w:ascii="Times New Roman" w:hAnsi="Times New Roman" w:cs="Times New Roman"/>
        </w:rPr>
        <w:fldChar w:fldCharType="end"/>
      </w:r>
      <w:r w:rsidR="00A60525" w:rsidRPr="0093582B">
        <w:rPr>
          <w:rFonts w:ascii="Times New Roman" w:hAnsi="Times New Roman" w:cs="Times New Roman"/>
        </w:rPr>
        <w:t>.</w:t>
      </w:r>
    </w:p>
    <w:p w:rsidR="00754D37" w:rsidRPr="0093582B" w:rsidRDefault="002E62B2" w:rsidP="008B709D">
      <w:pPr>
        <w:pStyle w:val="a9"/>
      </w:pPr>
      <w:r w:rsidRPr="0093582B">
        <w:t>Альтернативой фармакорезистентности для пациентов с рефрактерной эпилепсией</w:t>
      </w:r>
      <w:r w:rsidR="001A21DE" w:rsidRPr="0093582B">
        <w:t xml:space="preserve"> является хирургическое лечение</w:t>
      </w:r>
      <w:r w:rsidRPr="0093582B">
        <w:rPr>
          <w:rFonts w:ascii="Times New Roman" w:eastAsiaTheme="minorHAnsi" w:hAnsi="Times New Roman" w:cs="Times New Roman"/>
          <w:lang w:eastAsia="en-US"/>
        </w:rPr>
        <w:t xml:space="preserve"> </w:t>
      </w:r>
      <w:r w:rsidRPr="0093582B">
        <w:t xml:space="preserve">при отсутствии противопоказаний к нему. В некоторых случаях отсрочка операции может </w:t>
      </w:r>
      <w:r w:rsidR="007970CB" w:rsidRPr="0093582B">
        <w:t>повлиять на благоприятный исход,</w:t>
      </w:r>
      <w:r w:rsidRPr="0093582B">
        <w:t xml:space="preserve"> поэтому крайне важно проводить своевреме</w:t>
      </w:r>
      <w:r w:rsidR="007970CB" w:rsidRPr="0093582B">
        <w:t xml:space="preserve">нную </w:t>
      </w:r>
      <w:r w:rsidR="007970CB" w:rsidRPr="0093582B">
        <w:lastRenderedPageBreak/>
        <w:t>диагностику</w:t>
      </w:r>
      <w:r w:rsidR="00342310" w:rsidRPr="0093582B">
        <w:t xml:space="preserve"> и определиться с тактикой ведения пациента</w:t>
      </w:r>
      <w:r w:rsidRPr="0093582B">
        <w:t xml:space="preserve">. </w:t>
      </w:r>
      <w:r w:rsidR="007970CB" w:rsidRPr="0093582B">
        <w:t>Патологические очаги</w:t>
      </w:r>
      <w:r w:rsidRPr="0093582B">
        <w:t>, обычно удаляемые при фокальной эпилепси</w:t>
      </w:r>
      <w:r w:rsidR="007970CB" w:rsidRPr="0093582B">
        <w:t>и, включают склероз гиппокампа,</w:t>
      </w:r>
      <w:r w:rsidRPr="0093582B">
        <w:t xml:space="preserve"> фокальную корковую дисплазию</w:t>
      </w:r>
      <w:r w:rsidR="007970CB" w:rsidRPr="0093582B">
        <w:t>,</w:t>
      </w:r>
      <w:r w:rsidR="008B709D" w:rsidRPr="0093582B">
        <w:rPr>
          <w:rFonts w:ascii="Times New Roman" w:eastAsiaTheme="minorHAnsi" w:hAnsi="Times New Roman" w:cs="Times New Roman"/>
          <w:lang w:eastAsia="en-US"/>
        </w:rPr>
        <w:t xml:space="preserve"> </w:t>
      </w:r>
      <w:r w:rsidR="007970CB" w:rsidRPr="0093582B">
        <w:t>а также опухоли и другие объемные образования, сопровождающиеся эпилептическими приступами</w:t>
      </w:r>
      <w:r w:rsidRPr="0093582B">
        <w:t>. Однако у значительного числа пациентов эпилептогенная зона не может быть идентифицирована или подвергнута хирургическому лечению из-за ее локализации</w:t>
      </w:r>
      <w:r w:rsidR="007970CB" w:rsidRPr="0093582B">
        <w:rPr>
          <w:rFonts w:ascii="Times New Roman" w:eastAsiaTheme="minorHAnsi" w:hAnsi="Times New Roman" w:cs="Times New Roman"/>
          <w:lang w:eastAsia="en-US"/>
        </w:rPr>
        <w:t xml:space="preserve"> </w:t>
      </w:r>
      <w:r w:rsidR="007970CB" w:rsidRPr="0093582B">
        <w:t xml:space="preserve">в функционально значимой области мозга </w:t>
      </w:r>
      <w:r w:rsidR="007970CB" w:rsidRPr="0093582B">
        <w:fldChar w:fldCharType="begin" w:fldLock="1"/>
      </w:r>
      <w:r w:rsidR="003A1608" w:rsidRPr="0093582B">
        <w:instrText>ADDIN CSL_CITATION {"citationItems":[{"id":"ITEM-1","itemData":{"author":[{"dropping-particle":"","family":"Ассоциация нейрохирургов России","given":"","non-dropping-particle":"","parse-names":false,"suffix":""}],"id":"ITEM-1","issued":{"date-parts":[["2015"]]},"page":"20-22","title":"Клинические рекомендации по предоперационному обследованию и хирургическому лечению пациентов с фармакорезистентными формами эпилепсии: стандарты ведения больных для врачей.","type":"article-journal"},"uris":["http://www.mendeley.com/documents/?uuid=1b9c779b-1f7d-3d0c-9463-bdacc13cd630"]}],"mendeley":{"formattedCitation":"[8]","plainTextFormattedCitation":"[8]","previouslyFormattedCitation":"[8]"},"properties":{"noteIndex":0},"schema":"https://github.com/citation-style-language/schema/raw/master/csl-citation.json"}</w:instrText>
      </w:r>
      <w:r w:rsidR="007970CB" w:rsidRPr="0093582B">
        <w:fldChar w:fldCharType="separate"/>
      </w:r>
      <w:r w:rsidR="003A1608" w:rsidRPr="0093582B">
        <w:rPr>
          <w:noProof/>
        </w:rPr>
        <w:t>[8]</w:t>
      </w:r>
      <w:r w:rsidR="007970CB" w:rsidRPr="0093582B">
        <w:fldChar w:fldCharType="end"/>
      </w:r>
      <w:r w:rsidRPr="0093582B">
        <w:t>.</w:t>
      </w:r>
    </w:p>
    <w:p w:rsidR="00754D37" w:rsidRPr="0093582B" w:rsidRDefault="002E62B2" w:rsidP="008B709D">
      <w:pPr>
        <w:pStyle w:val="a9"/>
      </w:pPr>
      <w:r w:rsidRPr="0093582B">
        <w:t xml:space="preserve">В настоящее время доступно несколько методов </w:t>
      </w:r>
      <w:r w:rsidR="007970CB" w:rsidRPr="0093582B">
        <w:t xml:space="preserve">лечения </w:t>
      </w:r>
      <w:r w:rsidRPr="0093582B">
        <w:t>для данных пациентов. К основным относят инвазивные методы</w:t>
      </w:r>
      <w:r w:rsidR="007970CB" w:rsidRPr="0093582B">
        <w:t xml:space="preserve"> </w:t>
      </w:r>
      <w:r w:rsidR="008B709D" w:rsidRPr="0093582B">
        <w:t>–</w:t>
      </w:r>
      <w:r w:rsidR="007970CB" w:rsidRPr="0093582B">
        <w:t xml:space="preserve"> хирургические и малоинвазивные,</w:t>
      </w:r>
      <w:r w:rsidR="008B709D" w:rsidRPr="0093582B">
        <w:t xml:space="preserve"> и не</w:t>
      </w:r>
      <w:r w:rsidR="007970CB" w:rsidRPr="0093582B">
        <w:t xml:space="preserve">инвазивные – </w:t>
      </w:r>
      <w:r w:rsidRPr="0093582B">
        <w:t>не</w:t>
      </w:r>
      <w:r w:rsidR="007970CB" w:rsidRPr="0093582B">
        <w:t xml:space="preserve"> требующие объемной резекции структур мозга</w:t>
      </w:r>
      <w:r w:rsidRPr="0093582B">
        <w:t>.</w:t>
      </w:r>
    </w:p>
    <w:p w:rsidR="00754D37" w:rsidRPr="0093582B" w:rsidRDefault="002E62B2" w:rsidP="008B709D">
      <w:pPr>
        <w:pStyle w:val="a9"/>
      </w:pPr>
      <w:r w:rsidRPr="0093582B">
        <w:t>Выбор метода лечения, для пациентов с резистентностью к лекарственным препаратам</w:t>
      </w:r>
      <w:r w:rsidR="007970CB" w:rsidRPr="0093582B">
        <w:t xml:space="preserve"> </w:t>
      </w:r>
      <w:r w:rsidRPr="0093582B">
        <w:t>-</w:t>
      </w:r>
      <w:r w:rsidR="007970CB" w:rsidRPr="0093582B">
        <w:t xml:space="preserve"> </w:t>
      </w:r>
      <w:r w:rsidRPr="0093582B">
        <w:t>крайне сложная зад</w:t>
      </w:r>
      <w:r w:rsidR="007970CB" w:rsidRPr="0093582B">
        <w:t>ача для врача. Имеющиеся теории</w:t>
      </w:r>
      <w:r w:rsidR="00C37EAC" w:rsidRPr="0093582B">
        <w:t xml:space="preserve"> патогенеза фармакорезистентности, к </w:t>
      </w:r>
      <w:r w:rsidRPr="0093582B">
        <w:t>сожалению</w:t>
      </w:r>
      <w:r w:rsidR="00C37EAC" w:rsidRPr="0093582B">
        <w:t>,</w:t>
      </w:r>
      <w:r w:rsidRPr="0093582B">
        <w:t xml:space="preserve"> не дают еди</w:t>
      </w:r>
      <w:r w:rsidR="00C37EAC" w:rsidRPr="0093582B">
        <w:t>ных объяснений данного явления у пациентов</w:t>
      </w:r>
      <w:r w:rsidRPr="0093582B">
        <w:t>.</w:t>
      </w:r>
    </w:p>
    <w:p w:rsidR="00754D37" w:rsidRPr="0093582B" w:rsidRDefault="002E62B2" w:rsidP="008B709D">
      <w:pPr>
        <w:pStyle w:val="a9"/>
      </w:pPr>
      <w:r w:rsidRPr="0093582B">
        <w:t>Несмотря на то</w:t>
      </w:r>
      <w:r w:rsidR="00C37EAC" w:rsidRPr="0093582B">
        <w:t>, что фармакологическое лечение</w:t>
      </w:r>
      <w:r w:rsidRPr="0093582B">
        <w:t xml:space="preserve"> обременено неизбежными побочными эффектами и лекарственными взаимодействиями у пациентов, проходящих политерапию, оно остается первым и основным подходом к достижению долгосрочного контроля над приступами. После правильной диагностической классификации и отбора пациентов-кандидатов на резекционную операцию необходимо иметь адекватные знания о лекарствах, их фармакодинамическом и фармакокинетическом профиле, </w:t>
      </w:r>
      <w:r w:rsidR="008B709D" w:rsidRPr="0093582B">
        <w:t xml:space="preserve">возможных побочных эффектах и </w:t>
      </w:r>
      <w:r w:rsidRPr="0093582B">
        <w:t xml:space="preserve">наиболее эффективных фармакологических ассоциациях, чтобы </w:t>
      </w:r>
      <w:r w:rsidR="00C37EAC" w:rsidRPr="0093582B">
        <w:t xml:space="preserve">в постоперационном периоде </w:t>
      </w:r>
      <w:r w:rsidRPr="0093582B">
        <w:t>выбрать адекватные сх</w:t>
      </w:r>
      <w:r w:rsidR="008B709D" w:rsidRPr="0093582B">
        <w:t>емы, адаптированные к пациенту.</w:t>
      </w:r>
    </w:p>
    <w:p w:rsidR="00754D37" w:rsidRPr="0093582B" w:rsidRDefault="002E62B2" w:rsidP="008B709D">
      <w:pPr>
        <w:pStyle w:val="a9"/>
      </w:pPr>
      <w:r w:rsidRPr="0093582B">
        <w:t xml:space="preserve">Рациональная политерапия приобрела большую актуальность благодаря разработке лекарств, которые имеют разные и потенциально синергетические механизмы действия, а также лучшие профили безопасности и эффективности. </w:t>
      </w:r>
      <w:r w:rsidRPr="0093582B">
        <w:lastRenderedPageBreak/>
        <w:t>Следовательно, прежде чем считать пациента полностью невосприимчивым к медикаментозной терапии, необходимо повтор</w:t>
      </w:r>
      <w:r w:rsidR="00C37EAC" w:rsidRPr="0093582B">
        <w:t>но оценить сам диагноз эпилепсии</w:t>
      </w:r>
      <w:r w:rsidRPr="0093582B">
        <w:t>.</w:t>
      </w:r>
      <w:r w:rsidR="00C37EAC" w:rsidRPr="0093582B">
        <w:t xml:space="preserve"> </w:t>
      </w:r>
      <w:r w:rsidRPr="0093582B">
        <w:t xml:space="preserve">При возможности </w:t>
      </w:r>
      <w:r w:rsidR="008B709D" w:rsidRPr="0093582B">
        <w:t>–</w:t>
      </w:r>
      <w:r w:rsidRPr="0093582B">
        <w:t xml:space="preserve"> критически рассмотреть предыдущие введенные лекарства, чтобы попробовать последующие более </w:t>
      </w:r>
      <w:r w:rsidR="00C37EAC" w:rsidRPr="0093582B">
        <w:t>адекватные терапевтические схемы</w:t>
      </w:r>
      <w:r w:rsidR="00E00683" w:rsidRPr="0093582B">
        <w:t xml:space="preserve"> </w:t>
      </w:r>
      <w:r w:rsidR="00C37EAC" w:rsidRPr="0093582B">
        <w:fldChar w:fldCharType="begin" w:fldLock="1"/>
      </w:r>
      <w:r w:rsidR="003A1608" w:rsidRPr="0093582B">
        <w:instrText>ADDIN CSL_CITATION {"citationItems":[{"id":"ITEM-1","itemData":{"DOI":"10.1111/epi.14596","ISSN":"15281167","abstract":"Objective: The definition of drug-resistant epilepsy (DRE) affects case identification and treatment, and impacts prevalence or incidence estimates and health burden estimation in epidemiology. The objective of this systematic review is to evaluate the consistency between definitions of DRE in the literature and the official definition in the International League Against Epilepsy (ILAE) guidelines, and to estimate the incidence, prevalence, and risk factors for DRE. Methods: MEDLINE and EMBASE were searched for observational studies of DRE published between January 1980 and July 2015. The definitions of DRE in these studies were compared with the definition in the ILAE guidelines. Random-effect model meta-analyses were used to generate pooled estimates of prevalence or incidence and pooled odds ratios of the association with risk factors. Results: Thirty-five studies met inclusion criteria, including 13 080 epilepsy patients and 3941 patients with DRE. The definition of DRE varied widely across studies, with only 12% meeting the requirements of the ILAE definition. The pooled prevalence proportion of DRE among epilepsy patients was 0.30 (95% confidence interval [CI] 0.19-0.42), and the pooled incidence proportion was 0.15 (95% CI 0.11-0.19). Age at onset, symptomatic epilepsy, abnormal neuroimaging findings, abnormal electroencephalography results, history of mental retardation, neuropsychiatric disorders, febrile seizure, and status epilepticus increased risk for DRE. Significance: There are limited high-quality data available on DRE. Lack of consistency in definitions limits the ability to obtain robust estimates on the burden of DRE. More data based on the ILAE definition from well-designed epidemiologic studies are needed to generate accurate and reliable results.","author":[{"dropping-particle":"","family":"Kalilani","given":"Linda","non-dropping-particle":"","parse-names":false,"suffix":""},{"dropping-particle":"","family":"Sun","given":"Xuezheng","non-dropping-particle":"","parse-names":false,"suffix":""},{"dropping-particle":"","family":"Pelgrims","given":"Barbara","non-dropping-particle":"","parse-names":false,"suffix":""},{"dropping-particle":"","family":"Noack-Rink","given":"Matthias","non-dropping-particle":"","parse-names":false,"suffix":""},{"dropping-particle":"","family":"Villanueva","given":"Vicente","non-dropping-particle":"","parse-names":false,"suffix":""}],"container-title":"Epilepsia","id":"ITEM-1","issue":"12","issued":{"date-parts":[["2018"]]},"title":"The epidemiology of drug-resistant epilepsy: A systematic review and meta-analysis","type":"article-journal","volume":"59"},"uris":["http://www.mendeley.com/documents/?uuid=a688c536-ffad-375e-9554-2982de5d3463"]}],"mendeley":{"formattedCitation":"[18]","plainTextFormattedCitation":"[18]","previouslyFormattedCitation":"[18]"},"properties":{"noteIndex":0},"schema":"https://github.com/citation-style-language/schema/raw/master/csl-citation.json"}</w:instrText>
      </w:r>
      <w:r w:rsidR="00C37EAC" w:rsidRPr="0093582B">
        <w:fldChar w:fldCharType="separate"/>
      </w:r>
      <w:r w:rsidR="003A1608" w:rsidRPr="0093582B">
        <w:rPr>
          <w:noProof/>
        </w:rPr>
        <w:t>[18]</w:t>
      </w:r>
      <w:r w:rsidR="00C37EAC" w:rsidRPr="0093582B">
        <w:fldChar w:fldCharType="end"/>
      </w:r>
      <w:r w:rsidR="00C37EAC" w:rsidRPr="0093582B">
        <w:t>.</w:t>
      </w:r>
      <w:r w:rsidRPr="0093582B">
        <w:t xml:space="preserve"> Альтернативные немедикаментозные подходы, такие как электростимуляция и диетотерапия, также могут использоват</w:t>
      </w:r>
      <w:r w:rsidR="00E00683" w:rsidRPr="0093582B">
        <w:t>ь</w:t>
      </w:r>
      <w:r w:rsidRPr="0093582B">
        <w:t>ся, но доказательной эффективности на данный момент не имеют.</w:t>
      </w:r>
    </w:p>
    <w:p w:rsidR="00754D37" w:rsidRPr="0093582B" w:rsidRDefault="00C37EAC" w:rsidP="006B152D">
      <w:pPr>
        <w:pStyle w:val="3"/>
      </w:pPr>
      <w:bookmarkStart w:id="6" w:name="_Toc104427526"/>
      <w:r w:rsidRPr="0093582B">
        <w:t xml:space="preserve">1.3.1. </w:t>
      </w:r>
      <w:r w:rsidR="002E62B2" w:rsidRPr="0093582B">
        <w:t>Височная эпилепсия</w:t>
      </w:r>
      <w:bookmarkEnd w:id="6"/>
    </w:p>
    <w:p w:rsidR="00754D37" w:rsidRPr="0093582B" w:rsidRDefault="002E62B2" w:rsidP="00E00683">
      <w:pPr>
        <w:pStyle w:val="a9"/>
      </w:pPr>
      <w:r w:rsidRPr="0093582B">
        <w:t>Височная эпилепсия (ВЭ) является одной из самых распростра</w:t>
      </w:r>
      <w:r w:rsidR="005C6CBE" w:rsidRPr="0093582B">
        <w:t>ненных</w:t>
      </w:r>
      <w:r w:rsidRPr="0093582B">
        <w:t xml:space="preserve"> форм и составляет 60% всех случаев. По распространенности, клиническому полиморфизму, частоте интеллектуально-мнестических нарушений и фармакорезистентности она занимает особое место в структуре заболевания </w:t>
      </w:r>
      <w:r w:rsidR="00005060" w:rsidRPr="0093582B">
        <w:fldChar w:fldCharType="begin" w:fldLock="1"/>
      </w:r>
      <w:r w:rsidR="003A1608" w:rsidRPr="0093582B">
        <w:instrText>ADDIN CSL_CITATION {"citationItems":[{"id":"ITEM-1","itemData":{"ISSN":"0022-3085","abstract":"Object. In this paper the authors' goal was to identify preoperative variables that predict long-term seizure freedom among patients with mesial temporal sclerosis (MTS) after single-stage anterior temporal lobectomy and amygdalohippocampectomy (ATL-AH). Methods. The authors retrospectively reviewed 116 consecutive patients (66 females, mean age at surgery 40.7 years) with refractory seizures and pathologically confirmed MTS who underwent ATL-AH with at least 2 years of follow-up. All patients underwent preoperative MRI and video-electroencephalography (EEG); 106 patients (91.4%) underwent Wada testing and 107 patients (92.2%) had neuropsychological evaluations. The authors assessed the concordance of these 4 studies (defined as test consistent with the side of eventual surgery) and analyzed the impact of preoperative variables on seizure freedom. Results. The median follow-up after surgery was 6.7 years (mean 6.9 years). Overall, 103 patients (89%) were seizure free, and 109 patients (94%) had Engel Class I or II outcome. Concordant findings were highest for video- EEG (100%), PET (100%), MRI (99.0%), and Wada testing (90.4%) and lowest for SPECT (84.6%) and neuropsychological testing (82.5%). Using binary logistic regression analysis (seizure free or not) and Cox proportional hazard analysis (seizure-free survival), less disparity in the Wada memory scores between the ipsilateral and contralateral sides was associated with persistent seizures. Conclusions. Seizure freedom of nearly 90% can be achieved with ATL-AH in properly selected patients with MTS and concordant preoperative studies. The low number of poor outcomes and exclusion of multistage patients limit the statistical power to determine preoperative variables that predict failure. Strong Wada memory lateralization was associated with excellent long-term outcome and adds important localization information to structural and neurophysiological data in predicting outcome after ATL-AH for MTS. (copyright) AANS, 2013.","author":[{"dropping-particle":"","family":"R.E.","given":"Elliott","non-dropping-particle":"","parse-names":false,"suffix":""},{"dropping-particle":"","family":"R.J.","given":"Bollo","non-dropping-particle":"","parse-names":false,"suffix":""},{"dropping-particle":"","family":"J.L.","given":"Berliner","non-dropping-particle":"","parse-names":false,"suffix":""},{"dropping-particle":"","family":"A.","given":"Silverberg","non-dropping-particle":"","parse-names":false,"suffix":""},{"dropping-particle":"","family":"C.","given":"Carlson","non-dropping-particle":"","parse-names":false,"suffix":""},{"dropping-particle":"","family":"E.B.","given":"Geller","non-dropping-particle":"","parse-names":false,"suffix":""},{"dropping-particle":"","family":"W.B.","given":"Barr","non-dropping-particle":"","parse-names":false,"suffix":""},{"dropping-particle":"","family":"O.","given":"Devinsky","non-dropping-particle":"","parse-names":false,"suffix":""},{"dropping-particle":"","family":"W.K.","given":"Doyle","non-dropping-particle":"","parse-names":false,"suffix":""}],"container-title":"Journal of Neurosurgery","id":"ITEM-1","issue":"2","issued":{"date-parts":[["2013"]]},"title":"Anterior temporal lobectomy with amygdalohippocampectomy for mesial temporal sclerosis: Predictors of long-term seizure control","type":"article-journal","volume":"119"},"uris":["http://www.mendeley.com/documents/?uuid=d230e260-6bd0-3c10-897e-f375dc675599"]}],"mendeley":{"formattedCitation":"[25]","plainTextFormattedCitation":"[25]","previouslyFormattedCitation":"[25]"},"properties":{"noteIndex":0},"schema":"https://github.com/citation-style-language/schema/raw/master/csl-citation.json"}</w:instrText>
      </w:r>
      <w:r w:rsidR="00005060" w:rsidRPr="0093582B">
        <w:fldChar w:fldCharType="separate"/>
      </w:r>
      <w:r w:rsidR="003A1608" w:rsidRPr="0093582B">
        <w:rPr>
          <w:noProof/>
        </w:rPr>
        <w:t>[25]</w:t>
      </w:r>
      <w:r w:rsidR="00005060" w:rsidRPr="0093582B">
        <w:fldChar w:fldCharType="end"/>
      </w:r>
      <w:r w:rsidR="00005060" w:rsidRPr="0093582B">
        <w:t>.</w:t>
      </w:r>
    </w:p>
    <w:p w:rsidR="00754D37" w:rsidRPr="0093582B" w:rsidRDefault="002E62B2" w:rsidP="00E00683">
      <w:pPr>
        <w:pStyle w:val="a9"/>
      </w:pPr>
      <w:r w:rsidRPr="0093582B">
        <w:t>Височная эпилепсия была определена в 1985 году Международной</w:t>
      </w:r>
      <w:r w:rsidR="00005060" w:rsidRPr="0093582B">
        <w:t xml:space="preserve"> противоэпилептической</w:t>
      </w:r>
      <w:r w:rsidRPr="0093582B">
        <w:t xml:space="preserve"> лигой, как состояние, характеризующееся повторяющимися неспровоцированными припадками, очаги которой локализуются в медиальной или боковой области височной доли.</w:t>
      </w:r>
      <w:r w:rsidR="00005060" w:rsidRPr="0093582B">
        <w:t xml:space="preserve"> Приступы </w:t>
      </w:r>
      <w:r w:rsidRPr="0093582B">
        <w:t>состоят из простых парциальных</w:t>
      </w:r>
      <w:r w:rsidR="00257A58" w:rsidRPr="0093582B">
        <w:t xml:space="preserve"> </w:t>
      </w:r>
      <w:r w:rsidRPr="0093582B">
        <w:t>припадков без потери сознания, которые теперь классифицируются к</w:t>
      </w:r>
      <w:r w:rsidR="00005060" w:rsidRPr="0093582B">
        <w:t>ак фокальные приступы без утраты</w:t>
      </w:r>
      <w:r w:rsidRPr="0093582B">
        <w:t xml:space="preserve"> сознания, и сложных парциальных приступов (с потерей сознания), которые теперь называются фокальными пр</w:t>
      </w:r>
      <w:r w:rsidR="00E00683" w:rsidRPr="0093582B">
        <w:t>ипадками с нарушением сознания.</w:t>
      </w:r>
    </w:p>
    <w:p w:rsidR="00754D37" w:rsidRPr="0093582B" w:rsidRDefault="002E62B2" w:rsidP="00E00683">
      <w:pPr>
        <w:pStyle w:val="a9"/>
      </w:pPr>
      <w:r w:rsidRPr="0093582B">
        <w:t>В</w:t>
      </w:r>
      <w:r w:rsidR="00005060" w:rsidRPr="0093582B">
        <w:t xml:space="preserve"> классификации эпилепсии 2017 года </w:t>
      </w:r>
      <w:r w:rsidRPr="0093582B">
        <w:t>вторично генерализованные приступы называются фокальными двусторонними тонико-клоническими приступами</w:t>
      </w:r>
      <w:r w:rsidR="00005060" w:rsidRPr="0093582B">
        <w:t xml:space="preserve"> </w:t>
      </w:r>
      <w:r w:rsidR="00005060" w:rsidRPr="0093582B">
        <w:fldChar w:fldCharType="begin" w:fldLock="1"/>
      </w:r>
      <w:r w:rsidR="001D36A0" w:rsidRPr="0093582B">
        <w:instrText>ADDIN CSL_CITATION {"citationItems":[{"id":"ITEM-1","itemData":{"DOI":"10.1111/epi.13709","ISSN":"15281167","abstract":"The International League Against Epilepsy (ILAE) Classification of the Epilepsies has been updated to reflect our gain in understanding of the epilepsies and their underlying mechanisms following the major scientific advances that have taken place since the last ratified classification in 1989. As a critical tool for the practicing clinician, epilepsy classification must be relevant and dynamic to changes in thinking, yet robust and translatable to all areas of the globe. Its primary purpose is for diagnosis of patients, but it is also critical for epilepsy research, development of antiepileptic therapies, and communication around the world. The new classification originates from a draft document submitted for public comments in 2013, which was revised to incorporate extensive feedback from the international epilepsy community over several rounds of consultation. It presents three levels, starting with seizure type, where it assumes that the patient is having epileptic seizures as defined by the new 2017 ILAE Seizure Classification. After diagnosis of the seizure type, the next step is diagnosis of epilepsy type, including focal epilepsy, generalized epilepsy, combined generalized, and focal epilepsy, and also an unknown epilepsy group. The third level is that of epilepsy syndrome, where a specific syndromic diagnosis can be made. The new classification incorporates etiology along each stage, emphasizing the need to consider etiology at each step of diagnosis, as it often carries significant treatment implications. Etiology is broken into six subgroups, selected because of their potential therapeutic consequences. New terminology is introduced such as developmental and epileptic encephalopathy. The term benign is replaced by the terms self-limited and pharmacoresponsive, to be used where appropriate. It is hoped that this new framework will assist in improving epilepsy care and research in the 21st century.","author":[{"dropping-particle":"","family":"Scheffer","given":"Ingrid E.","non-dropping-particle":"","parse-names":false,"suffix":""},{"dropping-particle":"","family":"Berkovic","given":"Samuel","non-dropping-particle":"","parse-names":false,"suffix":""},{"dropping-particle":"","family":"Capovilla","given":"Giuseppe","non-dropping-particle":"","parse-names":false,"suffix":""},{"dropping-particle":"","family":"Connolly","given":"Mary B.","non-dropping-particle":"","parse-names":false,"suffix":""},{"dropping-particle":"","family":"French","given":"Jacqueline","non-dropping-particle":"","parse-names":false,"suffix":""},{"dropping-particle":"","family":"Guilhoto","given":"Laura","non-dropping-particle":"","parse-names":false,"suffix":""},{"dropping-particle":"","family":"Hirsch","given":"Edouard","non-dropping-particle":"","parse-names":false,"suffix":""},{"dropping-particle":"","family":"Jain","given":"Satish","non-dropping-particle":"","parse-names":false,"suffix":""},{"dropping-particle":"","family":"Mathern","given":"Gary W.","non-dropping-particle":"","parse-names":false,"suffix":""},{"dropping-particle":"","family":"Moshé","given":"Solomon L.","non-dropping-particle":"","parse-names":false,"suffix":""},{"dropping-particle":"","family":"Nordli","given":"Douglas R.","non-dropping-particle":"","parse-names":false,"suffix":""},{"dropping-particle":"","family":"Perucca","given":"Emilio","non-dropping-particle":"","parse-names":false,"suffix":""},{"dropping-particle":"","family":"Tomson","given":"Torbjörn","non-dropping-particle":"","parse-names":false,"suffix":""},{"dropping-particle":"","family":"Wiebe","given":"Samuel","non-dropping-particle":"","parse-names":false,"suffix":""},{"dropping-particle":"","family":"Zhang","given":"Yue Hua","non-dropping-particle":"","parse-names":false,"suffix":""},{"dropping-particle":"","family":"Zuberi","given":"Sameer M.","non-dropping-particle":"","parse-names":false,"suffix":""}],"container-title":"Epilepsia","id":"ITEM-1","issue":"4","issued":{"date-parts":[["2017"]]},"title":"ILAE classification of the epilepsies: Position paper of the ILAE Commission for Classification and Terminology","type":"article-journal","volume":"58"},"uris":["http://www.mendeley.com/documents/?uuid=174e3988-faae-30f0-be22-0e251075a6da"]}],"mendeley":{"formattedCitation":"[2]","plainTextFormattedCitation":"[2]","previouslyFormattedCitation":"[2]"},"properties":{"noteIndex":0},"schema":"https://github.com/citation-style-language/schema/raw/master/csl-citation.json"}</w:instrText>
      </w:r>
      <w:r w:rsidR="00005060" w:rsidRPr="0093582B">
        <w:fldChar w:fldCharType="separate"/>
      </w:r>
      <w:r w:rsidR="00145D01" w:rsidRPr="0093582B">
        <w:rPr>
          <w:noProof/>
        </w:rPr>
        <w:t>[2]</w:t>
      </w:r>
      <w:r w:rsidR="00005060" w:rsidRPr="0093582B">
        <w:fldChar w:fldCharType="end"/>
      </w:r>
      <w:r w:rsidR="00E00683" w:rsidRPr="0093582B">
        <w:t>.</w:t>
      </w:r>
    </w:p>
    <w:p w:rsidR="00754D37" w:rsidRPr="0093582B" w:rsidRDefault="002E62B2" w:rsidP="00E00683">
      <w:pPr>
        <w:pStyle w:val="a9"/>
      </w:pPr>
      <w:r w:rsidRPr="0093582B">
        <w:t xml:space="preserve">Височная эпилепсия </w:t>
      </w:r>
      <w:r w:rsidR="00E00683" w:rsidRPr="0093582B">
        <w:t>–</w:t>
      </w:r>
      <w:r w:rsidRPr="0093582B">
        <w:t xml:space="preserve"> распространенный тип эпилепсии, который иногда трудно диагностировать, но после постановки диагноза ее можно эффективно лечить с помощью лекарственных препаратов</w:t>
      </w:r>
      <w:r w:rsidR="00E00683" w:rsidRPr="0093582B">
        <w:t xml:space="preserve">. </w:t>
      </w:r>
      <w:r w:rsidRPr="0093582B">
        <w:t>С медицинской точки зрения</w:t>
      </w:r>
      <w:r w:rsidR="00E00683" w:rsidRPr="0093582B">
        <w:t>,</w:t>
      </w:r>
      <w:r w:rsidRPr="0093582B">
        <w:t xml:space="preserve"> трудноизлечимая височная эпилепсия поддается хирургическому лечению, и как </w:t>
      </w:r>
      <w:r w:rsidRPr="0093582B">
        <w:lastRenderedPageBreak/>
        <w:t>правило показывает хорошую динамику в улучшении состояния и прек</w:t>
      </w:r>
      <w:r w:rsidR="00005060" w:rsidRPr="0093582B">
        <w:t xml:space="preserve">ращении возникновения приступов </w:t>
      </w:r>
      <w:r w:rsidR="00005060" w:rsidRPr="0093582B">
        <w:fldChar w:fldCharType="begin" w:fldLock="1"/>
      </w:r>
      <w:r w:rsidR="007153B1" w:rsidRPr="0093582B">
        <w:instrText>ADDIN CSL_CITATION {"citationItems":[{"id":"ITEM-1","itemData":{"DOI":"10.1007/s00701-017-3127-y","ISSN":"09420940","abstract":"Background: Seizure outcome following surgery in pharmacoresistant temporal lobe epilepsy patients with normal magnetic resonance imaging and normal or non-specific histopathology is not sufficiently presented in the literature. Methods: In a retrospective design, we reviewed data of 263 patients who had undergone temporal lobe epilepsy surgery and identified 26 (9.9%) who met the inclusion criteria. Seizure outcomes were determined at 2-year follow-up. Potential predictors of Engel class I (satisfactory outcome) were identified by logistic regression analyses. Results: Engel class I outcome was achieved in 61.5% of patients, 50% being completely seizure free (Engel class IA outcome). The strongest predictors of satisfactory outcome were typical ictal seizure semiology (p = 0.048) and localised ictal discharges on scalp EEG (p = 0.036). Conclusion: Surgery might be an effective treatment choice for the majority of these patients, although outcomes are less favourable than in patients with magnetic resonance imaging-defined lesional temporal lobe epilepsy. Typical ictal seizure semiology and localised ictal discharges on scalp EEG were predictors of Engel class I outcome.","author":[{"dropping-particle":"","family":"Ivanovic","given":"Jugoslav","non-dropping-particle":"","parse-names":false,"suffix":""},{"dropping-particle":"","family":"Larsson","given":"Pål G.","non-dropping-particle":"","parse-names":false,"suffix":""},{"dropping-particle":"","family":"Østby","given":"Ylva","non-dropping-particle":"","parse-names":false,"suffix":""},{"dropping-particle":"","family":"Hald","given":"John","non-dropping-particle":"","parse-names":false,"suffix":""},{"dropping-particle":"","family":"Krossnes","given":"Bård K.","non-dropping-particle":"","parse-names":false,"suffix":""},{"dropping-particle":"","family":"Fjeld","given":"Jan G.","non-dropping-particle":"","parse-names":false,"suffix":""},{"dropping-particle":"","family":"Pripp","given":"Are H.","non-dropping-particle":"","parse-names":false,"suffix":""},{"dropping-particle":"","family":"Alfstad","given":"Kristin","non-dropping-particle":"","parse-names":false,"suffix":""},{"dropping-particle":"","family":"Egge","given":"Arild","non-dropping-particle":"","parse-names":false,"suffix":""},{"dropping-particle":"","family":"Stanisic","given":"Milo","non-dropping-particle":"","parse-names":false,"suffix":""}],"container-title":"Acta Neurochirurgica","id":"ITEM-1","issue":"5","issued":{"date-parts":[["2017"]]},"title":"Seizure outcomes of temporal lobe epilepsy surgery in patients with normal MRI and without specific histopathology","type":"article-journal","volume":"159"},"uris":["http://www.mendeley.com/documents/?uuid=62f4363c-20dd-3fd4-90cf-334a93df4b54"]}],"mendeley":{"formattedCitation":"[26]","manualFormatting":"[26","plainTextFormattedCitation":"[26]","previouslyFormattedCitation":"[26]"},"properties":{"noteIndex":0},"schema":"https://github.com/citation-style-language/schema/raw/master/csl-citation.json"}</w:instrText>
      </w:r>
      <w:r w:rsidR="00005060" w:rsidRPr="0093582B">
        <w:fldChar w:fldCharType="separate"/>
      </w:r>
      <w:r w:rsidR="003A1608" w:rsidRPr="0093582B">
        <w:rPr>
          <w:noProof/>
        </w:rPr>
        <w:t>[26</w:t>
      </w:r>
      <w:r w:rsidR="00005060" w:rsidRPr="0093582B">
        <w:fldChar w:fldCharType="end"/>
      </w:r>
      <w:r w:rsidR="005C6CBE" w:rsidRPr="0093582B">
        <w:fldChar w:fldCharType="begin" w:fldLock="1"/>
      </w:r>
      <w:r w:rsidR="007153B1" w:rsidRPr="0093582B">
        <w:instrText>ADDIN CSL_CITATION {"citationItems":[{"id":"ITEM-1","itemData":{"DOI":"10.1212/01.CON.0000431398.69594.97","ISSN":"10802371","abstract":"Purpose of Review: This article outlines indications for neurosurgical treatment of epilepsy, describes the presurgical workup, summarizes surgical approaches, and details expected risks and benefits. Recent Findings: There is class I evidence for the efficacy of temporal lobectomy in treating intractable seizures, and accumulating documentation that successful surgical treatment reverses much of the disability, morbidity, and excess mortality of chronic epilepsy. Summary: Chronic, uncontrolled focal epilepsy causes progressive disability and increased mortality, but these can be reversed with seizure control. Vigorous efforts to stop seizures are warranted. If two well-chosen and tolerated medication trials do not achieve seizure control, an early workup for epilepsy surgery should be arranged. If this workup definitively identifies the brain region from which the seizures arise, and this region can be removed with a low risk of disabling neurologic deficits, neurosurgery will have a much better chance of stopping seizures than further medication trials. © 2013, American Academy of Neurology.","author":[{"dropping-particle":"","family":"Miller","given":"John W.","non-dropping-particle":"","parse-names":false,"suffix":""},{"dropping-particle":"","family":"Hakimian","given":"Shahin","non-dropping-particle":"","parse-names":false,"suffix":""}],"container-title":"CONTINUUM Lifelong Learning in Neurology","id":"ITEM-1","issue":"3","issued":{"date-parts":[["2013"]]},"title":"Surgical treatment of epilepsy","type":"article","volume":"19"},"uris":["http://www.mendeley.com/documents/?uuid=b71ba69e-9eea-3161-a47c-812bb79ac78c"]}],"mendeley":{"formattedCitation":"[27]","manualFormatting":", 27]","plainTextFormattedCitation":"[27]","previouslyFormattedCitation":"[27]"},"properties":{"noteIndex":0},"schema":"https://github.com/citation-style-language/schema/raw/master/csl-citation.json"}</w:instrText>
      </w:r>
      <w:r w:rsidR="005C6CBE" w:rsidRPr="0093582B">
        <w:fldChar w:fldCharType="separate"/>
      </w:r>
      <w:r w:rsidR="007153B1" w:rsidRPr="0093582B">
        <w:rPr>
          <w:noProof/>
        </w:rPr>
        <w:t xml:space="preserve">, </w:t>
      </w:r>
      <w:r w:rsidR="003A1608" w:rsidRPr="0093582B">
        <w:rPr>
          <w:noProof/>
        </w:rPr>
        <w:t>27]</w:t>
      </w:r>
      <w:r w:rsidR="005C6CBE" w:rsidRPr="0093582B">
        <w:fldChar w:fldCharType="end"/>
      </w:r>
      <w:r w:rsidR="00005060" w:rsidRPr="0093582B">
        <w:t>.</w:t>
      </w:r>
    </w:p>
    <w:p w:rsidR="00754D37" w:rsidRPr="0093582B" w:rsidRDefault="005C6CBE" w:rsidP="00E00683">
      <w:pPr>
        <w:pStyle w:val="a9"/>
      </w:pPr>
      <w:r w:rsidRPr="0093582B">
        <w:t>Виды височной</w:t>
      </w:r>
      <w:r w:rsidR="002E62B2" w:rsidRPr="0093582B">
        <w:t xml:space="preserve"> эпилепсии:</w:t>
      </w:r>
    </w:p>
    <w:p w:rsidR="00E00683" w:rsidRPr="0093582B" w:rsidRDefault="002E62B2" w:rsidP="00E00683">
      <w:pPr>
        <w:pStyle w:val="a9"/>
        <w:numPr>
          <w:ilvl w:val="0"/>
          <w:numId w:val="7"/>
        </w:numPr>
        <w:ind w:left="360"/>
      </w:pPr>
      <w:r w:rsidRPr="0093582B">
        <w:t xml:space="preserve">Мезиальная височная эпилепсия </w:t>
      </w:r>
      <w:r w:rsidR="00005060" w:rsidRPr="0093582B">
        <w:t>– эпилептогенный очаг расположен во внутренних структурах</w:t>
      </w:r>
      <w:r w:rsidRPr="0093582B">
        <w:t xml:space="preserve"> височной до</w:t>
      </w:r>
      <w:r w:rsidR="00E00683" w:rsidRPr="0093582B">
        <w:t xml:space="preserve">ли. </w:t>
      </w:r>
      <w:r w:rsidR="002A1EFB" w:rsidRPr="0093582B">
        <w:t>Приступы</w:t>
      </w:r>
      <w:r w:rsidR="00005060" w:rsidRPr="0093582B">
        <w:t xml:space="preserve"> часто начинаются </w:t>
      </w:r>
      <w:r w:rsidRPr="0093582B">
        <w:t xml:space="preserve">с </w:t>
      </w:r>
      <w:r w:rsidR="00257A58" w:rsidRPr="0093582B">
        <w:t xml:space="preserve">активации </w:t>
      </w:r>
      <w:r w:rsidR="002A1EFB" w:rsidRPr="0093582B">
        <w:t>области гиппокампа</w:t>
      </w:r>
      <w:r w:rsidR="00E00683" w:rsidRPr="0093582B">
        <w:t xml:space="preserve">. </w:t>
      </w:r>
      <w:r w:rsidRPr="0093582B">
        <w:t xml:space="preserve">На мезиальную височную эпилепсию приходится почти 80% всех </w:t>
      </w:r>
      <w:r w:rsidR="00257A58" w:rsidRPr="0093582B">
        <w:t>приступов, связанных с патологией</w:t>
      </w:r>
      <w:r w:rsidRPr="0093582B">
        <w:t xml:space="preserve"> височной доли</w:t>
      </w:r>
      <w:r w:rsidR="00E00683" w:rsidRPr="0093582B">
        <w:t>;</w:t>
      </w:r>
    </w:p>
    <w:p w:rsidR="00754D37" w:rsidRPr="0093582B" w:rsidRDefault="002E62B2" w:rsidP="00E00683">
      <w:pPr>
        <w:pStyle w:val="a9"/>
        <w:numPr>
          <w:ilvl w:val="0"/>
          <w:numId w:val="7"/>
        </w:numPr>
        <w:ind w:left="360"/>
      </w:pPr>
      <w:r w:rsidRPr="0093582B">
        <w:t xml:space="preserve">Неокортикальная, или </w:t>
      </w:r>
      <w:r w:rsidR="00005060" w:rsidRPr="0093582B">
        <w:t>боковая (латеральная) височная эпилепсия</w:t>
      </w:r>
      <w:r w:rsidR="00005060" w:rsidRPr="0093582B">
        <w:rPr>
          <w:rFonts w:ascii="Times New Roman" w:hAnsi="Times New Roman" w:cs="Times New Roman"/>
        </w:rPr>
        <w:t xml:space="preserve"> – связана с наличием эпилептогенного очага во внешней части височной доли</w:t>
      </w:r>
      <w:r w:rsidR="00005060" w:rsidRPr="0093582B">
        <w:t xml:space="preserve"> </w:t>
      </w:r>
      <w:r w:rsidR="00005060" w:rsidRPr="0093582B">
        <w:fldChar w:fldCharType="begin" w:fldLock="1"/>
      </w:r>
      <w:r w:rsidR="001D36A0" w:rsidRPr="0093582B">
        <w:instrText>ADDIN CSL_CITATION {"citationItems":[{"id":"ITEM-1","itemData":{"DOI":"10.1111/epi.13709","ISSN":"15281167","abstract":"The International League Against Epilepsy (ILAE) Classification of the Epilepsies has been updated to reflect our gain in understanding of the epilepsies and their underlying mechanisms following the major scientific advances that have taken place since the last ratified classification in 1989. As a critical tool for the practicing clinician, epilepsy classification must be relevant and dynamic to changes in thinking, yet robust and translatable to all areas of the globe. Its primary purpose is for diagnosis of patients, but it is also critical for epilepsy research, development of antiepileptic therapies, and communication around the world. The new classification originates from a draft document submitted for public comments in 2013, which was revised to incorporate extensive feedback from the international epilepsy community over several rounds of consultation. It presents three levels, starting with seizure type, where it assumes that the patient is having epileptic seizures as defined by the new 2017 ILAE Seizure Classification. After diagnosis of the seizure type, the next step is diagnosis of epilepsy type, including focal epilepsy, generalized epilepsy, combined generalized, and focal epilepsy, and also an unknown epilepsy group. The third level is that of epilepsy syndrome, where a specific syndromic diagnosis can be made. The new classification incorporates etiology along each stage, emphasizing the need to consider etiology at each step of diagnosis, as it often carries significant treatment implications. Etiology is broken into six subgroups, selected because of their potential therapeutic consequences. New terminology is introduced such as developmental and epileptic encephalopathy. The term benign is replaced by the terms self-limited and pharmacoresponsive, to be used where appropriate. It is hoped that this new framework will assist in improving epilepsy care and research in the 21st century.","author":[{"dropping-particle":"","family":"Scheffer","given":"Ingrid E.","non-dropping-particle":"","parse-names":false,"suffix":""},{"dropping-particle":"","family":"Berkovic","given":"Samuel","non-dropping-particle":"","parse-names":false,"suffix":""},{"dropping-particle":"","family":"Capovilla","given":"Giuseppe","non-dropping-particle":"","parse-names":false,"suffix":""},{"dropping-particle":"","family":"Connolly","given":"Mary B.","non-dropping-particle":"","parse-names":false,"suffix":""},{"dropping-particle":"","family":"French","given":"Jacqueline","non-dropping-particle":"","parse-names":false,"suffix":""},{"dropping-particle":"","family":"Guilhoto","given":"Laura","non-dropping-particle":"","parse-names":false,"suffix":""},{"dropping-particle":"","family":"Hirsch","given":"Edouard","non-dropping-particle":"","parse-names":false,"suffix":""},{"dropping-particle":"","family":"Jain","given":"Satish","non-dropping-particle":"","parse-names":false,"suffix":""},{"dropping-particle":"","family":"Mathern","given":"Gary W.","non-dropping-particle":"","parse-names":false,"suffix":""},{"dropping-particle":"","family":"Moshé","given":"Solomon L.","non-dropping-particle":"","parse-names":false,"suffix":""},{"dropping-particle":"","family":"Nordli","given":"Douglas R.","non-dropping-particle":"","parse-names":false,"suffix":""},{"dropping-particle":"","family":"Perucca","given":"Emilio","non-dropping-particle":"","parse-names":false,"suffix":""},{"dropping-particle":"","family":"Tomson","given":"Torbjörn","non-dropping-particle":"","parse-names":false,"suffix":""},{"dropping-particle":"","family":"Wiebe","given":"Samuel","non-dropping-particle":"","parse-names":false,"suffix":""},{"dropping-particle":"","family":"Zhang","given":"Yue Hua","non-dropping-particle":"","parse-names":false,"suffix":""},{"dropping-particle":"","family":"Zuberi","given":"Sameer M.","non-dropping-particle":"","parse-names":false,"suffix":""}],"container-title":"Epilepsia","id":"ITEM-1","issue":"4","issued":{"date-parts":[["2017"]]},"title":"ILAE classification of the epilepsies: Position paper of the ILAE Commission for Classification and Terminology","type":"article-journal","volume":"58"},"uris":["http://www.mendeley.com/documents/?uuid=174e3988-faae-30f0-be22-0e251075a6da"]}],"mendeley":{"formattedCitation":"[2]","plainTextFormattedCitation":"[2]","previouslyFormattedCitation":"[2]"},"properties":{"noteIndex":0},"schema":"https://github.com/citation-style-language/schema/raw/master/csl-citation.json"}</w:instrText>
      </w:r>
      <w:r w:rsidR="00005060" w:rsidRPr="0093582B">
        <w:fldChar w:fldCharType="separate"/>
      </w:r>
      <w:r w:rsidR="00145D01" w:rsidRPr="0093582B">
        <w:rPr>
          <w:noProof/>
        </w:rPr>
        <w:t>[2]</w:t>
      </w:r>
      <w:r w:rsidR="00005060" w:rsidRPr="0093582B">
        <w:fldChar w:fldCharType="end"/>
      </w:r>
      <w:r w:rsidRPr="0093582B">
        <w:t>.</w:t>
      </w:r>
      <w:r w:rsidR="00257A58" w:rsidRPr="0093582B">
        <w:t xml:space="preserve"> </w:t>
      </w:r>
    </w:p>
    <w:p w:rsidR="00E00683" w:rsidRPr="0093582B" w:rsidRDefault="002A1EFB" w:rsidP="00E00683">
      <w:pPr>
        <w:pStyle w:val="a9"/>
        <w:spacing w:before="240"/>
      </w:pPr>
      <w:r w:rsidRPr="0093582B">
        <w:t>Наиболее характерные типы приступов для</w:t>
      </w:r>
      <w:r w:rsidR="005D4DA3" w:rsidRPr="0093582B">
        <w:t xml:space="preserve"> медиальной</w:t>
      </w:r>
      <w:r w:rsidRPr="0093582B">
        <w:t xml:space="preserve"> височной локализации: </w:t>
      </w:r>
    </w:p>
    <w:p w:rsidR="00E00683" w:rsidRPr="0093582B" w:rsidRDefault="002A1EFB" w:rsidP="00E00683">
      <w:pPr>
        <w:pStyle w:val="a9"/>
        <w:numPr>
          <w:ilvl w:val="0"/>
          <w:numId w:val="9"/>
        </w:numPr>
        <w:ind w:left="360"/>
      </w:pPr>
      <w:r w:rsidRPr="0093582B">
        <w:t>ЭП сенсорным дебютом без расстройства сознания</w:t>
      </w:r>
      <w:r w:rsidR="00E00683" w:rsidRPr="0093582B">
        <w:t xml:space="preserve">. Часто проявляются </w:t>
      </w:r>
      <w:r w:rsidRPr="0093582B">
        <w:t>висцерально-вегетативными абдоминальными аурами, реже в форме обонятельных или вкусовых галлюцинаций, гипнагогических состояний</w:t>
      </w:r>
      <w:r w:rsidR="000B278B" w:rsidRPr="0093582B">
        <w:t>. Встречаются</w:t>
      </w:r>
      <w:r w:rsidRPr="0093582B">
        <w:t xml:space="preserve"> </w:t>
      </w:r>
      <w:r w:rsidR="000B278B" w:rsidRPr="0093582B">
        <w:t>аффективные пароксизмы</w:t>
      </w:r>
      <w:r w:rsidRPr="0093582B">
        <w:t xml:space="preserve"> (</w:t>
      </w:r>
      <w:r w:rsidR="000B278B" w:rsidRPr="0093582B">
        <w:t>немотивированные страх, радость</w:t>
      </w:r>
      <w:r w:rsidRPr="0093582B">
        <w:t xml:space="preserve">, </w:t>
      </w:r>
      <w:r w:rsidR="000B278B" w:rsidRPr="0093582B">
        <w:t xml:space="preserve">чувства </w:t>
      </w:r>
      <w:r w:rsidRPr="0093582B">
        <w:t>прип</w:t>
      </w:r>
      <w:r w:rsidR="000B278B" w:rsidRPr="0093582B">
        <w:t>однятости, легкости и экст</w:t>
      </w:r>
      <w:r w:rsidR="00E00683" w:rsidRPr="0093582B">
        <w:t>аза) и явления деперсонализации;</w:t>
      </w:r>
    </w:p>
    <w:p w:rsidR="00E00683" w:rsidRPr="0093582B" w:rsidRDefault="002A1EFB" w:rsidP="00E00683">
      <w:pPr>
        <w:pStyle w:val="a9"/>
        <w:numPr>
          <w:ilvl w:val="0"/>
          <w:numId w:val="9"/>
        </w:numPr>
        <w:ind w:left="360"/>
      </w:pPr>
      <w:r w:rsidRPr="0093582B">
        <w:t>Фокальные ЭП с моторным деб</w:t>
      </w:r>
      <w:r w:rsidR="000B278B" w:rsidRPr="0093582B">
        <w:t>ютом и типичными автоматизмами:</w:t>
      </w:r>
      <w:r w:rsidRPr="0093582B">
        <w:t xml:space="preserve"> изолированное выключение (или изменение) сознания без судорог с наличием ороалиментарных или жестовых (на стороне очага) автоматизмов и нередко </w:t>
      </w:r>
      <w:r w:rsidR="000B278B" w:rsidRPr="0093582B">
        <w:t xml:space="preserve">рефлекторными сокращениями </w:t>
      </w:r>
      <w:r w:rsidRPr="0093582B">
        <w:t>кисти на противоположной стороне;</w:t>
      </w:r>
    </w:p>
    <w:p w:rsidR="00E00683" w:rsidRPr="0093582B" w:rsidRDefault="000B278B" w:rsidP="00E00683">
      <w:pPr>
        <w:pStyle w:val="a9"/>
        <w:numPr>
          <w:ilvl w:val="0"/>
          <w:numId w:val="9"/>
        </w:numPr>
        <w:ind w:left="360"/>
      </w:pPr>
      <w:r w:rsidRPr="0093582B">
        <w:t>Ф</w:t>
      </w:r>
      <w:r w:rsidR="002A1EFB" w:rsidRPr="0093582B">
        <w:t xml:space="preserve">окальные ЭП с остановкой </w:t>
      </w:r>
      <w:r w:rsidRPr="0093582B">
        <w:t>действия</w:t>
      </w:r>
      <w:r w:rsidR="00E00683" w:rsidRPr="0093582B">
        <w:t>;</w:t>
      </w:r>
    </w:p>
    <w:p w:rsidR="002A1EFB" w:rsidRPr="0093582B" w:rsidRDefault="002A1EFB" w:rsidP="00E00683">
      <w:pPr>
        <w:pStyle w:val="a9"/>
        <w:numPr>
          <w:ilvl w:val="0"/>
          <w:numId w:val="9"/>
        </w:numPr>
        <w:ind w:left="360"/>
      </w:pPr>
      <w:r w:rsidRPr="0093582B">
        <w:t>Билатеральные тонико-клонические приступы с локальным сенсорным или моторным началом</w:t>
      </w:r>
      <w:r w:rsidR="000B278B" w:rsidRPr="0093582B">
        <w:t xml:space="preserve"> </w:t>
      </w:r>
      <w:r w:rsidR="000B278B" w:rsidRPr="0093582B">
        <w:fldChar w:fldCharType="begin" w:fldLock="1"/>
      </w:r>
      <w:r w:rsidR="003A1608" w:rsidRPr="0093582B">
        <w:instrText>ADDIN CSL_CITATION {"citationItems":[{"id":"ITEM-1","itemData":{"author":[{"dropping-particle":"","family":"Карлов В.А","given":"","non-dropping-particle":"","parse-names":false,"suffix":""}],"id":"ITEM-1","issued":{"date-parts":[["2019"]]},"number-of-pages":"896","title":"Эпилепсия у детей и взрослых женщин и мужчин. 2-е издание","type":"book"},"uris":["http://www.mendeley.com/documents/?uuid=ea971ab2-81b4-4d08-88a4-c01a29c78229"]}],"mendeley":{"formattedCitation":"[28]","plainTextFormattedCitation":"[28]","previouslyFormattedCitation":"[28]"},"properties":{"noteIndex":0},"schema":"https://github.com/citation-style-language/schema/raw/master/csl-citation.json"}</w:instrText>
      </w:r>
      <w:r w:rsidR="000B278B" w:rsidRPr="0093582B">
        <w:fldChar w:fldCharType="separate"/>
      </w:r>
      <w:r w:rsidR="003A1608" w:rsidRPr="0093582B">
        <w:rPr>
          <w:noProof/>
        </w:rPr>
        <w:t>[28]</w:t>
      </w:r>
      <w:r w:rsidR="000B278B" w:rsidRPr="0093582B">
        <w:fldChar w:fldCharType="end"/>
      </w:r>
      <w:r w:rsidR="00E00683" w:rsidRPr="0093582B">
        <w:t>.</w:t>
      </w:r>
    </w:p>
    <w:p w:rsidR="002A1EFB" w:rsidRPr="0093582B" w:rsidRDefault="002A1EFB" w:rsidP="00E00683">
      <w:pPr>
        <w:pStyle w:val="a9"/>
      </w:pPr>
      <w:r w:rsidRPr="0093582B">
        <w:t>Продолжительность ЭП при</w:t>
      </w:r>
      <w:r w:rsidR="005D4DA3" w:rsidRPr="0093582B">
        <w:t xml:space="preserve"> медиальных</w:t>
      </w:r>
      <w:r w:rsidRPr="0093582B">
        <w:t xml:space="preserve"> височных формах обычно составляет от 30 сек до 3 мин, частота от единичных в месяц до ежедневных серийных. Характерны многообразие и сложность клинических проявлений как </w:t>
      </w:r>
      <w:r w:rsidRPr="0093582B">
        <w:lastRenderedPageBreak/>
        <w:t xml:space="preserve">в структуре самих приступов, так </w:t>
      </w:r>
      <w:r w:rsidR="000B278B" w:rsidRPr="0093582B">
        <w:t xml:space="preserve">сопутствующих </w:t>
      </w:r>
      <w:r w:rsidRPr="0093582B">
        <w:t xml:space="preserve">расстройств, среди которых доминируют нарушения </w:t>
      </w:r>
      <w:r w:rsidR="000B278B" w:rsidRPr="0093582B">
        <w:t>когнитивных функций</w:t>
      </w:r>
      <w:r w:rsidRPr="0093582B">
        <w:t>, аффективные расстройства, эпизодические психотические и дисфорические нарушения</w:t>
      </w:r>
      <w:r w:rsidR="000B278B" w:rsidRPr="0093582B">
        <w:t>.</w:t>
      </w:r>
    </w:p>
    <w:p w:rsidR="00754D37" w:rsidRPr="0093582B" w:rsidRDefault="00005060" w:rsidP="00E00683">
      <w:pPr>
        <w:pStyle w:val="a9"/>
      </w:pPr>
      <w:r w:rsidRPr="0093582B">
        <w:t>Мез</w:t>
      </w:r>
      <w:r w:rsidR="002E62B2" w:rsidRPr="0093582B">
        <w:t>иальная височная эпилепсия обычно начинается в возрасте 10-20 лет, но м</w:t>
      </w:r>
      <w:r w:rsidR="00E00683" w:rsidRPr="0093582B">
        <w:t xml:space="preserve">ожет начаться в любом возрасте. </w:t>
      </w:r>
      <w:r w:rsidR="002E62B2" w:rsidRPr="0093582B">
        <w:t xml:space="preserve">Обычно у таких пациентов </w:t>
      </w:r>
      <w:r w:rsidR="005D4DA3" w:rsidRPr="0093582B">
        <w:t>в детском возрасте случались фебрильные судороги, предшествовала иная перинатальная патология, травмы</w:t>
      </w:r>
      <w:r w:rsidR="002E62B2" w:rsidRPr="0093582B">
        <w:t xml:space="preserve"> головного мозга </w:t>
      </w:r>
      <w:r w:rsidRPr="0093582B">
        <w:fldChar w:fldCharType="begin" w:fldLock="1"/>
      </w:r>
      <w:r w:rsidR="003A1608" w:rsidRPr="0093582B">
        <w:instrText>ADDIN CSL_CITATION {"citationItems":[{"id":"ITEM-1","itemData":{"DOI":"10.1111/epi.14068","ISSN":"15281167","abstract":"Among the causes of epilepsy are several that are currently preventable. In this review, we summarize the public health burden of epilepsy arising from such causes and suggest priorities for primary epilepsy prevention. We conducted a systematic review of published epidemiologic studies of epilepsy of 4 preventable etiologic categories—perinatal insults, traumatic brain injury (TBI), central nervous system (CNS) infection, and stroke. Applying consistent criteria, we assessed the quality of each study and extracted data on measures of risk from those with adequate quality ratings, summarizing findings across studies as medians and interquartile ranges. Among higher-quality population-based studies, the median prevalence of active epilepsy across all ages was 11.1 per 1000 population in lower- and middle-income countries (LMIC) and 7.0 per 1000 in high-income countries (HIC). Perinatal brain insults were the largest attributable fraction of preventable etiologies in children, with median estimated fractions of 17% in LMIC and 15% in HIC. Stroke was the most common preventable etiology among older adults with epilepsy, both in LMIC and in HIC, accounting for half or more of all new onset cases. TBI was the attributed cause in nearly 5% of epilepsy cases in HIC and LMIC. CNS infections were a more common attributed cause in LMIC, accounting for about 5% of all epilepsy cases. Among some rural LMIC communities, the median proportion of epilepsy cases attributable to endemic neurocysticercosis was 34%. A large proportion of the overall public health burden of epilepsy is attributable to preventable causes. The attributable fraction for perinatal causes, infections, TBI, and stroke in sum reaches nearly 25% in both LMIC and HIC. Public health interventions addressing maternal and child health care, immunizations, public sanitation, brain injury prevention, and stroke prevention have the potential to significantly reduce the burden of epilepsy.","author":[{"dropping-particle":"","family":"Thurman","given":"David J.","non-dropping-particle":"","parse-names":false,"suffix":""},{"dropping-particle":"","family":"Begley","given":"Charles E.","non-dropping-particle":"","parse-names":false,"suffix":""},{"dropping-particle":"","family":"Carpio","given":"Arturo","non-dropping-particle":"","parse-names":false,"suffix":""},{"dropping-particle":"","family":"Helmers","given":"Sandra","non-dropping-particle":"","parse-names":false,"suffix":""},{"dropping-particle":"","family":"Hesdorffer","given":"Dale C.","non-dropping-particle":"","parse-names":false,"suffix":""},{"dropping-particle":"","family":"Mu","given":"Jie","non-dropping-particle":"","parse-names":false,"suffix":""},{"dropping-particle":"","family":"Touré","given":"Kamadore","non-dropping-particle":"","parse-names":false,"suffix":""},{"dropping-particle":"","family":"Parko","given":"Karen L.","non-dropping-particle":"","parse-names":false,"suffix":""},{"dropping-particle":"","family":"Newton","given":"Charles R.","non-dropping-particle":"","parse-names":false,"suffix":""}],"container-title":"Epilepsia","id":"ITEM-1","issue":"5","issued":{"date-parts":[["2018"]]},"title":"The primary prevention of epilepsy: A report of the Prevention Task Force of the International League Against Epilepsy","type":"article","volume":"59"},"uris":["http://www.mendeley.com/documents/?uuid=f5ad705a-61b8-33b8-9de2-2af46a0d2af2"]}],"mendeley":{"formattedCitation":"[12]","plainTextFormattedCitation":"[12]","previouslyFormattedCitation":"[12]"},"properties":{"noteIndex":0},"schema":"https://github.com/citation-style-language/schema/raw/master/csl-citation.json"}</w:instrText>
      </w:r>
      <w:r w:rsidRPr="0093582B">
        <w:fldChar w:fldCharType="separate"/>
      </w:r>
      <w:r w:rsidR="003A1608" w:rsidRPr="0093582B">
        <w:rPr>
          <w:noProof/>
        </w:rPr>
        <w:t>[12]</w:t>
      </w:r>
      <w:r w:rsidRPr="0093582B">
        <w:fldChar w:fldCharType="end"/>
      </w:r>
      <w:r w:rsidRPr="0093582B">
        <w:t>.</w:t>
      </w:r>
    </w:p>
    <w:p w:rsidR="00754D37" w:rsidRPr="0093582B" w:rsidRDefault="002E62B2" w:rsidP="00E00683">
      <w:pPr>
        <w:pStyle w:val="a9"/>
      </w:pPr>
      <w:r w:rsidRPr="0093582B">
        <w:t>Считается, что классическим эпилептогенным поражением головного моз</w:t>
      </w:r>
      <w:r w:rsidR="005D4DA3" w:rsidRPr="0093582B">
        <w:t>га, сопряженным с мезиальной</w:t>
      </w:r>
      <w:r w:rsidRPr="0093582B">
        <w:t xml:space="preserve"> височной эпилепсией, является мезиальный височный склероз или склероз гиппокампа</w:t>
      </w:r>
      <w:r w:rsidR="005D4DA3" w:rsidRPr="0093582B">
        <w:t xml:space="preserve"> </w:t>
      </w:r>
      <w:r w:rsidR="005D4DA3" w:rsidRPr="0093582B">
        <w:fldChar w:fldCharType="begin" w:fldLock="1"/>
      </w:r>
      <w:r w:rsidR="003A1608" w:rsidRPr="0093582B">
        <w:instrText>ADDIN CSL_CITATION {"citationItems":[{"id":"ITEM-1","itemData":{"DOI":"10.1055/s-0035-1552618","ISSN":"10989021","PMID":"26060898","abstract":"Hippocampal sclerosis is the commonest cause of drug-resistant epilepsy in adults, and is associated with alterations to structures and networks beyond the hippocampus. In addition to being a cause of epilepsy, the hippocampus is vulnerable to damage from seizure activity. In particular, prolonged seizures (status epilepticus) can result in hippocampal sclerosis. The hippocampus is also vulnerable to other insults including traumatic brain injury, and inflammation. Hippocampal sclerosis can occur in association with other brain lesions; the prevailing view is that it is probably a secondary consequence. In such instances, successful surgical treatment usually involves the resection of both the lesion and the involved hippocampus. Experimental data have pointed to numerous neuroprotective strategies to prevent hippocampal sclerosis. Initial neuroprotective strategies aimed at glutamate receptors may be effective, but later, metabolic pathways, apoptosis, reactive oxygen species, and inflammation are involved, perhaps necessitating the use of interventions aimed at multiple targets. Some of the therapies that we use to treat status epilepticus may neuroprotect. However, prevention of neuronal death does not necessarily prevent the later development of epilepsy or cognitive deficits. Perhaps, the most important intervention is the early, aggressive treatment of seizure activity, and the prevention of prolonged seizures.","author":[{"dropping-particle":"","family":"Walker","given":"Matthew Charles","non-dropping-particle":"","parse-names":false,"suffix":""}],"container-title":"Seminars in Neurology","id":"ITEM-1","issue":"3","issued":{"date-parts":[["2015","6","12"]]},"page":"193-200","publisher":"Thieme Medical Publishers, Inc.","title":"Hippocampal sclerosis: Causes and prevention","type":"article-journal","volume":"35"},"uris":["http://www.mendeley.com/documents/?uuid=1e666f94-3569-3f0f-8723-e1238a566048"]}],"mendeley":{"formattedCitation":"[29]","plainTextFormattedCitation":"[29]","previouslyFormattedCitation":"[29]"},"properties":{"noteIndex":0},"schema":"https://github.com/citation-style-language/schema/raw/master/csl-citation.json"}</w:instrText>
      </w:r>
      <w:r w:rsidR="005D4DA3" w:rsidRPr="0093582B">
        <w:fldChar w:fldCharType="separate"/>
      </w:r>
      <w:r w:rsidR="003A1608" w:rsidRPr="0093582B">
        <w:rPr>
          <w:noProof/>
        </w:rPr>
        <w:t>[29]</w:t>
      </w:r>
      <w:r w:rsidR="005D4DA3" w:rsidRPr="0093582B">
        <w:fldChar w:fldCharType="end"/>
      </w:r>
      <w:r w:rsidRPr="0093582B">
        <w:t>.</w:t>
      </w:r>
    </w:p>
    <w:p w:rsidR="00754D37" w:rsidRPr="0093582B" w:rsidRDefault="00C83865" w:rsidP="006B152D">
      <w:pPr>
        <w:pStyle w:val="3"/>
      </w:pPr>
      <w:bookmarkStart w:id="7" w:name="_Toc104427527"/>
      <w:r w:rsidRPr="0093582B">
        <w:t xml:space="preserve">1.3.2. </w:t>
      </w:r>
      <w:r w:rsidR="002E62B2" w:rsidRPr="0093582B">
        <w:t>Гиппокампальный склероз</w:t>
      </w:r>
      <w:bookmarkEnd w:id="7"/>
    </w:p>
    <w:p w:rsidR="00754D37" w:rsidRPr="0093582B" w:rsidRDefault="002E62B2" w:rsidP="00E00683">
      <w:pPr>
        <w:pStyle w:val="a9"/>
      </w:pPr>
      <w:r w:rsidRPr="0093582B">
        <w:t xml:space="preserve">Склеротические изменения гиппокампа являются часто встречаемым морфологическим субстратом при височной эпилепсии и характеризуются нарушениями клеточного строения гиппокампа </w:t>
      </w:r>
      <w:r w:rsidR="00E00683" w:rsidRPr="0093582B">
        <w:t>–</w:t>
      </w:r>
      <w:r w:rsidRPr="0093582B">
        <w:t xml:space="preserve"> гибелью нейронов и глиозом. Хотя общепринятым значением «склероза» (от греческого слова </w:t>
      </w:r>
      <w:r w:rsidRPr="0093582B">
        <w:rPr>
          <w:i/>
        </w:rPr>
        <w:t>scleros</w:t>
      </w:r>
      <w:r w:rsidRPr="0093582B">
        <w:t xml:space="preserve"> – уплотнение) является уплотнение органа с замещением паренхимальных клеток соединительной тканью, при патологии нервной системы оно также подразумевает глиоз. Данные изменения называют мезиальным височным склерозом, инцизуральным склерозом или «склерозом Аммонова рога» </w:t>
      </w:r>
      <w:r w:rsidR="00C83865" w:rsidRPr="0093582B">
        <w:fldChar w:fldCharType="begin" w:fldLock="1"/>
      </w:r>
      <w:r w:rsidR="003A1608" w:rsidRPr="0093582B">
        <w:instrText>ADDIN CSL_CITATION {"citationItems":[{"id":"ITEM-1","itemData":{"DOI":"10.1093/brain/awh358","ISSN":"00068950","abstract":"Temporal lobe epilepsy (TLE) accompanied by hippocampal sclerosis (HS) is the type of epilepsy most frequently operated on. The predictors for long-term seizure freedom after surgery of TLE-HS are unknown. In this study, we aimed to identify prognostic factors which predict the outcome 6 months and 2, 3 and 5 years after epilepsy surgery of TLE-HS. Our working hypothesis was that the prognostic value of potential predictors depended on the post-operative time interval for which the assessment was made. We included 171 patients (100 females and 71 males, aged 16-59 years) who had undergone presurgical evaluation, including video-EEG, who had had MRI-defined HS, and who had undergone temporal lobectomy. We found that secondarily generalized seizures (SGTCS) and ictal dystonia were associated with a worse 2-year outcome. Both these variables together with older age and longer epilepsy duration were also related to a worse 3-year outcome. Ictal limb dystonia, older age and longer epilepsy duration were associated with long-term surgical failure evaluated 5 years post-operatively. In order to determine the independent predictors of outcomes, we calculated multivariate analyses. The presence of SGTCS and ictal dystonia independently predicted the 2-year outcome. Longer epilepsy duration and ictal dystonia predicted the 3-year outcome. Longer epilepsy duration (P = 0.003) predicted a poor 5-year outcome. Conclusively, predictors for the long-term surgical results of TLE with HS are different from those variables that predict the short-term outcome. Epilepsy duration is the most important predictor for long-term surgical outcome. Our results strongly suggest that surgery for TLE-HS should be performed as early as possible.","author":[{"dropping-particle":"","family":"Janszky","given":"Jozsef","non-dropping-particle":"","parse-names":false,"suffix":""},{"dropping-particle":"","family":"Janszky","given":"I.","non-dropping-particle":"","parse-names":false,"suffix":""},{"dropping-particle":"","family":"Schulz","given":"R.","non-dropping-particle":"","parse-names":false,"suffix":""},{"dropping-particle":"","family":"Hoppe","given":"M.","non-dropping-particle":"","parse-names":false,"suffix":""},{"dropping-particle":"","family":"Behne","given":"F.","non-dropping-particle":"","parse-names":false,"suffix":""},{"dropping-particle":"","family":"Pannek","given":"H. W.","non-dropping-particle":"","parse-names":false,"suffix":""},{"dropping-particle":"","family":"Ebner","given":"Alois","non-dropping-particle":"","parse-names":false,"suffix":""}],"container-title":"Brain","id":"ITEM-1","issue":"2","issued":{"date-parts":[["2005"]]},"title":"Temporal lobe epilepsy with hippocampal sclerosis: Predictors for long-term surgical outcome","type":"article-journal","volume":"128"},"uris":["http://www.mendeley.com/documents/?uuid=14664c89-066a-3f94-ad75-eb8a0000e53e"]}],"mendeley":{"formattedCitation":"[30]","plainTextFormattedCitation":"[30]","previouslyFormattedCitation":"[30]"},"properties":{"noteIndex":0},"schema":"https://github.com/citation-style-language/schema/raw/master/csl-citation.json"}</w:instrText>
      </w:r>
      <w:r w:rsidR="00C83865" w:rsidRPr="0093582B">
        <w:fldChar w:fldCharType="separate"/>
      </w:r>
      <w:r w:rsidR="003A1608" w:rsidRPr="0093582B">
        <w:rPr>
          <w:noProof/>
        </w:rPr>
        <w:t>[30]</w:t>
      </w:r>
      <w:r w:rsidR="00C83865" w:rsidRPr="0093582B">
        <w:fldChar w:fldCharType="end"/>
      </w:r>
      <w:r w:rsidR="00C83865" w:rsidRPr="0093582B">
        <w:t>.</w:t>
      </w:r>
    </w:p>
    <w:p w:rsidR="00754D37" w:rsidRPr="0093582B" w:rsidRDefault="002E62B2" w:rsidP="00E00683">
      <w:pPr>
        <w:pStyle w:val="a9"/>
      </w:pPr>
      <w:r w:rsidRPr="0093582B">
        <w:t>Патогенез СГ все еще остается спорным и неясным в полной мере вопросом, но роль гиппокампа в развитии медиальной височной эпилепсии очевидна. Нормальное строение цитоархитектоники гиппокампа, плотность нейронов в нем и их однонаправленная пространственная ориентированность создает условия для гипервозбудимости по синаптическим и внесинаптическим – эфаптическим путем</w:t>
      </w:r>
      <w:r w:rsidR="00825E4F" w:rsidRPr="0093582B">
        <w:t xml:space="preserve"> </w:t>
      </w:r>
      <w:r w:rsidR="00825E4F" w:rsidRPr="0093582B">
        <w:fldChar w:fldCharType="begin" w:fldLock="1"/>
      </w:r>
      <w:r w:rsidR="003A1608" w:rsidRPr="0093582B">
        <w:instrText>ADDIN CSL_CITATION {"citationItems":[{"id":"ITEM-1","itemData":{"DOI":"10.1111/nan.12458","ISSN":"13652990","abstract":"Cognitive decline is increasingly described as a co-morbidity of temporal lobe epilepsy (TLE). Mechanisms underlying cognitive impairment are not fully understood despite examining clinical factors, such as seizure frequency, and cellular mechanisms of excitotoxicity. We review the neuropsychometry evidence for progressive cognitive decline and examine the pathology and neuroimaging evidence supporting a neurodegenerative process in hippocampal sclerosis (HS)-related TLE. Accelerated cognitive decline is described in groups of adult HS-related TLE patients. Large childhood studies show early onset of seizures result in poor development of verbal memory and a hindrance in achieving cognitive potential. We discuss HS classification according to different patterns of neuronal loss and correlation to post-temporal lobectomy cognitive outcomes in refractory TLE patients. Factors such as lateralization of HS pathology, neuronal density and subtype have correlated to cognitive outcomes with varying significance between different studies. Furthermore, alterations in neuronal maturity, regenerative capacity and aberrant connectivity appear to affect cognitive performance post-operatively suggesting a complex multifactorial process. More recent studies have identified tau pathology being present in HS-related TLE and correlated to post-operative cognitive decline in some patients. A traumatic head injury-related or novel tauopathy has been hypothesized as an underlying process. We discuss the value of prospective and cross-sectional imaging in assessing cognition and review volumetric magnetic resonance studies with progressive ipsilateral hippocampal atrophy identified to correlate with seizure frequency. Finally, we consider the use of positron emission tomography biomarkers, such as tau tracers, and connectivity studies that may examine in vivo pathways and further explore cognitive decline in TLE.","author":[{"dropping-particle":"","family":"Tai","given":"X. Y.","non-dropping-particle":"","parse-names":false,"suffix":""},{"dropping-particle":"","family":"Bernhardt","given":"B.","non-dropping-particle":"","parse-names":false,"suffix":""},{"dropping-particle":"","family":"Thom","given":"M.","non-dropping-particle":"","parse-names":false,"suffix":""},{"dropping-particle":"","family":"Thompson","given":"P.","non-dropping-particle":"","parse-names":false,"suffix":""},{"dropping-particle":"","family":"Baxendale","given":"S.","non-dropping-particle":"","parse-names":false,"suffix":""},{"dropping-particle":"","family":"Koepp","given":"M.","non-dropping-particle":"","parse-names":false,"suffix":""},{"dropping-particle":"","family":"Bernasconi","given":"N.","non-dropping-particle":"","parse-names":false,"suffix":""}],"container-title":"Neuropathology and Applied Neurobiology","id":"ITEM-1","issue":"1","issued":{"date-parts":[["2018"]]},"title":"Review: Neurodegenerative processes in temporal lobe epilepsy with hippocampal sclerosis: Clinical, pathological and neuroimaging evidence","type":"article","volume":"44"},"uris":["http://www.mendeley.com/documents/?uuid=2fdde048-c97c-39af-ad27-6c8e3fe7bc52"]}],"mendeley":{"formattedCitation":"[31]","plainTextFormattedCitation":"[31]","previouslyFormattedCitation":"[31]"},"properties":{"noteIndex":0},"schema":"https://github.com/citation-style-language/schema/raw/master/csl-citation.json"}</w:instrText>
      </w:r>
      <w:r w:rsidR="00825E4F" w:rsidRPr="0093582B">
        <w:fldChar w:fldCharType="separate"/>
      </w:r>
      <w:r w:rsidR="003A1608" w:rsidRPr="0093582B">
        <w:rPr>
          <w:noProof/>
        </w:rPr>
        <w:t>[31]</w:t>
      </w:r>
      <w:r w:rsidR="00825E4F" w:rsidRPr="0093582B">
        <w:fldChar w:fldCharType="end"/>
      </w:r>
      <w:r w:rsidR="00825E4F" w:rsidRPr="0093582B">
        <w:t xml:space="preserve">. </w:t>
      </w:r>
      <w:r w:rsidRPr="0093582B">
        <w:t xml:space="preserve">По экспериментальным данным гиппокампальная формация имеет самый низкий порог судорожной готовности, в 10 раз ниже, чем у сенсомоторной коры. Чувствительные к эпилептогенным факторам калиевые </w:t>
      </w:r>
      <w:r w:rsidRPr="0093582B">
        <w:lastRenderedPageBreak/>
        <w:t>каналы в наибольшем числе представлены в гиппокампе и практически отсутствуют в мозжечке, что служит предпосылкой к эпилеп</w:t>
      </w:r>
      <w:r w:rsidR="002B20B1" w:rsidRPr="0093582B">
        <w:t>тогенности</w:t>
      </w:r>
      <w:r w:rsidR="00C83865" w:rsidRPr="0093582B">
        <w:t xml:space="preserve"> </w:t>
      </w:r>
      <w:r w:rsidR="00C83865" w:rsidRPr="0093582B">
        <w:fldChar w:fldCharType="begin" w:fldLock="1"/>
      </w:r>
      <w:r w:rsidR="003A1608" w:rsidRPr="0093582B">
        <w:instrText>ADDIN CSL_CITATION {"citationItems":[{"id":"ITEM-1","itemData":{"author":[{"dropping-particle":"","family":"Ассоциация нейрохирургов России","given":"","non-dropping-particle":"","parse-names":false,"suffix":""}],"id":"ITEM-1","issued":{"date-parts":[["2021"]]},"title":"Эпилепсия и эпилептический статус у взрослых и детей. Клинические рекомендации","type":"article-journal"},"uris":["http://www.mendeley.com/documents/?uuid=874fb089-f6cc-41ab-8aeb-f8e4358c6cf7"]}],"mendeley":{"formattedCitation":"[19]","plainTextFormattedCitation":"[19]","previouslyFormattedCitation":"[19]"},"properties":{"noteIndex":0},"schema":"https://github.com/citation-style-language/schema/raw/master/csl-citation.json"}</w:instrText>
      </w:r>
      <w:r w:rsidR="00C83865" w:rsidRPr="0093582B">
        <w:fldChar w:fldCharType="separate"/>
      </w:r>
      <w:r w:rsidR="003A1608" w:rsidRPr="0093582B">
        <w:rPr>
          <w:noProof/>
        </w:rPr>
        <w:t>[19]</w:t>
      </w:r>
      <w:r w:rsidR="00C83865" w:rsidRPr="0093582B">
        <w:fldChar w:fldCharType="end"/>
      </w:r>
      <w:r w:rsidRPr="0093582B">
        <w:t>.</w:t>
      </w:r>
    </w:p>
    <w:p w:rsidR="00754D37" w:rsidRPr="0093582B" w:rsidRDefault="002B20B1" w:rsidP="00E00683">
      <w:pPr>
        <w:pStyle w:val="a9"/>
      </w:pPr>
      <w:r w:rsidRPr="0093582B">
        <w:t xml:space="preserve">По классификации </w:t>
      </w:r>
      <w:r w:rsidRPr="0093582B">
        <w:rPr>
          <w:lang w:val="en-US"/>
        </w:rPr>
        <w:t>ILAE</w:t>
      </w:r>
      <w:r w:rsidRPr="0093582B">
        <w:t xml:space="preserve"> выделяется несколько типов склероза гиппокампа в зависимости от вовлечения различных анатомических стуктур. Склеротические изменения нервной ткани могут распространяться на соседние зоны за пределами гиппокампа, например, на амигдалу и парагиппокампальную извилину</w:t>
      </w:r>
      <w:r w:rsidR="00DF758B" w:rsidRPr="0093582B">
        <w:t xml:space="preserve"> </w:t>
      </w:r>
      <w:r w:rsidR="00DF758B" w:rsidRPr="0093582B">
        <w:fldChar w:fldCharType="begin" w:fldLock="1"/>
      </w:r>
      <w:r w:rsidR="007153B1" w:rsidRPr="0093582B">
        <w:instrText>ADDIN CSL_CITATION {"citationItems":[{"id":"ITEM-1","itemData":{"DOI":"10.1111/epi.12220","ISSN":"00139580","abstract":"Hippocampal sclerosis (HS) is the most frequent histopathology encountered in patients with drug-resistant temporal lobe epilepsy (TLE). Over the past decades, various attempts have been made to classify specific patterns of hippocampal neuronal cell loss and correlate subtypes with postsurgical outcome. However, no international consensus about definitions and terminology has been achieved. A task force reviewed previous classification schemes and proposes a system based on semiquantitative hippocampal cell loss patterns that can be applied in any histopathology laboratory. Interobserver and intraobserver agreement studies reached consensus to classify three types in anatomically well-preserved hippocampal specimens: HS International League Against Epilepsy (ILAE) type 1 refers always to severe neuronal cell loss and gliosis predominantly in CA1 and CA4 regions, compared to CA1 predominant neuronal cell loss and gliosis (HS ILAE type 2), or CA4 predominant neuronal cell loss and gliosis (HS ILAE type 3). Surgical hippocampus specimens obtained from patients with TLE may also show normal content of neurons with reactive gliosis only (no-HS). HS ILAE type 1 is more often associated with a history of initial precipitating injuries before age 5 years, with early seizure onset, and favorable postsurgical seizure control. CA1 predominant HS ILAE type 2 and CA4 predominant HS ILAE type 3 have been studied less systematically so far, but some reports point to less favorable outcome, and to differences regarding epilepsy history, including age of seizure onset. The proposed international consensus classification will aid in the characterization of specific clinicopathologic syndromes, and explore variability in imaging and electrophysiology findings, and in postsurgical seizure control. © 2013 Wiley Periodicals, Inc.","author":[{"dropping-particle":"","family":"Blümcke","given":"Ingmar","non-dropping-particle":"","parse-names":false,"suffix":""},{"dropping-particle":"","family":"Thom","given":"Maria","non-dropping-particle":"","parse-names":false,"suffix":""},{"dropping-particle":"","family":"Aronica","given":"Eleonora","non-dropping-particle":"","parse-names":false,"suffix":""},{"dropping-particle":"","family":"Armstrong","given":"Dawna D.","non-dropping-particle":"","parse-names":false,"suffix":""},{"dropping-particle":"","family":"Bartolomei","given":"Fabrice","non-dropping-particle":"","parse-names":false,"suffix":""},{"dropping-particle":"","family":"Bernasconi","given":"Andrea","non-dropping-particle":"","parse-names":false,"suffix":""},{"dropping-particle":"","family":"Bernasconi","given":"Neda","non-dropping-particle":"","parse-names":false,"suffix":""},{"dropping-particle":"","family":"Bien","given":"Christian G.","non-dropping-particle":"","parse-names":false,"suffix":""},{"dropping-particle":"","family":"Cendes","given":"Fernando","non-dropping-particle":"","parse-names":false,"suffix":""},{"dropping-particle":"","family":"Coras","given":"Roland","non-dropping-particle":"","parse-names":false,"suffix":""},{"dropping-particle":"","family":"Cross","given":"J. Helen","non-dropping-particle":"","parse-names":false,"suffix":""},{"dropping-particle":"","family":"Jacques","given":"Thomas S.","non-dropping-particle":"","parse-names":false,"suffix":""},{"dropping-particle":"","family":"Kahane","given":"Philippe","non-dropping-particle":"","parse-names":false,"suffix":""},{"dropping-particle":"","family":"Mathern","given":"Gary W.","non-dropping-particle":"","parse-names":false,"suffix":""},{"dropping-particle":"","family":"Miyata","given":"Haijme","non-dropping-particle":"","parse-names":false,"suffix":""},{"dropping-particle":"","family":"Moshé","given":"Solomon L.","non-dropping-particle":"","parse-names":false,"suffix":""},{"dropping-particle":"","family":"Oz","given":"Buge","non-dropping-particle":"","parse-names":false,"suffix":""},{"dropping-particle":"","family":"Özkara","given":"Çiǧdem","non-dropping-particle":"","parse-names":false,"suffix":""},{"dropping-particle":"","family":"Perucca","given":"Emilio","non-dropping-particle":"","parse-names":false,"suffix":""},{"dropping-particle":"","family":"Sisodiya","given":"Sanjay","non-dropping-particle":"","parse-names":false,"suffix":""},{"dropping-particle":"","family":"Wiebe","given":"Samuel","non-dropping-particle":"","parse-names":false,"suffix":""},{"dropping-particle":"","family":"Spreafico","given":"Roberto","non-dropping-particle":"","parse-names":false,"suffix":""}],"container-title":"Epilepsia","id":"ITEM-1","issue":"7","issued":{"date-parts":[["2013"]]},"title":"International consensus classification of hippocampal sclerosis in temporal lobe epilepsy: A Task Force report from the ILAE Commission on Diagnostic Methods","type":"article-journal","volume":"54"},"uris":["http://www.mendeley.com/documents/?uuid=b8e5a7c4-f754-3401-b552-912dbac092a1"]}],"mendeley":{"formattedCitation":"[32]","manualFormatting":"[32","plainTextFormattedCitation":"[32]","previouslyFormattedCitation":"[32]"},"properties":{"noteIndex":0},"schema":"https://github.com/citation-style-language/schema/raw/master/csl-citation.json"}</w:instrText>
      </w:r>
      <w:r w:rsidR="00DF758B" w:rsidRPr="0093582B">
        <w:fldChar w:fldCharType="separate"/>
      </w:r>
      <w:r w:rsidR="003A1608" w:rsidRPr="0093582B">
        <w:rPr>
          <w:noProof/>
        </w:rPr>
        <w:t>[32</w:t>
      </w:r>
      <w:r w:rsidR="00DF758B" w:rsidRPr="0093582B">
        <w:fldChar w:fldCharType="end"/>
      </w:r>
      <w:r w:rsidR="007153B1" w:rsidRPr="0093582B">
        <w:t>,</w:t>
      </w:r>
      <w:r w:rsidRPr="0093582B">
        <w:t xml:space="preserve"> </w:t>
      </w:r>
      <w:r w:rsidR="00C83865" w:rsidRPr="0093582B">
        <w:fldChar w:fldCharType="begin" w:fldLock="1"/>
      </w:r>
      <w:r w:rsidR="007153B1" w:rsidRPr="0093582B">
        <w:instrText>ADDIN CSL_CITATION {"citationItems":[{"id":"ITEM-1","itemData":{"DOI":"10.1111/epi.13671","ISSN":"15281167","abstract":"This companion paper to the introduction of the International League Against Epilepsy (ILAE) 2017 classification of seizure types provides guidance on how to employ the classification. Illustration of the classification is enacted by tables, a glossary of relevant terms, mapping of old to new terms, suggested abbreviations, and examples. Basic and extended versions of the classification are available, depending on the desired degree of detail. Key signs and symptoms of seizures (semiology) are used as a basis for categories of seizures that are focal or generalized from onset or with unknown onset. Any focal seizure can further be optionally characterized by whether awareness is retained or impaired. Impaired awareness during any segment of the seizure renders it a focal impaired awareness seizure. Focal seizures are further optionally characterized by motor onset signs and symptoms: atonic, automatisms, clonic, epileptic spasms, or hyperkinetic, myoclonic, or tonic activity. Nonmotor-onset seizures can manifest as autonomic, behavior arrest, cognitive, emotional, or sensory dysfunction. The earliest prominent manifestation defines the seizure type, which might then progress to other signs and symptoms. Focal seizures can become bilateral tonic–clonic. Generalized seizures engage bilateral networks from onset. Generalized motor seizure characteristics comprise atonic, clonic, epileptic spasms, myoclonic, myoclonic–atonic, myoclonic–tonic–clonic, tonic, or tonic–clonic. Nonmotor (absence) seizures are typical or atypical, or seizures that present prominent myoclonic activity or eyelid myoclonia. Seizures of unknown onset may have features that can still be classified as motor, nonmotor, tonic–clonic, epileptic spasms, or behavior arrest. This “users’ manual” for the ILAE 2017 seizure classification will assist the adoption of the new system.","author":[{"dropping-particle":"","family":"Fisher","given":"Robert S.","non-dropping-particle":"","parse-names":false,"suffix":""},{"dropping-particle":"","family":"Cross","given":"J. Helen","non-dropping-particle":"","parse-names":false,"suffix":""},{"dropping-particle":"","family":"D'Souza","given":"Carol","non-dropping-particle":"","parse-names":false,"suffix":""},{"dropping-particle":"","family":"French","given":"Jacqueline A.","non-dropping-particle":"","parse-names":false,"suffix":""},{"dropping-particle":"","family":"Haut","given":"Sheryl R.","non-dropping-particle":"","parse-names":false,"suffix":""},{"dropping-particle":"","family":"Higurashi","given":"Norimichi","non-dropping-particle":"","parse-names":false,"suffix":""},{"dropping-particle":"","family":"Hirsch","given":"Edouard","non-dropping-particle":"","parse-names":false,"suffix":""},{"dropping-particle":"","family":"Jansen","given":"Floor E.","non-dropping-particle":"","parse-names":false,"suffix":""},{"dropping-particle":"","family":"Lagae","given":"Lieven","non-dropping-particle":"","parse-names":false,"suffix":""},{"dropping-particle":"","family":"Moshé","given":"Solomon L.","non-dropping-particle":"","parse-names":false,"suffix":""},{"dropping-particle":"","family":"Peltola","given":"Jukka","non-dropping-particle":"","parse-names":false,"suffix":""},{"dropping-particle":"","family":"Roulet Perez","given":"Eliane","non-dropping-particle":"","parse-names":false,"suffix":""},{"dropping-particle":"","family":"Scheffer","given":"Ingrid E.","non-dropping-particle":"","parse-names":false,"suffix":""},{"dropping-particle":"","family":"Schulze-Bonhage","given":"Andreas","non-dropping-particle":"","parse-names":false,"suffix":""},{"dropping-particle":"","family":"Somerville","given":"Ernest","non-dropping-particle":"","parse-names":false,"suffix":""},{"dropping-particle":"","family":"Sperling","given":"Michael","non-dropping-particle":"","parse-names":false,"suffix":""},{"dropping-particle":"","family":"Yacubian","given":"Elza Márcia","non-dropping-particle":"","parse-names":false,"suffix":""},{"dropping-particle":"","family":"Zuberi","given":"Sameer M.","non-dropping-particle":"","parse-names":false,"suffix":""}],"container-title":"Epilepsia","id":"ITEM-1","issue":"4","issued":{"date-parts":[["2017"]]},"title":"Instruction manual for the ILAE 2017 operational classification of seizure types","type":"article-journal","volume":"58"},"uris":["http://www.mendeley.com/documents/?uuid=f8a19f14-e36f-31f1-bb2e-df32a91e5da8"]}],"mendeley":{"formattedCitation":"[33]","manualFormatting":"33]","plainTextFormattedCitation":"[33]","previouslyFormattedCitation":"[33]"},"properties":{"noteIndex":0},"schema":"https://github.com/citation-style-language/schema/raw/master/csl-citation.json"}</w:instrText>
      </w:r>
      <w:r w:rsidR="00C83865" w:rsidRPr="0093582B">
        <w:fldChar w:fldCharType="separate"/>
      </w:r>
      <w:r w:rsidR="003A1608" w:rsidRPr="0093582B">
        <w:rPr>
          <w:noProof/>
        </w:rPr>
        <w:t>33]</w:t>
      </w:r>
      <w:r w:rsidR="00C83865" w:rsidRPr="0093582B">
        <w:fldChar w:fldCharType="end"/>
      </w:r>
      <w:r w:rsidR="002E62B2" w:rsidRPr="0093582B">
        <w:t xml:space="preserve">. </w:t>
      </w:r>
    </w:p>
    <w:p w:rsidR="00C83865" w:rsidRPr="0093582B" w:rsidRDefault="00C83865" w:rsidP="00E00683">
      <w:pPr>
        <w:pStyle w:val="a9"/>
      </w:pPr>
      <w:r w:rsidRPr="0093582B">
        <w:rPr>
          <w:rFonts w:ascii="Times New Roman" w:hAnsi="Times New Roman" w:cs="Times New Roman"/>
        </w:rPr>
        <w:t>Частота выявления СГ по результатам различных исследований в мире варьирует в пределах от 48% до 73% случаев. По данным исследования</w:t>
      </w:r>
      <w:r w:rsidR="003264E7" w:rsidRPr="0093582B">
        <w:rPr>
          <w:rFonts w:ascii="Times New Roman" w:hAnsi="Times New Roman" w:cs="Times New Roman"/>
        </w:rPr>
        <w:t xml:space="preserve"> </w:t>
      </w:r>
      <w:r w:rsidR="00DF758B" w:rsidRPr="0093582B">
        <w:rPr>
          <w:rFonts w:ascii="Times New Roman" w:hAnsi="Times New Roman" w:cs="Times New Roman"/>
        </w:rPr>
        <w:t>I. Blümcke, включающего</w:t>
      </w:r>
      <w:r w:rsidRPr="0093582B">
        <w:rPr>
          <w:rFonts w:ascii="Times New Roman" w:hAnsi="Times New Roman" w:cs="Times New Roman"/>
        </w:rPr>
        <w:t xml:space="preserve"> 5392 пациентов, оперированных по поводу удаления эпилептического очага в 33,6% случаях выявлен СГ </w:t>
      </w:r>
      <w:r w:rsidRPr="0093582B">
        <w:rPr>
          <w:rFonts w:ascii="Times New Roman" w:hAnsi="Times New Roman" w:cs="Times New Roman"/>
        </w:rPr>
        <w:fldChar w:fldCharType="begin" w:fldLock="1"/>
      </w:r>
      <w:r w:rsidR="003A1608" w:rsidRPr="0093582B">
        <w:rPr>
          <w:rFonts w:ascii="Times New Roman" w:hAnsi="Times New Roman" w:cs="Times New Roman"/>
        </w:rPr>
        <w:instrText>ADDIN CSL_CITATION {"citationItems":[{"id":"ITEM-1","itemData":{"DOI":"10.1111/j.1750-3639.2012.00583.x","ISSN":"10156305","abstract":"Hippocampal sclerosis (HS) is the most frequent cause of drug-resistant focal epilepsies (ie, mesial temporal lobe epilepsy with hippocampal sclerosis; mTLE-HS), and presents a broad spectrum of electroclinical, structural and molecular pathology patterns. Many patients become drug resistant during the course of the disease, and surgical treatment was proven helpful to achieve seizure control. Hence, up to 40% of patients suffer from early or late surgical failures. Different patterns of hippocampal cell loss, involvement of other mesial temporal structures, as well as temporal neocortex including focal cortical dysplasia, may contribute to the extent of the epileptogenic network and will be discussed. An international consensus is mandatory to clarify terminology use and to reliably distinguish mTLE-HS subtypes. High-resolution imaging with confirmed histopathologic diagnosis, as well as advanced neurophysiologic and molecular genetic measures, will be a powerful tool in the future to address these issues and help to predict each patient's probability to control their epilepsy in mTLE-HS conditions. © 2012 The Authors; © 2012 International Society of Neuropathology.","author":[{"dropping-particle":"","family":"Blümcke","given":"Ingmar","non-dropping-particle":"","parse-names":false,"suffix":""},{"dropping-particle":"","family":"Coras","given":"Roland","non-dropping-particle":"","parse-names":false,"suffix":""},{"dropping-particle":"","family":"Miyata","given":"Hajime","non-dropping-particle":"","parse-names":false,"suffix":""},{"dropping-particle":"","family":"Özkara","given":"Cigdem","non-dropping-particle":"","parse-names":false,"suffix":""}],"container-title":"Brain Pathology","id":"ITEM-1","issue":"3","issued":{"date-parts":[["2012"]]},"title":"Defining clinico-neuropathological subtypes of mesial temporal lobe epilepsy with hippocampal sclerosis","type":"paper-conference","volume":"22"},"uris":["http://www.mendeley.com/documents/?uuid=19ef06e2-3885-3d1d-8f33-c5d8e11edd3b"]}],"mendeley":{"formattedCitation":"[34]","plainTextFormattedCitation":"[34]","previouslyFormattedCitation":"[34]"},"properties":{"noteIndex":0},"schema":"https://github.com/citation-style-language/schema/raw/master/csl-citation.json"}</w:instrText>
      </w:r>
      <w:r w:rsidRPr="0093582B">
        <w:rPr>
          <w:rFonts w:ascii="Times New Roman" w:hAnsi="Times New Roman" w:cs="Times New Roman"/>
        </w:rPr>
        <w:fldChar w:fldCharType="separate"/>
      </w:r>
      <w:r w:rsidR="003A1608" w:rsidRPr="0093582B">
        <w:rPr>
          <w:rFonts w:ascii="Times New Roman" w:hAnsi="Times New Roman" w:cs="Times New Roman"/>
          <w:noProof/>
        </w:rPr>
        <w:t>[34]</w:t>
      </w:r>
      <w:r w:rsidRPr="0093582B">
        <w:rPr>
          <w:rFonts w:ascii="Times New Roman" w:hAnsi="Times New Roman" w:cs="Times New Roman"/>
        </w:rPr>
        <w:fldChar w:fldCharType="end"/>
      </w:r>
      <w:r w:rsidRPr="0093582B">
        <w:rPr>
          <w:rFonts w:ascii="Times New Roman" w:hAnsi="Times New Roman" w:cs="Times New Roman"/>
        </w:rPr>
        <w:t>.</w:t>
      </w:r>
    </w:p>
    <w:p w:rsidR="00754D37" w:rsidRPr="0093582B" w:rsidRDefault="002E62B2" w:rsidP="00E00683">
      <w:pPr>
        <w:pStyle w:val="a9"/>
      </w:pPr>
      <w:r w:rsidRPr="0093582B">
        <w:t xml:space="preserve">Использование электроэнцефаллограммы головного мозга в качестве дополнительного метода </w:t>
      </w:r>
      <w:r w:rsidR="003264E7" w:rsidRPr="0093582B">
        <w:t>исс</w:t>
      </w:r>
      <w:r w:rsidRPr="0093582B">
        <w:t>ледования, позволяет идентифици</w:t>
      </w:r>
      <w:r w:rsidR="00E40287" w:rsidRPr="0093582B">
        <w:t>ровать гиппокампальный склероз.</w:t>
      </w:r>
      <w:r w:rsidRPr="0093582B">
        <w:t xml:space="preserve"> Доказательства причинной роли склероза гиппокампа и существования синдрома исходили из работы Мюрр</w:t>
      </w:r>
      <w:r w:rsidR="00E40287" w:rsidRPr="0093582B">
        <w:t xml:space="preserve">ея Фальконера, который выполнил резекцию передней височной доли </w:t>
      </w:r>
      <w:r w:rsidRPr="0093582B">
        <w:t>для лечения резистентных к лекарствам припадков. В результате тщательной патологической оценки резецированных образцов было показано, что мезиальный височный склероз является наиболее частым субстратом этого состояния, и его удаление привело к хорошем</w:t>
      </w:r>
      <w:r w:rsidR="00617441" w:rsidRPr="0093582B">
        <w:t xml:space="preserve">у </w:t>
      </w:r>
      <w:r w:rsidR="003264E7" w:rsidRPr="0093582B">
        <w:t>клиническому</w:t>
      </w:r>
      <w:r w:rsidR="00617441" w:rsidRPr="0093582B">
        <w:t xml:space="preserve"> результату </w:t>
      </w:r>
      <w:r w:rsidR="00617441" w:rsidRPr="0093582B">
        <w:fldChar w:fldCharType="begin" w:fldLock="1"/>
      </w:r>
      <w:r w:rsidR="003A1608" w:rsidRPr="0093582B">
        <w:instrText>ADDIN CSL_CITATION {"citationItems":[{"id":"ITEM-1","itemData":{"DOI":"10.1684/epd.2013.0587","ISSN":"12949361","abstract":"Epilepsy surgery is a successful treatment option for pharmacoresistant focal symptomatic epilepsies. However, cognitive impairment is very common in epilepsy patients and may be negatively or positively affected by surgery. Amidst the long-standing discussion of whether a particular surgical approach for temporal lobe epilepsy patients may be superior with regards to seizure control, a recent meta-analysis indicated that this is the case for more extended resections. Larger temporal lobe resections, however, raise concerns that more unaffected and functional tissues may be involved, thus causing worse cognitive outcome. This review is based on published reports collected over a long period, with changing diagnostics and surgical methods, and focuses mainly on the experiences of one epilepsy centre. The review highlights the effects of standard versus selective surgery, the different surgical approaches in selective surgery, determinants other than surgery which may affect cognitive outcome, and the methodologically-important question of outcome assessment and how neuropsychological test selection may bias the result. Overall, from a neuropsychological point of view, individual and selective surgery is preferred in which the aim is to achieve seizure control with minimal effect on the functional integrity of tissues or fibre tracts. Cognition is important for the functions of everyday life and this should be kept in mind, irrespective of which kind of surgery is preferred.","author":[{"dropping-particle":"","family":"Helmstaedter","given":"Christoph","non-dropping-particle":"","parse-names":false,"suffix":""}],"container-title":"Epileptic Disorders","id":"ITEM-1","issue":"3","issued":{"date-parts":[["2013"]]},"title":"Cognitive outcomes of different surgical approaches in temporal lobe epilepsy","type":"article","volume":"15"},"uris":["http://www.mendeley.com/documents/?uuid=bc82ae5c-aceb-327d-ba19-afbdeee04a25"]}],"mendeley":{"formattedCitation":"[35]","plainTextFormattedCitation":"[35]","previouslyFormattedCitation":"[35]"},"properties":{"noteIndex":0},"schema":"https://github.com/citation-style-language/schema/raw/master/csl-citation.json"}</w:instrText>
      </w:r>
      <w:r w:rsidR="00617441" w:rsidRPr="0093582B">
        <w:fldChar w:fldCharType="separate"/>
      </w:r>
      <w:r w:rsidR="003A1608" w:rsidRPr="0093582B">
        <w:rPr>
          <w:noProof/>
        </w:rPr>
        <w:t>[35]</w:t>
      </w:r>
      <w:r w:rsidR="00617441" w:rsidRPr="0093582B">
        <w:fldChar w:fldCharType="end"/>
      </w:r>
      <w:r w:rsidRPr="0093582B">
        <w:t>.</w:t>
      </w:r>
    </w:p>
    <w:p w:rsidR="00754D37" w:rsidRPr="0093582B" w:rsidRDefault="00617441" w:rsidP="00E40287">
      <w:pPr>
        <w:pStyle w:val="2"/>
      </w:pPr>
      <w:bookmarkStart w:id="8" w:name="_Toc104427528"/>
      <w:r w:rsidRPr="0093582B">
        <w:t xml:space="preserve">1.4. </w:t>
      </w:r>
      <w:r w:rsidR="002E62B2" w:rsidRPr="0093582B">
        <w:t>Общие методы хирургического лечения пациентов с эпилепсией</w:t>
      </w:r>
      <w:bookmarkEnd w:id="8"/>
    </w:p>
    <w:p w:rsidR="00754D37" w:rsidRPr="0093582B" w:rsidRDefault="002E62B2" w:rsidP="00E40287">
      <w:pPr>
        <w:pStyle w:val="a9"/>
      </w:pPr>
      <w:r w:rsidRPr="0093582B">
        <w:t>Показанием к хирургическому лечению является наличие эпилептических приступов вследствие эпилептогенных поражений (пороки развития головного мозга, внутримозговые опухоли, гетеротопии, фокальные кортикальные дисплазии, последствия ЧМТ).</w:t>
      </w:r>
    </w:p>
    <w:p w:rsidR="00754D37" w:rsidRPr="0093582B" w:rsidRDefault="002E62B2" w:rsidP="00E40287">
      <w:pPr>
        <w:pStyle w:val="a9"/>
      </w:pPr>
      <w:r w:rsidRPr="0093582B">
        <w:t xml:space="preserve">Хирургическое лечение показано пациентам с фокальным началом приступов, принимающих два или более противосудорожных препаратов в течении минимум 2-х лет, или пациентам с выраженными побочными эффектами </w:t>
      </w:r>
      <w:r w:rsidRPr="0093582B">
        <w:lastRenderedPageBreak/>
        <w:t>от приема противосудорожных препаратов и приступы влияют или ограничивают повседневную жизнь и ее качество</w:t>
      </w:r>
      <w:r w:rsidR="00617441" w:rsidRPr="0093582B">
        <w:t xml:space="preserve"> </w:t>
      </w:r>
      <w:r w:rsidR="00617441" w:rsidRPr="0093582B">
        <w:fldChar w:fldCharType="begin" w:fldLock="1"/>
      </w:r>
      <w:r w:rsidR="007153B1" w:rsidRPr="0093582B">
        <w:instrText>ADDIN CSL_CITATION {"citationItems":[{"id":"ITEM-1","itemData":{"author":[{"dropping-particle":"","family":"Ассоциация нейрохирургов России","given":"","non-dropping-particle":"","parse-names":false,"suffix":""}],"id":"ITEM-1","issued":{"date-parts":[["2015"]]},"page":"20-22","title":"Клинические рекомендации по предоперационному обследованию и хирургическому лечению пациентов с фармакорезистентными формами эпилепсии: стандарты ведения больных для врачей.","type":"article-journal"},"uris":["http://www.mendeley.com/documents/?uuid=1b9c779b-1f7d-3d0c-9463-bdacc13cd630"]}],"mendeley":{"formattedCitation":"[8]","manualFormatting":"[8","plainTextFormattedCitation":"[8]","previouslyFormattedCitation":"[8]"},"properties":{"noteIndex":0},"schema":"https://github.com/citation-style-language/schema/raw/master/csl-citation.json"}</w:instrText>
      </w:r>
      <w:r w:rsidR="00617441" w:rsidRPr="0093582B">
        <w:fldChar w:fldCharType="separate"/>
      </w:r>
      <w:r w:rsidR="003A1608" w:rsidRPr="0093582B">
        <w:rPr>
          <w:noProof/>
        </w:rPr>
        <w:t>[8</w:t>
      </w:r>
      <w:r w:rsidR="00617441" w:rsidRPr="0093582B">
        <w:fldChar w:fldCharType="end"/>
      </w:r>
      <w:r w:rsidR="005C6CBE" w:rsidRPr="0093582B">
        <w:fldChar w:fldCharType="begin" w:fldLock="1"/>
      </w:r>
      <w:r w:rsidR="007153B1" w:rsidRPr="0093582B">
        <w:instrText>ADDIN CSL_CITATION {"citationItems":[{"id":"ITEM-1","itemData":{"DOI":"10.1111/epi.16414","ISSN":"15281167","abstract":"Objective: To profile European trends in pediatric epilepsy surgery (&lt;16 years of age) between 2008 and 2015. Methods: We collected information on volumes and types of surgery, pathology, and seizure outcome from 20 recognized epilepsy surgery reference centers in 10 European countries. Results: We analyzed retrospective aggregate data on 1859 operations. The proportion of surgeries significantly increased over time (P &lt;.0001). Engel class I outcome was achieved in 69.3% of children, with no significant improvement between 2008 and 2015. The proportion of histopathological findings consistent with glial scars significantly increased between the ages of 7 and 16 years (P for trend =.0033), whereas that of the remaining pathologies did not vary across ages. A significant increase in unilobar extratemporal surgeries (P for trend =.0047) and a significant decrease in unilobar temporal surgeries (P for trend =.0030) were observed between 2008 and 2015. Conversely, the proportion of multilobar surgeries and unrevealing magnetic resonance imaging cases remained unchanged. Invasive investigations significantly increased, especially stereo-electroencephalography. We found different trends comparing centers starting their activity in the 1990s to those whose programs were developed in the past decade. Multivariate analysis revealed a significant variability of the proportion of the different pathologies and surgical approaches across countries, centers, and age groups between 2008 and 2015. Significance: Between 2008 and 2015, we observed a significant increase in the volume of pediatric epilepsy surgeries, stability in the proportion of Engel class I outcomes, and a modest increment in complexity of the procedures.","author":[{"dropping-particle":"","family":"Barba","given":"Carmen","non-dropping-particle":"","parse-names":false,"suffix":""},{"dropping-particle":"","family":"Cross","given":"Judith Helen","non-dropping-particle":"","parse-names":false,"suffix":""},{"dropping-particle":"","family":"Braun","given":"Kees","non-dropping-particle":"","parse-names":false,"suffix":""},{"dropping-particle":"","family":"Cossu","given":"Massimo","non-dropping-particle":"","parse-names":false,"suffix":""},{"dropping-particle":"","family":"Klotz","given":"Kerstin Alexandra","non-dropping-particle":"","parse-names":false,"suffix":""},{"dropping-particle":"De","family":"Masi","given":"Salvatore","non-dropping-particle":"","parse-names":false,"suffix":""},{"dropping-particle":"","family":"Jiménez","given":"Maria Angeles Perez","non-dropping-particle":"","parse-names":false,"suffix":""},{"dropping-particle":"","family":"Gaily","given":"Eija","non-dropping-particle":"","parse-names":false,"suffix":""},{"dropping-particle":"","family":"Specchio","given":"Nicola","non-dropping-particle":"","parse-names":false,"suffix":""},{"dropping-particle":"","family":"Cabral","given":"Pedro","non-dropping-particle":"","parse-names":false,"suffix":""},{"dropping-particle":"","family":"Toulouse","given":"Joseph","non-dropping-particle":"","parse-names":false,"suffix":""},{"dropping-particle":"","family":"Dimova","given":"Petia","non-dropping-particle":"","parse-names":false,"suffix":""},{"dropping-particle":"","family":"Battaglia","given":"Domenica","non-dropping-particle":"","parse-names":false,"suffix":""},{"dropping-particle":"","family":"Freri","given":"Elena","non-dropping-particle":"","parse-names":false,"suffix":""},{"dropping-particle":"","family":"Consales","given":"Alessandro","non-dropping-particle":"","parse-names":false,"suffix":""},{"dropping-particle":"","family":"Cesaroni","given":"Elisabetta","non-dropping-particle":"","parse-names":false,"suffix":""},{"dropping-particle":"","family":"Tarta-Arsene","given":"Oana","non-dropping-particle":"","parse-names":false,"suffix":""},{"dropping-particle":"","family":"Gil-Nagel","given":"Antonio","non-dropping-particle":"","parse-names":false,"suffix":""},{"dropping-particle":"","family":"Mindruta","given":"Ioana","non-dropping-particle":"","parse-names":false,"suffix":""},{"dropping-particle":"Di","family":"Gennaro","given":"Giancarlo","non-dropping-particle":"","parse-names":false,"suffix":""},{"dropping-particle":"","family":"Giulioni","given":"Marco","non-dropping-particle":"","parse-names":false,"suffix":""},{"dropping-particle":"","family":"Tisdall","given":"Martin M.","non-dropping-particle":"","parse-names":false,"suffix":""},{"dropping-particle":"","family":"Eltze","given":"Christin","non-dropping-particle":"","parse-names":false,"suffix":""},{"dropping-particle":"","family":"Tahir","given":"Muhammad Zubair","non-dropping-particle":"","parse-names":false,"suffix":""},{"dropping-particle":"","family":"Jansen","given":"Floor","non-dropping-particle":"","parse-names":false,"suffix":""},{"dropping-particle":"van","family":"Rijen","given":"Peter","non-dropping-particle":"","parse-names":false,"suffix":""},{"dropping-particle":"","family":"Sanders","given":"Maurits","non-dropping-particle":"","parse-names":false,"suffix":""},{"dropping-particle":"","family":"Tassi","given":"Laura","non-dropping-particle":"","parse-names":false,"suffix":""},{"dropping-particle":"","family":"Francione","given":"Stefano","non-dropping-particle":"","parse-names":false,"suffix":""},{"dropping-particle":"Lo","family":"Russo","given":"Giorgio","non-dropping-particle":"","parse-names":false,"suffix":""},{"dropping-particle":"","family":"Jacobs","given":"Julia","non-dropping-particle":"","parse-names":false,"suffix":""},{"dropping-particle":"","family":"Bast","given":"Thomas","non-dropping-particle":"","parse-names":false,"suffix":""},{"dropping-particle":"","family":"Matta","given":"Giulia","non-dropping-particle":"","parse-names":false,"suffix":""},{"dropping-particle":"","family":"Budke","given":"Marcelo","non-dropping-particle":"","parse-names":false,"suffix":""},{"dropping-particle":"Del","family":"Castillo","given":"Concepción Fournier","non-dropping-particle":"","parse-names":false,"suffix":""},{"dropping-particle":"","family":"Metsahonkala","given":"Eeva Liisa","non-dropping-particle":"","parse-names":false,"suffix":""},{"dropping-particle":"","family":"Karppinen","given":"Atte","non-dropping-particle":"","parse-names":false,"suffix":""},{"dropping-particle":"","family":"Ferreira","given":"José Carlos","non-dropping-particle":"","parse-names":false,"suffix":""},{"dropping-particle":"","family":"Minkin","given":"Krasimir","non-dropping-particle":"","parse-names":false,"suffix":""},{"dropping-particle":"","family":"Marras","given":"Carlo Efisio","non-dropping-particle":"","parse-names":false,"suffix":""},{"dropping-particle":"","family":"Arzimanoglou","given":"Alexis","non-dropping-particle":"","parse-names":false,"suffix":""},{"dropping-particle":"","family":"Guerrini","given":"Renzo","non-dropping-particle":"","parse-names":false,"suffix":""},{"dropping-particle":"","family":"Jacques","given":"Tom","non-dropping-particle":"","parse-names":false,"suffix":""},{"dropping-particle":"","family":"Varadkar","given":"Sophia","non-dropping-particle":"","parse-names":false,"suffix":""},{"dropping-particle":"","family":"Colon","given":"Albert","non-dropping-particle":"","parse-names":false,"suffix":""},{"dropping-particle":"","family":"Pelliccia","given":"Veronica","non-dropping-particle":"","parse-names":false,"suffix":""},{"dropping-particle":"","family":"Schulze-Bonhage","given":"Andreas","non-dropping-particle":"","parse-names":false,"suffix":""},{"dropping-particle":"","family":"Syrbe","given":"Steffen","non-dropping-particle":"","parse-names":false,"suffix":""},{"dropping-particle":"","family":"Buccoliero","given":"Annamaria","non-dropping-particle":"","parse-names":false,"suffix":""},{"dropping-particle":"","family":"Giordano","given":"Flavio","non-dropping-particle":"","parse-names":false,"suffix":""},{"dropping-particle":"","family":"García-Fernandez","given":"Marta","non-dropping-particle":"","parse-names":false,"suffix":""},{"dropping-particle":"","family":"Villarejo","given":"Francisco","non-dropping-particle":"","parse-names":false,"suffix":""},{"dropping-particle":"De","family":"Palma","given":"Luca","non-dropping-particle":"","parse-names":false,"suffix":""},{"dropping-particle":"","family":"Pavia","given":"Giusy Carfì","non-dropping-particle":"","parse-names":false,"suffix":""},{"dropping-particle":"","family":"Canas","given":"Nuno M.","non-dropping-particle":"","parse-names":false,"suffix":""},{"dropping-particle":"","family":"Santos","given":"Alexandra","non-dropping-particle":"","parse-names":false,"suffix":""},{"dropping-particle":"","family":"Montavont","given":"Alexandra","non-dropping-particle":"","parse-names":false,"suffix":""},{"dropping-particle":"","family":"Ostrowsky-Coste","given":"Karine","non-dropping-particle":"","parse-names":false,"suffix":""},{"dropping-particle":"","family":"Gabrovski","given":"Kaloyan","non-dropping-particle":"","parse-names":false,"suffix":""},{"dropping-particle":"","family":"Stoyanova","given":"Denitza","non-dropping-particle":"","parse-names":false,"suffix":""},{"dropping-particle":"","family":"Tamburrini","given":"Giampiero","non-dropping-particle":"","parse-names":false,"suffix":""},{"dropping-particle":"","family":"Granata","given":"Tiziana","non-dropping-particle":"","parse-names":false,"suffix":""},{"dropping-particle":"","family":"Pacetti","given":"Mattia","non-dropping-particle":"","parse-names":false,"suffix":""},{"dropping-particle":"","family":"Matricardi","given":"Sara","non-dropping-particle":"","parse-names":false,"suffix":""},{"dropping-particle":"","family":"Craiu","given":"Dana","non-dropping-particle":"","parse-names":false,"suffix":""},{"dropping-particle":"","family":"Aledo","given":"Angel","non-dropping-particle":"","parse-names":false,"suffix":""},{"dropping-particle":"","family":"Popa","given":"Irina","non-dropping-particle":"","parse-names":false,"suffix":""},{"dropping-particle":"","family":"Esposito","given":"Vincenzo","non-dropping-particle":"","parse-names":false,"suffix":""},{"dropping-particle":"","family":"Lucenteforte","given":"Ersilia","non-dropping-particle":"","parse-names":false,"suffix":""}],"container-title":"Epilepsia","id":"ITEM-1","issue":"2","issued":{"date-parts":[["2020"]]},"title":"Trends in pediatric epilepsy surgery in Europe between 2008 and 2015: Country-, center-, and age-specific variation","type":"article-journal","volume":"61"},"uris":["http://www.mendeley.com/documents/?uuid=66b9e80d-a39b-38ff-bfa0-574a87c1143d"]}],"mendeley":{"formattedCitation":"[36]","manualFormatting":", 36]","plainTextFormattedCitation":"[36]","previouslyFormattedCitation":"[36]"},"properties":{"noteIndex":0},"schema":"https://github.com/citation-style-language/schema/raw/master/csl-citation.json"}</w:instrText>
      </w:r>
      <w:r w:rsidR="005C6CBE" w:rsidRPr="0093582B">
        <w:fldChar w:fldCharType="separate"/>
      </w:r>
      <w:r w:rsidR="007153B1" w:rsidRPr="0093582B">
        <w:rPr>
          <w:noProof/>
        </w:rPr>
        <w:t xml:space="preserve">, </w:t>
      </w:r>
      <w:r w:rsidR="003A1608" w:rsidRPr="0093582B">
        <w:rPr>
          <w:noProof/>
        </w:rPr>
        <w:t>36]</w:t>
      </w:r>
      <w:r w:rsidR="005C6CBE" w:rsidRPr="0093582B">
        <w:fldChar w:fldCharType="end"/>
      </w:r>
      <w:r w:rsidRPr="0093582B">
        <w:t xml:space="preserve">. </w:t>
      </w:r>
    </w:p>
    <w:p w:rsidR="00754D37" w:rsidRPr="0093582B" w:rsidRDefault="002E62B2" w:rsidP="00E40287">
      <w:pPr>
        <w:pStyle w:val="a9"/>
      </w:pPr>
      <w:r w:rsidRPr="0093582B">
        <w:t>Раннее хирургическое вмешательство позволяет избежать разрушительных психосоциальных и нейропсихологических последствий хронической эпилепсии и улучшить качество жизни после операции. Около 90% пациентов, с длительностью заболевания менее 10 лет, после операции избавились от приступов, в то время как</w:t>
      </w:r>
      <w:r w:rsidR="00DF758B" w:rsidRPr="0093582B">
        <w:t xml:space="preserve"> </w:t>
      </w:r>
      <w:r w:rsidRPr="0093582B">
        <w:t>только 30% пациентов, с длительность</w:t>
      </w:r>
      <w:r w:rsidR="00F75C2C" w:rsidRPr="0093582B">
        <w:t>ю</w:t>
      </w:r>
      <w:r w:rsidRPr="0093582B">
        <w:t xml:space="preserve"> заболевания бол</w:t>
      </w:r>
      <w:r w:rsidR="00DF758B" w:rsidRPr="0093582B">
        <w:t xml:space="preserve">ее 30 лет, после операции вошли в устойчивую ремиссию </w:t>
      </w:r>
      <w:r w:rsidR="00DF758B" w:rsidRPr="0093582B">
        <w:fldChar w:fldCharType="begin" w:fldLock="1"/>
      </w:r>
      <w:r w:rsidR="003A1608" w:rsidRPr="0093582B">
        <w:instrText>ADDIN CSL_CITATION {"citationItems":[{"id":"ITEM-1","itemData":{"DOI":"10.1016/j.nrl.2017.02.012","ISSN":"15781968","abstract":"Introduction: Given that surgical treatment of refractory mesial temporal lobe epilepsy may cause memory impairment, determining which patients are eligible for surgery is essential. However, there is little agreement on which presurgical memory assessment methods are best able to predict memory outcome after surgery and identify those patients with a greater risk of surgery-induced memory decline. Objective: We conducted a systematic literature review to determine which presurgical memory assessment methods best predict memory outcome. Material and methods: The literature search of PubMed gathered articles published between January 2005 and December 2015 addressing pre- and postsurgical memory assessment in mesial temporal lobe epilepsy patients by means of neuropsychological testing, functional MRI, and other neuroimaging techniques. We obtained 178 articles, 31 of which were included in our review. Results: Most of the studies used neuropsychological tests and fMRI; these methods are considered to have the greatest predictive ability for memory impairment. Other less frequently used techniques included the Wada test and FDG-PET. Conclusions: Current evidence supports performing a presurgical assessment of memory function using both neuropsychological tests and functional MRI to predict memory outcome after surgery.","author":[{"dropping-particle":"","family":"Parra-Díaz","given":"P.","non-dropping-particle":"","parse-names":false,"suffix":""},{"dropping-particle":"","family":"García-Casares","given":"N.","non-dropping-particle":"","parse-names":false,"suffix":""}],"container-title":"Neurologia","id":"ITEM-1","issue":"9","issued":{"date-parts":[["2019"]]},"title":"Memory assessment in patients with temporal lobe epilepsy to predict memory impairment after surgery: A systematic review","type":"article","volume":"34"},"uris":["http://www.mendeley.com/documents/?uuid=4d5d404c-597e-3748-9c66-b37274e19ac4"]}],"mendeley":{"formattedCitation":"[37]","plainTextFormattedCitation":"[37]","previouslyFormattedCitation":"[37]"},"properties":{"noteIndex":0},"schema":"https://github.com/citation-style-language/schema/raw/master/csl-citation.json"}</w:instrText>
      </w:r>
      <w:r w:rsidR="00DF758B" w:rsidRPr="0093582B">
        <w:fldChar w:fldCharType="separate"/>
      </w:r>
      <w:r w:rsidR="003A1608" w:rsidRPr="0093582B">
        <w:rPr>
          <w:noProof/>
        </w:rPr>
        <w:t>[37]</w:t>
      </w:r>
      <w:r w:rsidR="00DF758B" w:rsidRPr="0093582B">
        <w:fldChar w:fldCharType="end"/>
      </w:r>
      <w:r w:rsidR="00DF758B" w:rsidRPr="0093582B">
        <w:t>.</w:t>
      </w:r>
    </w:p>
    <w:p w:rsidR="0029049C" w:rsidRPr="0093582B" w:rsidRDefault="002E62B2" w:rsidP="0029049C">
      <w:pPr>
        <w:pStyle w:val="a9"/>
      </w:pPr>
      <w:r w:rsidRPr="0093582B">
        <w:t>Хирургическое леч</w:t>
      </w:r>
      <w:r w:rsidR="0029049C" w:rsidRPr="0093582B">
        <w:t>ение не показано пациентам при:</w:t>
      </w:r>
    </w:p>
    <w:p w:rsidR="0029049C" w:rsidRPr="0093582B" w:rsidRDefault="002E62B2" w:rsidP="0029049C">
      <w:pPr>
        <w:pStyle w:val="a9"/>
        <w:numPr>
          <w:ilvl w:val="0"/>
          <w:numId w:val="10"/>
        </w:numPr>
        <w:ind w:left="360"/>
      </w:pPr>
      <w:r w:rsidRPr="0093582B">
        <w:t>идиопатической генерализованной эпилепсии или доброкачеств</w:t>
      </w:r>
      <w:r w:rsidR="0029049C" w:rsidRPr="0093582B">
        <w:t>енных эпилептических синдромах;</w:t>
      </w:r>
    </w:p>
    <w:p w:rsidR="0029049C" w:rsidRPr="0093582B" w:rsidRDefault="002E62B2" w:rsidP="0029049C">
      <w:pPr>
        <w:pStyle w:val="a9"/>
        <w:numPr>
          <w:ilvl w:val="0"/>
          <w:numId w:val="10"/>
        </w:numPr>
        <w:ind w:left="360"/>
      </w:pPr>
      <w:r w:rsidRPr="0093582B">
        <w:t>приступах</w:t>
      </w:r>
      <w:r w:rsidR="0029049C" w:rsidRPr="0093582B">
        <w:t>, не ухудшающих качество жизни;</w:t>
      </w:r>
    </w:p>
    <w:p w:rsidR="0029049C" w:rsidRPr="0093582B" w:rsidRDefault="002E62B2" w:rsidP="0029049C">
      <w:pPr>
        <w:pStyle w:val="a9"/>
        <w:numPr>
          <w:ilvl w:val="0"/>
          <w:numId w:val="10"/>
        </w:numPr>
        <w:ind w:left="360"/>
      </w:pPr>
      <w:r w:rsidRPr="0093582B">
        <w:t>прогрессирующих соматических заболеваниях или тяжелой сопутствующей патологии (острая почечная недостаточность, неконтролируемый сахарный диабет, дыхательная недостаточн</w:t>
      </w:r>
      <w:r w:rsidR="0029049C" w:rsidRPr="0093582B">
        <w:t>ость и т.п.);</w:t>
      </w:r>
    </w:p>
    <w:p w:rsidR="00754D37" w:rsidRPr="0093582B" w:rsidRDefault="002E62B2" w:rsidP="0029049C">
      <w:pPr>
        <w:pStyle w:val="a9"/>
        <w:numPr>
          <w:ilvl w:val="0"/>
          <w:numId w:val="10"/>
        </w:numPr>
        <w:ind w:left="360"/>
      </w:pPr>
      <w:r w:rsidRPr="0093582B">
        <w:t>тяжелых психических заболеваниях.</w:t>
      </w:r>
    </w:p>
    <w:p w:rsidR="00754D37" w:rsidRPr="0093582B" w:rsidRDefault="002E62B2" w:rsidP="00E40287">
      <w:pPr>
        <w:pStyle w:val="a9"/>
      </w:pPr>
      <w:r w:rsidRPr="0093582B">
        <w:t xml:space="preserve">Хирургическое лечение является наиболее эффективным способом прекращения приступов у 26-72% пациентов с симптоматическими фармакорезистентными формами эпилепсии, а также позволяет значительно улучшить их качество жизни </w:t>
      </w:r>
      <w:r w:rsidR="00617441" w:rsidRPr="0093582B">
        <w:fldChar w:fldCharType="begin" w:fldLock="1"/>
      </w:r>
      <w:r w:rsidR="003A1608" w:rsidRPr="0093582B">
        <w:instrText>ADDIN CSL_CITATION {"citationItems":[{"id":"ITEM-1","itemData":{"author":[{"dropping-particle":"","family":"Крылов","given":"В.В.","non-dropping-particle":"","parse-names":false,"suffix":""}],"id":"ITEM-1","issued":{"date-parts":[["2015"]]},"title":"Хирургия эпилепсии","type":"book"},"uris":["http://www.mendeley.com/documents/?uuid=d4420a39-79e5-4afb-8125-c8945669278f"]}],"mendeley":{"formattedCitation":"[38]","plainTextFormattedCitation":"[38]","previouslyFormattedCitation":"[38]"},"properties":{"noteIndex":0},"schema":"https://github.com/citation-style-language/schema/raw/master/csl-citation.json"}</w:instrText>
      </w:r>
      <w:r w:rsidR="00617441" w:rsidRPr="0093582B">
        <w:fldChar w:fldCharType="separate"/>
      </w:r>
      <w:r w:rsidR="003A1608" w:rsidRPr="0093582B">
        <w:rPr>
          <w:noProof/>
        </w:rPr>
        <w:t>[38]</w:t>
      </w:r>
      <w:r w:rsidR="00617441" w:rsidRPr="0093582B">
        <w:fldChar w:fldCharType="end"/>
      </w:r>
      <w:r w:rsidR="00CA5A12" w:rsidRPr="0093582B">
        <w:t>.</w:t>
      </w:r>
    </w:p>
    <w:p w:rsidR="00754D37" w:rsidRPr="0093582B" w:rsidRDefault="004719BA" w:rsidP="00CA5A12">
      <w:pPr>
        <w:pStyle w:val="a9"/>
      </w:pPr>
      <w:r w:rsidRPr="0093582B">
        <w:t>Виды оперативных методов лечения</w:t>
      </w:r>
      <w:r w:rsidR="00CA5A12" w:rsidRPr="0093582B">
        <w:t xml:space="preserve"> при эпилепсии:</w:t>
      </w:r>
    </w:p>
    <w:p w:rsidR="00CA5A12" w:rsidRPr="0093582B" w:rsidRDefault="002E62B2" w:rsidP="00CA5A12">
      <w:pPr>
        <w:pStyle w:val="a9"/>
        <w:numPr>
          <w:ilvl w:val="0"/>
          <w:numId w:val="13"/>
        </w:numPr>
      </w:pPr>
      <w:r w:rsidRPr="0093582B">
        <w:t>Резекционные вмешательства:</w:t>
      </w:r>
    </w:p>
    <w:p w:rsidR="00CA5A12" w:rsidRPr="0093582B" w:rsidRDefault="002E62B2" w:rsidP="00CA5A12">
      <w:pPr>
        <w:pStyle w:val="a9"/>
        <w:numPr>
          <w:ilvl w:val="1"/>
          <w:numId w:val="13"/>
        </w:numPr>
      </w:pPr>
      <w:r w:rsidRPr="0093582B">
        <w:t>Удаление патологического очага (артериовенозная мальформация, каверномы, о</w:t>
      </w:r>
      <w:r w:rsidR="00CA5A12" w:rsidRPr="0093582B">
        <w:t>пухоли головного мозга и т.п.);</w:t>
      </w:r>
    </w:p>
    <w:p w:rsidR="00CA5A12" w:rsidRPr="0093582B" w:rsidRDefault="002E62B2" w:rsidP="00CA5A12">
      <w:pPr>
        <w:pStyle w:val="a9"/>
        <w:numPr>
          <w:ilvl w:val="1"/>
          <w:numId w:val="13"/>
        </w:numPr>
      </w:pPr>
      <w:r w:rsidRPr="0093582B">
        <w:t xml:space="preserve">Селективная амигдалогиппокампэктомия; </w:t>
      </w:r>
    </w:p>
    <w:p w:rsidR="00CA5A12" w:rsidRPr="0093582B" w:rsidRDefault="002E62B2" w:rsidP="00CA5A12">
      <w:pPr>
        <w:pStyle w:val="a9"/>
        <w:numPr>
          <w:ilvl w:val="1"/>
          <w:numId w:val="13"/>
        </w:numPr>
      </w:pPr>
      <w:r w:rsidRPr="0093582B">
        <w:t xml:space="preserve">Резекции коры; </w:t>
      </w:r>
    </w:p>
    <w:p w:rsidR="00CA5A12" w:rsidRPr="0093582B" w:rsidRDefault="002E62B2" w:rsidP="00CA5A12">
      <w:pPr>
        <w:pStyle w:val="a9"/>
        <w:numPr>
          <w:ilvl w:val="1"/>
          <w:numId w:val="13"/>
        </w:numPr>
      </w:pPr>
      <w:r w:rsidRPr="0093582B">
        <w:t xml:space="preserve">Частичная лобэктомия; </w:t>
      </w:r>
    </w:p>
    <w:p w:rsidR="00CA5A12" w:rsidRPr="0093582B" w:rsidRDefault="002E62B2" w:rsidP="00CA5A12">
      <w:pPr>
        <w:pStyle w:val="a9"/>
        <w:numPr>
          <w:ilvl w:val="1"/>
          <w:numId w:val="13"/>
        </w:numPr>
      </w:pPr>
      <w:r w:rsidRPr="0093582B">
        <w:t xml:space="preserve">Лобэктомия; </w:t>
      </w:r>
    </w:p>
    <w:p w:rsidR="00CA5A12" w:rsidRPr="0093582B" w:rsidRDefault="002E62B2" w:rsidP="00CA5A12">
      <w:pPr>
        <w:pStyle w:val="a9"/>
        <w:numPr>
          <w:ilvl w:val="1"/>
          <w:numId w:val="13"/>
        </w:numPr>
      </w:pPr>
      <w:r w:rsidRPr="0093582B">
        <w:lastRenderedPageBreak/>
        <w:t xml:space="preserve">Гемисферэктомия; </w:t>
      </w:r>
    </w:p>
    <w:p w:rsidR="00CA5A12" w:rsidRPr="0093582B" w:rsidRDefault="002E62B2" w:rsidP="00CA5A12">
      <w:pPr>
        <w:pStyle w:val="a9"/>
        <w:numPr>
          <w:ilvl w:val="0"/>
          <w:numId w:val="13"/>
        </w:numPr>
      </w:pPr>
      <w:r w:rsidRPr="0093582B">
        <w:t xml:space="preserve">Паллиативная хирургия: </w:t>
      </w:r>
    </w:p>
    <w:p w:rsidR="00CA5A12" w:rsidRPr="0093582B" w:rsidRDefault="002E62B2" w:rsidP="00CA5A12">
      <w:pPr>
        <w:pStyle w:val="a9"/>
        <w:numPr>
          <w:ilvl w:val="1"/>
          <w:numId w:val="13"/>
        </w:numPr>
      </w:pPr>
      <w:r w:rsidRPr="0093582B">
        <w:t xml:space="preserve">Каллозотомия; </w:t>
      </w:r>
    </w:p>
    <w:p w:rsidR="00CA5A12" w:rsidRPr="0093582B" w:rsidRDefault="002E62B2" w:rsidP="00CA5A12">
      <w:pPr>
        <w:pStyle w:val="a9"/>
        <w:numPr>
          <w:ilvl w:val="1"/>
          <w:numId w:val="13"/>
        </w:numPr>
      </w:pPr>
      <w:r w:rsidRPr="0093582B">
        <w:t>Множественные субпиальные насечки;</w:t>
      </w:r>
    </w:p>
    <w:p w:rsidR="00CA5A12" w:rsidRPr="0093582B" w:rsidRDefault="002E62B2" w:rsidP="00CA5A12">
      <w:pPr>
        <w:pStyle w:val="a9"/>
        <w:numPr>
          <w:ilvl w:val="0"/>
          <w:numId w:val="13"/>
        </w:numPr>
      </w:pPr>
      <w:r w:rsidRPr="0093582B">
        <w:t xml:space="preserve">Альтернативные методы </w:t>
      </w:r>
      <w:r w:rsidR="004719BA" w:rsidRPr="0093582B">
        <w:t>(применяются при невозможности или неэффективности резекционного вмешательства):</w:t>
      </w:r>
    </w:p>
    <w:p w:rsidR="00CA5A12" w:rsidRPr="0093582B" w:rsidRDefault="002E62B2" w:rsidP="00CA5A12">
      <w:pPr>
        <w:pStyle w:val="a9"/>
        <w:numPr>
          <w:ilvl w:val="1"/>
          <w:numId w:val="13"/>
        </w:numPr>
      </w:pPr>
      <w:r w:rsidRPr="0093582B">
        <w:t xml:space="preserve">Стимуляция блуждающего нерва; </w:t>
      </w:r>
    </w:p>
    <w:p w:rsidR="00CA5A12" w:rsidRPr="0093582B" w:rsidRDefault="002E62B2" w:rsidP="00CA5A12">
      <w:pPr>
        <w:pStyle w:val="a9"/>
        <w:numPr>
          <w:ilvl w:val="1"/>
          <w:numId w:val="13"/>
        </w:numPr>
      </w:pPr>
      <w:r w:rsidRPr="0093582B">
        <w:t xml:space="preserve">Нейростимуляция; </w:t>
      </w:r>
    </w:p>
    <w:p w:rsidR="00CA5A12" w:rsidRPr="0093582B" w:rsidRDefault="002E62B2" w:rsidP="00CA5A12">
      <w:pPr>
        <w:pStyle w:val="a9"/>
        <w:numPr>
          <w:ilvl w:val="1"/>
          <w:numId w:val="13"/>
        </w:numPr>
      </w:pPr>
      <w:r w:rsidRPr="0093582B">
        <w:t xml:space="preserve">Радиохирургия; </w:t>
      </w:r>
    </w:p>
    <w:p w:rsidR="00754D37" w:rsidRPr="0093582B" w:rsidRDefault="002E62B2" w:rsidP="00CA5A12">
      <w:pPr>
        <w:pStyle w:val="a9"/>
        <w:numPr>
          <w:ilvl w:val="1"/>
          <w:numId w:val="13"/>
        </w:numPr>
      </w:pPr>
      <w:r w:rsidRPr="0093582B">
        <w:t>Стреотаксическая термод</w:t>
      </w:r>
      <w:r w:rsidR="004719BA" w:rsidRPr="0093582B">
        <w:t xml:space="preserve">еструкция, лазерная абляция </w:t>
      </w:r>
      <w:r w:rsidR="004719BA" w:rsidRPr="0093582B">
        <w:fldChar w:fldCharType="begin" w:fldLock="1"/>
      </w:r>
      <w:r w:rsidR="003A1608" w:rsidRPr="0093582B">
        <w:instrText>ADDIN CSL_CITATION {"citationItems":[{"id":"ITEM-1","itemData":{"author":[{"dropping-particle":"","family":"Ассоциация нейрохирургов России","given":"","non-dropping-particle":"","parse-names":false,"suffix":""}],"id":"ITEM-1","issued":{"date-parts":[["2015"]]},"page":"20-22","title":"Клинические рекомендации по предоперационному обследованию и хирургическому лечению пациентов с фармакорезистентными формами эпилепсии: стандарты ведения больных для врачей.","type":"article-journal"},"uris":["http://www.mendeley.com/documents/?uuid=1b9c779b-1f7d-3d0c-9463-bdacc13cd630"]}],"mendeley":{"formattedCitation":"[8]","plainTextFormattedCitation":"[8]","previouslyFormattedCitation":"[8]"},"properties":{"noteIndex":0},"schema":"https://github.com/citation-style-language/schema/raw/master/csl-citation.json"}</w:instrText>
      </w:r>
      <w:r w:rsidR="004719BA" w:rsidRPr="0093582B">
        <w:fldChar w:fldCharType="separate"/>
      </w:r>
      <w:r w:rsidR="003A1608" w:rsidRPr="0093582B">
        <w:rPr>
          <w:noProof/>
        </w:rPr>
        <w:t>[8]</w:t>
      </w:r>
      <w:r w:rsidR="004719BA" w:rsidRPr="0093582B">
        <w:fldChar w:fldCharType="end"/>
      </w:r>
      <w:r w:rsidRPr="0093582B">
        <w:t>.</w:t>
      </w:r>
    </w:p>
    <w:p w:rsidR="00754D37" w:rsidRPr="0093582B" w:rsidRDefault="002E62B2" w:rsidP="00CA5A12">
      <w:pPr>
        <w:pStyle w:val="a9"/>
      </w:pPr>
      <w:r w:rsidRPr="0093582B">
        <w:t>Принимая во внимание более высокую распространенность височной эпилепсии и ее отличительные особенности, то есть ее критическую роль в основных когнитивных функциях и уникальную анатомию, хирургия эпилепсии обычно классифицируется и обсуждается как две отдельные категории: височная и вневисочная.</w:t>
      </w:r>
    </w:p>
    <w:p w:rsidR="00754D37" w:rsidRPr="0093582B" w:rsidRDefault="002459C7" w:rsidP="006B152D">
      <w:pPr>
        <w:pStyle w:val="3"/>
      </w:pPr>
      <w:bookmarkStart w:id="9" w:name="_Toc104427529"/>
      <w:r w:rsidRPr="0093582B">
        <w:t xml:space="preserve">1.4.1. </w:t>
      </w:r>
      <w:r w:rsidR="002E62B2" w:rsidRPr="0093582B">
        <w:t>Хирургия при височной эпилепсии</w:t>
      </w:r>
      <w:bookmarkEnd w:id="9"/>
    </w:p>
    <w:p w:rsidR="00754D37" w:rsidRPr="0093582B" w:rsidRDefault="002E62B2" w:rsidP="006D6AFD">
      <w:pPr>
        <w:pStyle w:val="a9"/>
      </w:pPr>
      <w:r w:rsidRPr="0093582B">
        <w:rPr>
          <w:b/>
          <w:i/>
        </w:rPr>
        <w:t>Передняя височная лобэктомия</w:t>
      </w:r>
      <w:r w:rsidRPr="0093582B">
        <w:t xml:space="preserve"> – это наиболее часто выполняемая операция для лечения рефрактерной височной эпилепсии. Эта процедура выполняется разными способами. Стандартная операция включает резекцию 3–6 см переднего височного неокортекса и 1–3 см мезиальных структур (миндалины и гиппокампа).</w:t>
      </w:r>
      <w:r w:rsidR="004719BA" w:rsidRPr="0093582B">
        <w:rPr>
          <w:rFonts w:ascii="Times New Roman" w:hAnsi="Times New Roman" w:cs="Times New Roman"/>
        </w:rPr>
        <w:t xml:space="preserve"> При этом более ограниченные резекции выполняются на стороне доминирования речевой функции. </w:t>
      </w:r>
    </w:p>
    <w:p w:rsidR="00754D37" w:rsidRPr="0093582B" w:rsidRDefault="002E62B2" w:rsidP="006D6AFD">
      <w:pPr>
        <w:pStyle w:val="a9"/>
      </w:pPr>
      <w:r w:rsidRPr="0093582B">
        <w:rPr>
          <w:b/>
          <w:i/>
        </w:rPr>
        <w:t>Селективная амигдалогиппокампэктомия</w:t>
      </w:r>
      <w:r w:rsidRPr="0093582B">
        <w:t xml:space="preserve"> – это еще один модифицированный хирургический метод, который был разработан, чтобы избежать резекции боковой (неокортикальной) височной ткани и минимизировать речевой дефицит. Операция выполняется путем доступа к височному рогу через разрез в средней височной извилине и выборочного </w:t>
      </w:r>
      <w:r w:rsidRPr="0093582B">
        <w:lastRenderedPageBreak/>
        <w:t xml:space="preserve">удаления мезиальных височных структур, оставляя неокортикальную область нетронутой. Приблизительно у 70% отобранных кандидатов после проведения хирургического вмешательство </w:t>
      </w:r>
      <w:r w:rsidR="004719BA" w:rsidRPr="0093582B">
        <w:t xml:space="preserve">в дальнейшем </w:t>
      </w:r>
      <w:r w:rsidRPr="0093582B">
        <w:t>не происходит приступов, а у большинства из оставшихся групп значительно улучшается качество жизни</w:t>
      </w:r>
      <w:r w:rsidR="004719BA" w:rsidRPr="0093582B">
        <w:t xml:space="preserve"> </w:t>
      </w:r>
      <w:r w:rsidR="004719BA" w:rsidRPr="0093582B">
        <w:fldChar w:fldCharType="begin" w:fldLock="1"/>
      </w:r>
      <w:r w:rsidR="003A1608" w:rsidRPr="0093582B">
        <w:instrText>ADDIN CSL_CITATION {"citationItems":[{"id":"ITEM-1","itemData":{"author":[{"dropping-particle":"","family":"Александров М.В.","given":"Топоркова О.А., Чикуров А.А.","non-dropping-particle":"","parse-names":false,"suffix":""}],"id":"ITEM-1","issued":{"date-parts":[["2019"]]},"number-of-pages":"156-159","title":"Нейрофизиологический интраоперационный мониторинг в нейрохирургии: руководство. 2e изд. СПб","type":"book"},"uris":["http://www.mendeley.com/documents/?uuid=b8c450ca-71e6-3dc2-9d21-cab9e7e697e2"]}],"mendeley":{"formattedCitation":"[39]","plainTextFormattedCitation":"[39]","previouslyFormattedCitation":"[39]"},"properties":{"noteIndex":0},"schema":"https://github.com/citation-style-language/schema/raw/master/csl-citation.json"}</w:instrText>
      </w:r>
      <w:r w:rsidR="004719BA" w:rsidRPr="0093582B">
        <w:fldChar w:fldCharType="separate"/>
      </w:r>
      <w:r w:rsidR="003A1608" w:rsidRPr="0093582B">
        <w:rPr>
          <w:noProof/>
        </w:rPr>
        <w:t>[39]</w:t>
      </w:r>
      <w:r w:rsidR="004719BA" w:rsidRPr="0093582B">
        <w:fldChar w:fldCharType="end"/>
      </w:r>
      <w:r w:rsidRPr="0093582B">
        <w:t>.</w:t>
      </w:r>
    </w:p>
    <w:p w:rsidR="00754D37" w:rsidRPr="0093582B" w:rsidRDefault="002E62B2" w:rsidP="00CD4D4B">
      <w:pPr>
        <w:pStyle w:val="a9"/>
        <w:rPr>
          <w:b/>
          <w:i/>
        </w:rPr>
      </w:pPr>
      <w:r w:rsidRPr="0093582B">
        <w:rPr>
          <w:b/>
          <w:i/>
        </w:rPr>
        <w:t>Хирургия лазерной абляции</w:t>
      </w:r>
      <w:r w:rsidR="00CD4D4B" w:rsidRPr="0093582B">
        <w:rPr>
          <w:b/>
          <w:i/>
        </w:rPr>
        <w:t xml:space="preserve"> –</w:t>
      </w:r>
      <w:r w:rsidR="00CD4D4B" w:rsidRPr="0093582B">
        <w:t xml:space="preserve"> </w:t>
      </w:r>
      <w:r w:rsidRPr="0093582B">
        <w:t>метод операции, используемый при локализации эпилептогенного очага</w:t>
      </w:r>
      <w:r w:rsidR="004719BA" w:rsidRPr="0093582B">
        <w:t xml:space="preserve"> в височной доле</w:t>
      </w:r>
      <w:r w:rsidRPr="0093582B">
        <w:t>, а также при вневисочной эпилепсии заключается в использовании лазерного импульса</w:t>
      </w:r>
      <w:r w:rsidR="004719BA" w:rsidRPr="0093582B">
        <w:t xml:space="preserve"> – лазерной абляции</w:t>
      </w:r>
      <w:r w:rsidRPr="0093582B">
        <w:t>.</w:t>
      </w:r>
    </w:p>
    <w:p w:rsidR="00754D37" w:rsidRPr="0093582B" w:rsidRDefault="002E62B2" w:rsidP="006D6AFD">
      <w:pPr>
        <w:pStyle w:val="a9"/>
      </w:pPr>
      <w:r w:rsidRPr="0093582B">
        <w:t>Данный метод относят к малоинвазивной процедуре, позволяющий удалить эпилептоген</w:t>
      </w:r>
      <w:r w:rsidR="00CD4D4B" w:rsidRPr="0093582B">
        <w:t xml:space="preserve">ный очаг без трепанации черепа. </w:t>
      </w:r>
      <w:r w:rsidRPr="0093582B">
        <w:t>Операция лазерной абляции эффективно применяется в случаях неудачных предыдущих открытых операций и более глубоких поражений, недоступных для открытой операции.</w:t>
      </w:r>
    </w:p>
    <w:p w:rsidR="00754D37" w:rsidRPr="0093582B" w:rsidRDefault="002E62B2" w:rsidP="006D6AFD">
      <w:pPr>
        <w:pStyle w:val="a9"/>
      </w:pPr>
      <w:r w:rsidRPr="0093582B">
        <w:t>Преимущество этой процедуры состоит в том, что она выборочно в</w:t>
      </w:r>
      <w:r w:rsidR="004719BA" w:rsidRPr="0093582B">
        <w:t>оздействует на небольшие очаги</w:t>
      </w:r>
      <w:r w:rsidRPr="0093582B">
        <w:t xml:space="preserve">, </w:t>
      </w:r>
      <w:r w:rsidR="006D6AFD" w:rsidRPr="0093582B">
        <w:t>при этом обладает</w:t>
      </w:r>
      <w:r w:rsidR="004719BA" w:rsidRPr="0093582B">
        <w:t xml:space="preserve"> меньшей болезненностью для пациентов</w:t>
      </w:r>
      <w:r w:rsidRPr="0093582B">
        <w:t xml:space="preserve"> и </w:t>
      </w:r>
      <w:r w:rsidR="004719BA" w:rsidRPr="0093582B">
        <w:t xml:space="preserve">характеризуется </w:t>
      </w:r>
      <w:r w:rsidRPr="0093582B">
        <w:t xml:space="preserve">более </w:t>
      </w:r>
      <w:r w:rsidR="003433D0" w:rsidRPr="0093582B">
        <w:t>кратковременной</w:t>
      </w:r>
      <w:r w:rsidRPr="0093582B">
        <w:t xml:space="preserve"> </w:t>
      </w:r>
      <w:r w:rsidR="00CD4D4B" w:rsidRPr="0093582B">
        <w:t xml:space="preserve">госпитализацией. </w:t>
      </w:r>
      <w:r w:rsidRPr="0093582B">
        <w:t xml:space="preserve">Целью операции является некротизация мягких тканей посредством интерстициального облучения или </w:t>
      </w:r>
      <w:r w:rsidR="006D6AFD" w:rsidRPr="0093582B">
        <w:t>термотерапии под контролем МРТ.</w:t>
      </w:r>
    </w:p>
    <w:p w:rsidR="00754D37" w:rsidRPr="0093582B" w:rsidRDefault="002E62B2" w:rsidP="006D6AFD">
      <w:pPr>
        <w:pStyle w:val="a9"/>
      </w:pPr>
      <w:r w:rsidRPr="0093582B">
        <w:t>Мезиальная височная эпилепсия также</w:t>
      </w:r>
      <w:r w:rsidR="006D6AFD" w:rsidRPr="0093582B">
        <w:t xml:space="preserve"> подходит для лазерной абляции. </w:t>
      </w:r>
      <w:r w:rsidRPr="0093582B">
        <w:t xml:space="preserve">Наличие в анамнезе предшествующей лазерной абляционной хирургии не препятствует дальнейшей открытой резекции или повторной абляционной </w:t>
      </w:r>
      <w:r w:rsidR="006D6AFD" w:rsidRPr="0093582B">
        <w:t xml:space="preserve">процедуре. </w:t>
      </w:r>
      <w:r w:rsidRPr="0093582B">
        <w:t>Безопасность и точность были продемонстрированы у пациентов с трудно локализуемыми приступами, и сообщалось, что эффективность данного метода сопоставима с эффективностью открыто</w:t>
      </w:r>
      <w:r w:rsidR="004719BA" w:rsidRPr="0093582B">
        <w:t>го хирургического вмешательства</w:t>
      </w:r>
      <w:r w:rsidR="006D6AFD" w:rsidRPr="0093582B">
        <w:t xml:space="preserve">. </w:t>
      </w:r>
      <w:r w:rsidRPr="0093582B">
        <w:t>Данные свидетельствуют о том, что данный метод при мезиальной височной эпилепсии вызывает меньше когнитивных рисков по сравнению со стандартной височной резекцией</w:t>
      </w:r>
      <w:r w:rsidR="004719BA" w:rsidRPr="0093582B">
        <w:t xml:space="preserve"> </w:t>
      </w:r>
      <w:r w:rsidR="004719BA" w:rsidRPr="0093582B">
        <w:fldChar w:fldCharType="begin" w:fldLock="1"/>
      </w:r>
      <w:r w:rsidR="003A1608" w:rsidRPr="0093582B">
        <w:instrText>ADDIN CSL_CITATION {"citationItems":[{"id":"ITEM-1","itemData":{"DOI":"10.1684/epd.2013.0587","ISSN":"12949361","abstract":"Epilepsy surgery is a successful treatment option for pharmacoresistant focal symptomatic epilepsies. However, cognitive impairment is very common in epilepsy patients and may be negatively or positively affected by surgery. Amidst the long-standing discussion of whether a particular surgical approach for temporal lobe epilepsy patients may be superior with regards to seizure control, a recent meta-analysis indicated that this is the case for more extended resections. Larger temporal lobe resections, however, raise concerns that more unaffected and functional tissues may be involved, thus causing worse cognitive outcome. This review is based on published reports collected over a long period, with changing diagnostics and surgical methods, and focuses mainly on the experiences of one epilepsy centre. The review highlights the effects of standard versus selective surgery, the different surgical approaches in selective surgery, determinants other than surgery which may affect cognitive outcome, and the methodologically-important question of outcome assessment and how neuropsychological test selection may bias the result. Overall, from a neuropsychological point of view, individual and selective surgery is preferred in which the aim is to achieve seizure control with minimal effect on the functional integrity of tissues or fibre tracts. Cognition is important for the functions of everyday life and this should be kept in mind, irrespective of which kind of surgery is preferred.","author":[{"dropping-particle":"","family":"Helmstaedter","given":"Christoph","non-dropping-particle":"","parse-names":false,"suffix":""}],"container-title":"Epileptic Disorders","id":"ITEM-1","issue":"3","issued":{"date-parts":[["2013"]]},"title":"Cognitive outcomes of different surgical approaches in temporal lobe epilepsy","type":"article","volume":"15"},"uris":["http://www.mendeley.com/documents/?uuid=bc82ae5c-aceb-327d-ba19-afbdeee04a25"]}],"mendeley":{"formattedCitation":"[35]","plainTextFormattedCitation":"[35]","previouslyFormattedCitation":"[35]"},"properties":{"noteIndex":0},"schema":"https://github.com/citation-style-language/schema/raw/master/csl-citation.json"}</w:instrText>
      </w:r>
      <w:r w:rsidR="004719BA" w:rsidRPr="0093582B">
        <w:fldChar w:fldCharType="separate"/>
      </w:r>
      <w:r w:rsidR="003A1608" w:rsidRPr="0093582B">
        <w:rPr>
          <w:noProof/>
        </w:rPr>
        <w:t>[35]</w:t>
      </w:r>
      <w:r w:rsidR="004719BA" w:rsidRPr="0093582B">
        <w:fldChar w:fldCharType="end"/>
      </w:r>
      <w:r w:rsidRPr="0093582B">
        <w:t>.</w:t>
      </w:r>
    </w:p>
    <w:p w:rsidR="00754D37" w:rsidRPr="0093582B" w:rsidRDefault="00DF15D6" w:rsidP="006D6AFD">
      <w:pPr>
        <w:pStyle w:val="a9"/>
      </w:pPr>
      <w:r w:rsidRPr="0093582B">
        <w:rPr>
          <w:b/>
          <w:i/>
        </w:rPr>
        <w:t>Ка</w:t>
      </w:r>
      <w:r w:rsidR="002E62B2" w:rsidRPr="0093582B">
        <w:rPr>
          <w:b/>
          <w:i/>
        </w:rPr>
        <w:t>ллозотомия</w:t>
      </w:r>
      <w:r w:rsidR="003433D0" w:rsidRPr="0093582B">
        <w:rPr>
          <w:i/>
        </w:rPr>
        <w:t xml:space="preserve"> </w:t>
      </w:r>
      <w:r w:rsidR="00BC0B1E" w:rsidRPr="0093582B">
        <w:rPr>
          <w:i/>
        </w:rPr>
        <w:t>–</w:t>
      </w:r>
      <w:r w:rsidR="002E62B2" w:rsidRPr="0093582B">
        <w:t xml:space="preserve"> это паллиативная хирургическая процедура, предназначенная дл</w:t>
      </w:r>
      <w:r w:rsidR="004719BA" w:rsidRPr="0093582B">
        <w:t xml:space="preserve">я облегчения </w:t>
      </w:r>
      <w:r w:rsidR="00021D50" w:rsidRPr="0093582B">
        <w:t xml:space="preserve">и снижения частоты приступов </w:t>
      </w:r>
      <w:r w:rsidR="004719BA" w:rsidRPr="0093582B">
        <w:t>за счет удаления мозолистого тела головного мозга</w:t>
      </w:r>
      <w:r w:rsidR="006D6AFD" w:rsidRPr="0093582B">
        <w:t xml:space="preserve">. </w:t>
      </w:r>
      <w:r w:rsidR="002E62B2" w:rsidRPr="0093582B">
        <w:t xml:space="preserve">Удаление мозолистого тела снижает тяжесть </w:t>
      </w:r>
      <w:r w:rsidR="002E62B2" w:rsidRPr="0093582B">
        <w:lastRenderedPageBreak/>
        <w:t>и частоту быстро распространяющихся вторично генерализованных фокальных приступов у пациентов, которые в остальном не подходят для</w:t>
      </w:r>
      <w:r w:rsidR="004719BA" w:rsidRPr="0093582B">
        <w:t xml:space="preserve"> хирургического вмешательства</w:t>
      </w:r>
      <w:r w:rsidR="009E4E14" w:rsidRPr="0093582B">
        <w:t xml:space="preserve"> </w:t>
      </w:r>
      <w:r w:rsidR="009E4E14" w:rsidRPr="0093582B">
        <w:fldChar w:fldCharType="begin" w:fldLock="1"/>
      </w:r>
      <w:r w:rsidR="003A1608" w:rsidRPr="0093582B">
        <w:instrText>ADDIN CSL_CITATION {"citationItems":[{"id":"ITEM-1","itemData":{"author":[{"dropping-particle":"","family":"Крылов","given":"В.В.","non-dropping-particle":"","parse-names":false,"suffix":""}],"id":"ITEM-1","issued":{"date-parts":[["2015"]]},"title":"Хирургия эпилепсии","type":"book"},"uris":["http://www.mendeley.com/documents/?uuid=d4420a39-79e5-4afb-8125-c8945669278f"]}],"mendeley":{"formattedCitation":"[38]","plainTextFormattedCitation":"[38]","previouslyFormattedCitation":"[38]"},"properties":{"noteIndex":0},"schema":"https://github.com/citation-style-language/schema/raw/master/csl-citation.json"}</w:instrText>
      </w:r>
      <w:r w:rsidR="009E4E14" w:rsidRPr="0093582B">
        <w:fldChar w:fldCharType="separate"/>
      </w:r>
      <w:r w:rsidR="003A1608" w:rsidRPr="0093582B">
        <w:rPr>
          <w:noProof/>
        </w:rPr>
        <w:t>[38]</w:t>
      </w:r>
      <w:r w:rsidR="009E4E14" w:rsidRPr="0093582B">
        <w:fldChar w:fldCharType="end"/>
      </w:r>
      <w:r w:rsidR="004719BA" w:rsidRPr="0093582B">
        <w:t>.</w:t>
      </w:r>
    </w:p>
    <w:p w:rsidR="00754D37" w:rsidRPr="0093582B" w:rsidRDefault="002E62B2" w:rsidP="00CD4D4B">
      <w:pPr>
        <w:pStyle w:val="a9"/>
        <w:rPr>
          <w:b/>
          <w:i/>
        </w:rPr>
      </w:pPr>
      <w:r w:rsidRPr="0093582B">
        <w:rPr>
          <w:b/>
          <w:i/>
        </w:rPr>
        <w:t>Множественные субпиальные насечки</w:t>
      </w:r>
      <w:r w:rsidR="00CD4D4B" w:rsidRPr="0093582B">
        <w:rPr>
          <w:b/>
        </w:rPr>
        <w:t xml:space="preserve"> – </w:t>
      </w:r>
      <w:r w:rsidR="00DF15D6" w:rsidRPr="0093582B">
        <w:t>метод был впервые проведен</w:t>
      </w:r>
      <w:r w:rsidRPr="0093582B">
        <w:t xml:space="preserve"> в э</w:t>
      </w:r>
      <w:r w:rsidR="001F0FD3" w:rsidRPr="0093582B">
        <w:t xml:space="preserve">кспериментах у животных в 1989 году, которые показали, что поверхностные разрезы коры головного мозга могут уменьшить распространение приступа, сохраняя при этом свою функцию. В </w:t>
      </w:r>
      <w:r w:rsidR="001F0FD3" w:rsidRPr="0093582B">
        <w:rPr>
          <w:rFonts w:ascii="Times New Roman" w:hAnsi="Times New Roman" w:cs="Times New Roman"/>
        </w:rPr>
        <w:t>основном используется для лечения рефрактерных эпилепсий, когда резекция сопряжена с риском, например, в случаях очагов вблизи зоны Брока коры головного мозга</w:t>
      </w:r>
      <w:r w:rsidRPr="0093582B">
        <w:t>. Кроме того, было показано, что разрезы серого вещества позволяют не нарушать кровоснабжение, сохраняя таким образом функцию.</w:t>
      </w:r>
      <w:r w:rsidR="006D6AFD" w:rsidRPr="0093582B">
        <w:t xml:space="preserve"> </w:t>
      </w:r>
      <w:r w:rsidRPr="0093582B">
        <w:t>Оперативная методика, заключается в нанесении множественных вертикальных насечек вокруг очага эпилептической активности. Пересечение волокон в вертикальном направлении делает невозможным горизонтальное распространение патологической импульсации. При этом сохраняются вертикальные корковые связи, соответственно, не возникает выраженных неврологических расстройств. В определенных условиях операция может являться альтернативой резекции.</w:t>
      </w:r>
      <w:r w:rsidR="009E4E14" w:rsidRPr="0093582B">
        <w:fldChar w:fldCharType="begin" w:fldLock="1"/>
      </w:r>
      <w:r w:rsidR="003A1608" w:rsidRPr="0093582B">
        <w:instrText>ADDIN CSL_CITATION {"citationItems":[{"id":"ITEM-1","itemData":{"author":[{"dropping-particle":"","family":"Крылов","given":"В.В.","non-dropping-particle":"","parse-names":false,"suffix":""}],"id":"ITEM-1","issued":{"date-parts":[["2015"]]},"title":"Хирургия эпилепсии","type":"book"},"uris":["http://www.mendeley.com/documents/?uuid=d4420a39-79e5-4afb-8125-c8945669278f"]}],"mendeley":{"formattedCitation":"[38]","plainTextFormattedCitation":"[38]","previouslyFormattedCitation":"[38]"},"properties":{"noteIndex":0},"schema":"https://github.com/citation-style-language/schema/raw/master/csl-citation.json"}</w:instrText>
      </w:r>
      <w:r w:rsidR="009E4E14" w:rsidRPr="0093582B">
        <w:fldChar w:fldCharType="separate"/>
      </w:r>
      <w:r w:rsidR="003A1608" w:rsidRPr="0093582B">
        <w:rPr>
          <w:noProof/>
        </w:rPr>
        <w:t>[38]</w:t>
      </w:r>
      <w:r w:rsidR="009E4E14" w:rsidRPr="0093582B">
        <w:fldChar w:fldCharType="end"/>
      </w:r>
    </w:p>
    <w:p w:rsidR="00754D37" w:rsidRPr="0093582B" w:rsidRDefault="001F0FD3" w:rsidP="006D6AFD">
      <w:pPr>
        <w:pStyle w:val="a9"/>
        <w:rPr>
          <w:rFonts w:asciiTheme="majorHAnsi" w:hAnsiTheme="majorHAnsi" w:cstheme="majorHAnsi"/>
        </w:rPr>
      </w:pPr>
      <w:r w:rsidRPr="0093582B">
        <w:rPr>
          <w:b/>
          <w:i/>
        </w:rPr>
        <w:t>Гемисферэктомия</w:t>
      </w:r>
      <w:r w:rsidRPr="0093582B">
        <w:t xml:space="preserve"> используется в основном у детей с рефрактерными фокальными эпилепсиями, ограниченными одним полушарием, редко у взрослых</w:t>
      </w:r>
      <w:r w:rsidR="002E62B2" w:rsidRPr="0093582B">
        <w:rPr>
          <w:rFonts w:asciiTheme="majorHAnsi" w:hAnsiTheme="majorHAnsi" w:cstheme="majorHAnsi"/>
        </w:rPr>
        <w:t xml:space="preserve">. </w:t>
      </w:r>
      <w:r w:rsidRPr="0093582B">
        <w:rPr>
          <w:rFonts w:asciiTheme="majorHAnsi" w:hAnsiTheme="majorHAnsi" w:cstheme="majorHAnsi"/>
        </w:rPr>
        <w:t xml:space="preserve">Оперативная методика заключается в резекции корковой ткани и части подкорковых структур одного полушария. </w:t>
      </w:r>
      <w:r w:rsidR="002E62B2" w:rsidRPr="0093582B">
        <w:rPr>
          <w:rFonts w:asciiTheme="majorHAnsi" w:hAnsiTheme="majorHAnsi" w:cstheme="majorHAnsi"/>
        </w:rPr>
        <w:t xml:space="preserve">Неизбежным следствием гемисферэктомии является глубокий неврологический дефицит, в том числе гемиплегия и гемианопсия, однако неврологический дефицит у многих из них отмечался и до операции. Описывались также другие стойкие осложнения после операции, в частности, гидроцефалия. В результате были предложены модификации и альтернативные способы – облитерация хирургической полости после гемисферэктомии, разобщение полушарий. Расмуссен первым описал </w:t>
      </w:r>
      <w:r w:rsidR="002E62B2" w:rsidRPr="0093582B">
        <w:rPr>
          <w:rFonts w:asciiTheme="majorHAnsi" w:hAnsiTheme="majorHAnsi" w:cstheme="majorHAnsi"/>
        </w:rPr>
        <w:lastRenderedPageBreak/>
        <w:t xml:space="preserve">функциональную гемисферэктомию, при которой удалялась височная и центральная кора, а фронтальные и </w:t>
      </w:r>
      <w:r w:rsidR="006D6AFD" w:rsidRPr="0093582B">
        <w:rPr>
          <w:rFonts w:asciiTheme="majorHAnsi" w:hAnsiTheme="majorHAnsi" w:cstheme="majorHAnsi"/>
        </w:rPr>
        <w:t>затылочные доли рассоединялись.</w:t>
      </w:r>
    </w:p>
    <w:p w:rsidR="00BC0B1E" w:rsidRPr="0093582B" w:rsidRDefault="002E62B2" w:rsidP="00BC0B1E">
      <w:pPr>
        <w:pStyle w:val="a9"/>
      </w:pPr>
      <w:r w:rsidRPr="0093582B">
        <w:t>Данн</w:t>
      </w:r>
      <w:r w:rsidR="00DF758B" w:rsidRPr="0093582B">
        <w:t>ый метод лечения предпочтителен</w:t>
      </w:r>
      <w:r w:rsidR="000C7BAC" w:rsidRPr="0093582B">
        <w:t xml:space="preserve"> пациентам,</w:t>
      </w:r>
      <w:r w:rsidRPr="0093582B">
        <w:t xml:space="preserve"> </w:t>
      </w:r>
      <w:r w:rsidR="00BC0B1E" w:rsidRPr="0093582B">
        <w:t>у которых наблюдаются:</w:t>
      </w:r>
    </w:p>
    <w:p w:rsidR="00BC0B1E" w:rsidRPr="0093582B" w:rsidRDefault="00DF15D6" w:rsidP="00BC0B1E">
      <w:pPr>
        <w:pStyle w:val="a9"/>
        <w:numPr>
          <w:ilvl w:val="0"/>
          <w:numId w:val="14"/>
        </w:numPr>
        <w:ind w:left="360"/>
      </w:pPr>
      <w:r w:rsidRPr="0093582B">
        <w:t xml:space="preserve">тяжелое течение </w:t>
      </w:r>
      <w:r w:rsidR="002E62B2" w:rsidRPr="0093582B">
        <w:t>эпилепсии</w:t>
      </w:r>
      <w:r w:rsidR="00BC0B1E" w:rsidRPr="0093582B">
        <w:t>;</w:t>
      </w:r>
    </w:p>
    <w:p w:rsidR="00BC0B1E" w:rsidRPr="0093582B" w:rsidRDefault="00FF033F" w:rsidP="00BC0B1E">
      <w:pPr>
        <w:pStyle w:val="a9"/>
        <w:numPr>
          <w:ilvl w:val="0"/>
          <w:numId w:val="14"/>
        </w:numPr>
        <w:ind w:left="360"/>
      </w:pPr>
      <w:r w:rsidRPr="0093582B">
        <w:t>сопутствующие неврологические патологии</w:t>
      </w:r>
      <w:r w:rsidR="00BC0B1E" w:rsidRPr="0093582B">
        <w:t>;</w:t>
      </w:r>
    </w:p>
    <w:p w:rsidR="00754D37" w:rsidRPr="0093582B" w:rsidRDefault="00FF033F" w:rsidP="00BC0B1E">
      <w:pPr>
        <w:pStyle w:val="a9"/>
        <w:numPr>
          <w:ilvl w:val="0"/>
          <w:numId w:val="14"/>
        </w:numPr>
        <w:ind w:left="360"/>
      </w:pPr>
      <w:r w:rsidRPr="0093582B">
        <w:t xml:space="preserve">ранний детский </w:t>
      </w:r>
      <w:r w:rsidR="002E62B2" w:rsidRPr="0093582B">
        <w:t>возраст пациента</w:t>
      </w:r>
      <w:r w:rsidR="00BC0B1E" w:rsidRPr="0093582B">
        <w:t>.</w:t>
      </w:r>
    </w:p>
    <w:p w:rsidR="00754D37" w:rsidRPr="0093582B" w:rsidRDefault="002E62B2" w:rsidP="00BC0B1E">
      <w:pPr>
        <w:pStyle w:val="a9"/>
      </w:pPr>
      <w:r w:rsidRPr="0093582B">
        <w:t>Могут возникнуть серьезные поздние послеоперационные осложнения, включая поверхностный церебральный гемосидероз и гидроцефалию</w:t>
      </w:r>
      <w:r w:rsidR="00FF033F" w:rsidRPr="0093582B">
        <w:t xml:space="preserve"> </w:t>
      </w:r>
      <w:r w:rsidR="009E4E14" w:rsidRPr="0093582B">
        <w:fldChar w:fldCharType="begin" w:fldLock="1"/>
      </w:r>
      <w:r w:rsidR="003A1608" w:rsidRPr="0093582B">
        <w:instrText>ADDIN CSL_CITATION {"citationItems":[{"id":"ITEM-1","itemData":{"author":[{"dropping-particle":"","family":"Крылов","given":"В.В.","non-dropping-particle":"","parse-names":false,"suffix":""}],"id":"ITEM-1","issued":{"date-parts":[["2015"]]},"title":"Хирургия эпилепсии","type":"book"},"uris":["http://www.mendeley.com/documents/?uuid=d4420a39-79e5-4afb-8125-c8945669278f"]}],"mendeley":{"formattedCitation":"[38]","plainTextFormattedCitation":"[38]","previouslyFormattedCitation":"[38]"},"properties":{"noteIndex":0},"schema":"https://github.com/citation-style-language/schema/raw/master/csl-citation.json"}</w:instrText>
      </w:r>
      <w:r w:rsidR="009E4E14" w:rsidRPr="0093582B">
        <w:fldChar w:fldCharType="separate"/>
      </w:r>
      <w:r w:rsidR="003A1608" w:rsidRPr="0093582B">
        <w:rPr>
          <w:noProof/>
        </w:rPr>
        <w:t>[38]</w:t>
      </w:r>
      <w:r w:rsidR="009E4E14" w:rsidRPr="0093582B">
        <w:fldChar w:fldCharType="end"/>
      </w:r>
      <w:r w:rsidR="00FF033F" w:rsidRPr="0093582B">
        <w:t>.</w:t>
      </w:r>
    </w:p>
    <w:p w:rsidR="001F0FD3" w:rsidRPr="0093582B" w:rsidRDefault="001F0FD3" w:rsidP="00BC0B1E">
      <w:pPr>
        <w:pStyle w:val="a9"/>
      </w:pPr>
      <w:r w:rsidRPr="0093582B">
        <w:rPr>
          <w:b/>
          <w:i/>
        </w:rPr>
        <w:t>Нерезективные хирургические методы лечения</w:t>
      </w:r>
      <w:r w:rsidR="00BC0B1E" w:rsidRPr="0093582B">
        <w:rPr>
          <w:b/>
          <w:i/>
        </w:rPr>
        <w:t xml:space="preserve"> </w:t>
      </w:r>
      <w:r w:rsidR="00BC0B1E" w:rsidRPr="0093582B">
        <w:t>применяются к п</w:t>
      </w:r>
      <w:r w:rsidRPr="0093582B">
        <w:t xml:space="preserve">ациентам, которым не показаны резекционные хирургические методы, </w:t>
      </w:r>
      <w:r w:rsidR="00BC0B1E" w:rsidRPr="0093582B">
        <w:t>например,</w:t>
      </w:r>
      <w:r w:rsidRPr="0093582B">
        <w:t xml:space="preserve"> при наличии </w:t>
      </w:r>
      <w:r w:rsidR="000C7BAC" w:rsidRPr="0093582B">
        <w:t>мультифокальных очагов или зоны</w:t>
      </w:r>
      <w:r w:rsidRPr="0093582B">
        <w:t xml:space="preserve"> начала приступа, перекрывающ</w:t>
      </w:r>
      <w:r w:rsidR="000C7BAC" w:rsidRPr="0093582B">
        <w:t>ейся</w:t>
      </w:r>
      <w:r w:rsidRPr="0093582B">
        <w:t xml:space="preserve"> с функциональными зонами коры, могут быть рекомендованы альтернативные</w:t>
      </w:r>
      <w:r w:rsidR="00BC0B1E" w:rsidRPr="0093582B">
        <w:t xml:space="preserve">, нерезективные методы лечения. </w:t>
      </w:r>
      <w:r w:rsidRPr="0093582B">
        <w:t>Попытки контролировать припадки с помощью электростимуляции, начатые в 1960-х годах, привели к нескольким доступным методам лечения, начиная со стимуляции бл</w:t>
      </w:r>
      <w:r w:rsidR="00BC0B1E" w:rsidRPr="0093582B">
        <w:t xml:space="preserve">уждающего нерва в 1980-х годах. </w:t>
      </w:r>
      <w:r w:rsidRPr="0093582B">
        <w:t>Имплантированные хирургическим путем устройства для электростимуляции не требуют удаления ткани головного мозга.</w:t>
      </w:r>
    </w:p>
    <w:p w:rsidR="00754D37" w:rsidRPr="0093582B" w:rsidRDefault="002E62B2" w:rsidP="00BC0B1E">
      <w:pPr>
        <w:pStyle w:val="a9"/>
        <w:rPr>
          <w:b/>
          <w:i/>
        </w:rPr>
      </w:pPr>
      <w:r w:rsidRPr="0093582B">
        <w:rPr>
          <w:b/>
          <w:i/>
        </w:rPr>
        <w:t>Стимуляция блуждающего нерва</w:t>
      </w:r>
      <w:r w:rsidR="00BC0B1E" w:rsidRPr="0093582B">
        <w:rPr>
          <w:b/>
          <w:i/>
        </w:rPr>
        <w:t xml:space="preserve"> – </w:t>
      </w:r>
      <w:r w:rsidR="00BC0B1E" w:rsidRPr="0093582B">
        <w:t>э</w:t>
      </w:r>
      <w:r w:rsidRPr="0093582B">
        <w:rPr>
          <w:rFonts w:asciiTheme="majorHAnsi" w:hAnsiTheme="majorHAnsi" w:cstheme="majorHAnsi"/>
          <w:szCs w:val="28"/>
        </w:rPr>
        <w:t>то дополнительная терапия, одобренная Управлением по санитарному надзору за качеством пищевых продуктов и медикаментов для лечения р</w:t>
      </w:r>
      <w:r w:rsidR="00BC0B1E" w:rsidRPr="0093582B">
        <w:rPr>
          <w:rFonts w:asciiTheme="majorHAnsi" w:hAnsiTheme="majorHAnsi" w:cstheme="majorHAnsi"/>
          <w:szCs w:val="28"/>
        </w:rPr>
        <w:t>ефрактерных очаговых эпилепсий со</w:t>
      </w:r>
      <w:r w:rsidRPr="0093582B">
        <w:rPr>
          <w:rFonts w:asciiTheme="majorHAnsi" w:hAnsiTheme="majorHAnsi" w:cstheme="majorHAnsi"/>
          <w:szCs w:val="28"/>
        </w:rPr>
        <w:t xml:space="preserve"> вторичной генерализацией или без нее </w:t>
      </w:r>
      <w:r w:rsidR="00BC0B1E" w:rsidRPr="0093582B">
        <w:rPr>
          <w:rFonts w:asciiTheme="majorHAnsi" w:hAnsiTheme="majorHAnsi" w:cstheme="majorHAnsi"/>
          <w:szCs w:val="28"/>
        </w:rPr>
        <w:t xml:space="preserve">у пациентов от 4 лет и старше. </w:t>
      </w:r>
      <w:r w:rsidRPr="0093582B">
        <w:rPr>
          <w:rFonts w:asciiTheme="majorHAnsi" w:hAnsiTheme="majorHAnsi" w:cstheme="majorHAnsi"/>
          <w:szCs w:val="28"/>
        </w:rPr>
        <w:t>Генератор имплантируется в левую верхнюю часть грудной клетки и проходи</w:t>
      </w:r>
      <w:r w:rsidR="00FF08CE" w:rsidRPr="0093582B">
        <w:rPr>
          <w:rFonts w:asciiTheme="majorHAnsi" w:hAnsiTheme="majorHAnsi" w:cstheme="majorHAnsi"/>
          <w:szCs w:val="28"/>
        </w:rPr>
        <w:t>т под кожей к блуждающему нерву</w:t>
      </w:r>
      <w:r w:rsidR="00BC0B1E" w:rsidRPr="0093582B">
        <w:rPr>
          <w:rFonts w:asciiTheme="majorHAnsi" w:hAnsiTheme="majorHAnsi" w:cstheme="majorHAnsi"/>
          <w:szCs w:val="28"/>
        </w:rPr>
        <w:t xml:space="preserve"> </w:t>
      </w:r>
      <w:r w:rsidR="009E4E14" w:rsidRPr="0093582B">
        <w:rPr>
          <w:rFonts w:asciiTheme="majorHAnsi" w:hAnsiTheme="majorHAnsi" w:cstheme="majorHAnsi"/>
          <w:szCs w:val="28"/>
        </w:rPr>
        <w:fldChar w:fldCharType="begin" w:fldLock="1"/>
      </w:r>
      <w:r w:rsidR="003A1608" w:rsidRPr="0093582B">
        <w:rPr>
          <w:rFonts w:asciiTheme="majorHAnsi" w:hAnsiTheme="majorHAnsi" w:cstheme="majorHAnsi"/>
          <w:szCs w:val="28"/>
        </w:rPr>
        <w:instrText>ADDIN CSL_CITATION {"citationItems":[{"id":"ITEM-1","itemData":{"author":[{"dropping-particle":"","family":"Крылов","given":"В.В.","non-dropping-particle":"","parse-names":false,"suffix":""}],"id":"ITEM-1","issued":{"date-parts":[["2015"]]},"title":"Хирургия эпилепсии","type":"book"},"uris":["http://www.mendeley.com/documents/?uuid=d4420a39-79e5-4afb-8125-c8945669278f"]}],"mendeley":{"formattedCitation":"[38]","plainTextFormattedCitation":"[38]","previouslyFormattedCitation":"[38]"},"properties":{"noteIndex":0},"schema":"https://github.com/citation-style-language/schema/raw/master/csl-citation.json"}</w:instrText>
      </w:r>
      <w:r w:rsidR="009E4E14" w:rsidRPr="0093582B">
        <w:rPr>
          <w:rFonts w:asciiTheme="majorHAnsi" w:hAnsiTheme="majorHAnsi" w:cstheme="majorHAnsi"/>
          <w:szCs w:val="28"/>
        </w:rPr>
        <w:fldChar w:fldCharType="separate"/>
      </w:r>
      <w:r w:rsidR="003A1608" w:rsidRPr="0093582B">
        <w:rPr>
          <w:rFonts w:asciiTheme="majorHAnsi" w:hAnsiTheme="majorHAnsi" w:cstheme="majorHAnsi"/>
          <w:noProof/>
          <w:szCs w:val="28"/>
        </w:rPr>
        <w:t>[38]</w:t>
      </w:r>
      <w:r w:rsidR="009E4E14" w:rsidRPr="0093582B">
        <w:rPr>
          <w:rFonts w:asciiTheme="majorHAnsi" w:hAnsiTheme="majorHAnsi" w:cstheme="majorHAnsi"/>
          <w:szCs w:val="28"/>
        </w:rPr>
        <w:fldChar w:fldCharType="end"/>
      </w:r>
      <w:r w:rsidR="00FF08CE" w:rsidRPr="0093582B">
        <w:rPr>
          <w:rFonts w:asciiTheme="majorHAnsi" w:hAnsiTheme="majorHAnsi" w:cstheme="majorHAnsi"/>
          <w:szCs w:val="28"/>
        </w:rPr>
        <w:t>.</w:t>
      </w:r>
    </w:p>
    <w:p w:rsidR="00754D37" w:rsidRPr="0093582B" w:rsidRDefault="002E62B2" w:rsidP="00BC0B1E">
      <w:pPr>
        <w:pStyle w:val="a9"/>
        <w:rPr>
          <w:b/>
          <w:i/>
        </w:rPr>
      </w:pPr>
      <w:r w:rsidRPr="0093582B">
        <w:rPr>
          <w:b/>
          <w:i/>
        </w:rPr>
        <w:t xml:space="preserve">Нейростимуляция </w:t>
      </w:r>
    </w:p>
    <w:p w:rsidR="00754D37" w:rsidRPr="0093582B" w:rsidRDefault="002E62B2" w:rsidP="00BC0B1E">
      <w:pPr>
        <w:pStyle w:val="a9"/>
      </w:pPr>
      <w:r w:rsidRPr="0093582B">
        <w:t>Система была одобрена в 2013 году для лечения ре</w:t>
      </w:r>
      <w:r w:rsidR="00BC0B1E" w:rsidRPr="0093582B">
        <w:t xml:space="preserve">фрактерной фокальной эпилепсии. </w:t>
      </w:r>
      <w:r w:rsidRPr="0093582B">
        <w:t>Данная система обеспечивает корковую стимуляци</w:t>
      </w:r>
      <w:r w:rsidR="00BC0B1E" w:rsidRPr="0093582B">
        <w:t xml:space="preserve">ю в ответ на иктальные разряды. </w:t>
      </w:r>
      <w:r w:rsidRPr="0093582B">
        <w:t xml:space="preserve">Это программируемый нейростимулятор, который </w:t>
      </w:r>
      <w:r w:rsidRPr="0093582B">
        <w:lastRenderedPageBreak/>
        <w:t>имплантируется краниально и соединяется с одним</w:t>
      </w:r>
      <w:r w:rsidR="00BC0B1E" w:rsidRPr="0093582B">
        <w:t xml:space="preserve"> или двумя глубинными и/</w:t>
      </w:r>
      <w:r w:rsidRPr="0093582B">
        <w:t>или субдуральными кортикальными полосковыми электродами, размещенны</w:t>
      </w:r>
      <w:r w:rsidR="00BC0B1E" w:rsidRPr="0093582B">
        <w:t xml:space="preserve">ми над эпилептическими очагами. </w:t>
      </w:r>
      <w:r w:rsidRPr="0093582B">
        <w:t>Нейростимулятор постоянно определяет электрическую активность и при обнаружении начала иктальных разрядов в ответ выдает короткие импульсы стимуляции (замкнутая система)</w:t>
      </w:r>
      <w:r w:rsidR="00FF033F" w:rsidRPr="0093582B">
        <w:t xml:space="preserve"> </w:t>
      </w:r>
      <w:r w:rsidR="009E4E14" w:rsidRPr="0093582B">
        <w:fldChar w:fldCharType="begin" w:fldLock="1"/>
      </w:r>
      <w:r w:rsidR="003A1608" w:rsidRPr="0093582B">
        <w:instrText>ADDIN CSL_CITATION {"citationItems":[{"id":"ITEM-1","itemData":{"author":[{"dropping-particle":"","family":"Крылов","given":"В.В.","non-dropping-particle":"","parse-names":false,"suffix":""}],"id":"ITEM-1","issued":{"date-parts":[["2015"]]},"title":"Хирургия эпилепсии","type":"book"},"uris":["http://www.mendeley.com/documents/?uuid=d4420a39-79e5-4afb-8125-c8945669278f"]}],"mendeley":{"formattedCitation":"[38]","plainTextFormattedCitation":"[38]","previouslyFormattedCitation":"[38]"},"properties":{"noteIndex":0},"schema":"https://github.com/citation-style-language/schema/raw/master/csl-citation.json"}</w:instrText>
      </w:r>
      <w:r w:rsidR="009E4E14" w:rsidRPr="0093582B">
        <w:fldChar w:fldCharType="separate"/>
      </w:r>
      <w:r w:rsidR="003A1608" w:rsidRPr="0093582B">
        <w:rPr>
          <w:noProof/>
        </w:rPr>
        <w:t>[38]</w:t>
      </w:r>
      <w:r w:rsidR="009E4E14" w:rsidRPr="0093582B">
        <w:fldChar w:fldCharType="end"/>
      </w:r>
      <w:r w:rsidR="00FF08CE" w:rsidRPr="0093582B">
        <w:t>.</w:t>
      </w:r>
    </w:p>
    <w:p w:rsidR="00754D37" w:rsidRPr="0093582B" w:rsidRDefault="002459C7" w:rsidP="00BC0B1E">
      <w:pPr>
        <w:pStyle w:val="2"/>
      </w:pPr>
      <w:bookmarkStart w:id="10" w:name="_Toc104427530"/>
      <w:r w:rsidRPr="0093582B">
        <w:t>1.5</w:t>
      </w:r>
      <w:r w:rsidR="00FF033F" w:rsidRPr="0093582B">
        <w:t>.</w:t>
      </w:r>
      <w:r w:rsidRPr="0093582B">
        <w:t xml:space="preserve"> </w:t>
      </w:r>
      <w:r w:rsidR="002E62B2" w:rsidRPr="0093582B">
        <w:t>Результаты хирургического лечения эпилепсии</w:t>
      </w:r>
      <w:bookmarkEnd w:id="10"/>
    </w:p>
    <w:p w:rsidR="00BC0B1E" w:rsidRPr="0093582B" w:rsidRDefault="002E62B2" w:rsidP="00BC0B1E">
      <w:pPr>
        <w:pStyle w:val="a9"/>
      </w:pPr>
      <w:r w:rsidRPr="0093582B">
        <w:t>Результатом проведения хирургического лечение является значительное улучшение показателей у пациентов. В исследовании N. Lowe</w:t>
      </w:r>
      <w:r w:rsidR="001F0FD3" w:rsidRPr="0093582B">
        <w:t xml:space="preserve"> </w:t>
      </w:r>
      <w:r w:rsidRPr="0093582B">
        <w:t>было выявлено, что при длительности заболевания менее 10 лет шанс избавления от приступов после проведения хирургического лечения составляет 75%, а при длительности заболевания более 30 лет вероятность полного контроля уменьшается до 60—62%</w:t>
      </w:r>
      <w:r w:rsidR="00D20922" w:rsidRPr="0093582B">
        <w:t xml:space="preserve"> </w:t>
      </w:r>
      <w:r w:rsidR="00D20922" w:rsidRPr="0093582B">
        <w:fldChar w:fldCharType="begin" w:fldLock="1"/>
      </w:r>
      <w:r w:rsidR="003A1608" w:rsidRPr="0093582B">
        <w:instrText>ADDIN CSL_CITATION {"citationItems":[{"id":"ITEM-1","itemData":{"DOI":"10.1016/j.seizure.2010.02.011","ISSN":"10591311","abstract":"To assess the effect of the duration of epilepsy on the outcome of epilepsy surgery in non-lesional medically refractory temporal lobe epilepsy we reviewed the outcome of 76 patients. Methods: All patients had anterior temporal resections for \"non-lesional\" temporal epilepsy (excluding any patient with tumours or vascular malformations but including patients with hippocampal sclerosis). Outcome at one year was assessed using Engel's scale. Results: 67% had a good outcome (Engel I or II). The mean duration of epilepsy was 23.0 years (range 2.9-46.9 years). Overall, there was no significant difference between patients with good outcome (mean duration 22.4 years) and poor outcome (mean duration 24.2 years) (p = 0.49). The proportion of patients with good outcome was slightly higher in the shorter duration groups. (Duration less than 10 years 75%, 10-19 years 71%, 20-29 years 65%, 30-39 years 62%, and 40-49 years 60% good outcome, p = 0.95). Conclusion: We found no significant associations between outcome and duration of epilepsy. © 2010 British Epilepsy Association.","author":[{"dropping-particle":"","family":"Lowe","given":"Natalie Marie","non-dropping-particle":"","parse-names":false,"suffix":""},{"dropping-particle":"","family":"Eldridge","given":"Paul","non-dropping-particle":"","parse-names":false,"suffix":""},{"dropping-particle":"","family":"Varma","given":"Thelekat","non-dropping-particle":"","parse-names":false,"suffix":""},{"dropping-particle":"","family":"Wieshmann","given":"Udo C.","non-dropping-particle":"","parse-names":false,"suffix":""}],"container-title":"Seizure","id":"ITEM-1","issue":"5","issued":{"date-parts":[["2010"]]},"title":"The duration of temporal lobe epilepsy and seizure outcome after epilepsy surgery","type":"article-journal","volume":"19"},"uris":["http://www.mendeley.com/documents/?uuid=a601ab6a-7f49-3802-87c5-030cb469cb7a"]}],"mendeley":{"formattedCitation":"[40]","plainTextFormattedCitation":"[40]","previouslyFormattedCitation":"[40]"},"properties":{"noteIndex":0},"schema":"https://github.com/citation-style-language/schema/raw/master/csl-citation.json"}</w:instrText>
      </w:r>
      <w:r w:rsidR="00D20922" w:rsidRPr="0093582B">
        <w:fldChar w:fldCharType="separate"/>
      </w:r>
      <w:r w:rsidR="003A1608" w:rsidRPr="0093582B">
        <w:rPr>
          <w:noProof/>
        </w:rPr>
        <w:t>[40]</w:t>
      </w:r>
      <w:r w:rsidR="00D20922" w:rsidRPr="0093582B">
        <w:fldChar w:fldCharType="end"/>
      </w:r>
      <w:r w:rsidR="00D20922" w:rsidRPr="0093582B">
        <w:t xml:space="preserve">. </w:t>
      </w:r>
    </w:p>
    <w:p w:rsidR="00BC0B1E" w:rsidRPr="0093582B" w:rsidRDefault="00D20922" w:rsidP="00BC0B1E">
      <w:pPr>
        <w:pStyle w:val="a9"/>
      </w:pPr>
      <w:r w:rsidRPr="0093582B">
        <w:t>По данным J. Janszky</w:t>
      </w:r>
      <w:r w:rsidR="002E62B2" w:rsidRPr="0093582B">
        <w:t>, вероятность 5-летнего полного контроля над приступами после проведения хирургического лечения составляет: при длительно</w:t>
      </w:r>
      <w:r w:rsidR="00BC0B1E" w:rsidRPr="0093582B">
        <w:t>сти заболевания от 0 до 10 лет –</w:t>
      </w:r>
      <w:r w:rsidR="002E62B2" w:rsidRPr="0093582B">
        <w:t xml:space="preserve"> </w:t>
      </w:r>
      <w:r w:rsidR="00BC0B1E" w:rsidRPr="0093582B">
        <w:t>90%, от 11 до 20 лет –</w:t>
      </w:r>
      <w:r w:rsidR="002E62B2" w:rsidRPr="0093582B">
        <w:t xml:space="preserve"> 68%, от 20 до 30 лет</w:t>
      </w:r>
      <w:r w:rsidR="00BC0B1E" w:rsidRPr="0093582B">
        <w:t xml:space="preserve"> –</w:t>
      </w:r>
      <w:r w:rsidR="002E62B2" w:rsidRPr="0093582B">
        <w:t xml:space="preserve"> 50%, а при длительности более 30 лет</w:t>
      </w:r>
      <w:r w:rsidR="00BC0B1E" w:rsidRPr="0093582B">
        <w:t xml:space="preserve"> –</w:t>
      </w:r>
      <w:r w:rsidR="002E62B2" w:rsidRPr="0093582B">
        <w:t xml:space="preserve"> не более 30%</w:t>
      </w:r>
      <w:r w:rsidRPr="0093582B">
        <w:t xml:space="preserve"> </w:t>
      </w:r>
      <w:r w:rsidRPr="0093582B">
        <w:fldChar w:fldCharType="begin" w:fldLock="1"/>
      </w:r>
      <w:r w:rsidR="003A1608" w:rsidRPr="0093582B">
        <w:instrText>ADDIN CSL_CITATION {"citationItems":[{"id":"ITEM-1","itemData":{"DOI":"10.1093/brain/awh358","ISSN":"00068950","abstract":"Temporal lobe epilepsy (TLE) accompanied by hippocampal sclerosis (HS) is the type of epilepsy most frequently operated on. The predictors for long-term seizure freedom after surgery of TLE-HS are unknown. In this study, we aimed to identify prognostic factors which predict the outcome 6 months and 2, 3 and 5 years after epilepsy surgery of TLE-HS. Our working hypothesis was that the prognostic value of potential predictors depended on the post-operative time interval for which the assessment was made. We included 171 patients (100 females and 71 males, aged 16-59 years) who had undergone presurgical evaluation, including video-EEG, who had had MRI-defined HS, and who had undergone temporal lobectomy. We found that secondarily generalized seizures (SGTCS) and ictal dystonia were associated with a worse 2-year outcome. Both these variables together with older age and longer epilepsy duration were also related to a worse 3-year outcome. Ictal limb dystonia, older age and longer epilepsy duration were associated with long-term surgical failure evaluated 5 years post-operatively. In order to determine the independent predictors of outcomes, we calculated multivariate analyses. The presence of SGTCS and ictal dystonia independently predicted the 2-year outcome. Longer epilepsy duration and ictal dystonia predicted the 3-year outcome. Longer epilepsy duration (P = 0.003) predicted a poor 5-year outcome. Conclusively, predictors for the long-term surgical results of TLE with HS are different from those variables that predict the short-term outcome. Epilepsy duration is the most important predictor for long-term surgical outcome. Our results strongly suggest that surgery for TLE-HS should be performed as early as possible.","author":[{"dropping-particle":"","family":"Janszky","given":"Jozsef","non-dropping-particle":"","parse-names":false,"suffix":""},{"dropping-particle":"","family":"Janszky","given":"I.","non-dropping-particle":"","parse-names":false,"suffix":""},{"dropping-particle":"","family":"Schulz","given":"R.","non-dropping-particle":"","parse-names":false,"suffix":""},{"dropping-particle":"","family":"Hoppe","given":"M.","non-dropping-particle":"","parse-names":false,"suffix":""},{"dropping-particle":"","family":"Behne","given":"F.","non-dropping-particle":"","parse-names":false,"suffix":""},{"dropping-particle":"","family":"Pannek","given":"H. W.","non-dropping-particle":"","parse-names":false,"suffix":""},{"dropping-particle":"","family":"Ebner","given":"Alois","non-dropping-particle":"","parse-names":false,"suffix":""}],"container-title":"Brain","id":"ITEM-1","issue":"2","issued":{"date-parts":[["2005"]]},"title":"Temporal lobe epilepsy with hippocampal sclerosis: Predictors for long-term surgical outcome","type":"article-journal","volume":"128"},"uris":["http://www.mendeley.com/documents/?uuid=14664c89-066a-3f94-ad75-eb8a0000e53e"]}],"mendeley":{"formattedCitation":"[30]","plainTextFormattedCitation":"[30]","previouslyFormattedCitation":"[30]"},"properties":{"noteIndex":0},"schema":"https://github.com/citation-style-language/schema/raw/master/csl-citation.json"}</w:instrText>
      </w:r>
      <w:r w:rsidRPr="0093582B">
        <w:fldChar w:fldCharType="separate"/>
      </w:r>
      <w:r w:rsidR="003A1608" w:rsidRPr="0093582B">
        <w:rPr>
          <w:noProof/>
        </w:rPr>
        <w:t>[30]</w:t>
      </w:r>
      <w:r w:rsidRPr="0093582B">
        <w:fldChar w:fldCharType="end"/>
      </w:r>
      <w:r w:rsidR="002E62B2" w:rsidRPr="0093582B">
        <w:t>. В данной работе рассматриваются применяемые в современной практике виды хирургических операций, выбор которой является индиви</w:t>
      </w:r>
      <w:r w:rsidRPr="0093582B">
        <w:t xml:space="preserve">дуальным для каждого пациента. </w:t>
      </w:r>
    </w:p>
    <w:p w:rsidR="00754D37" w:rsidRPr="0093582B" w:rsidRDefault="00D20922" w:rsidP="00BC0B1E">
      <w:pPr>
        <w:pStyle w:val="a9"/>
      </w:pPr>
      <w:r w:rsidRPr="0093582B">
        <w:t>З</w:t>
      </w:r>
      <w:r w:rsidR="002E62B2" w:rsidRPr="0093582B">
        <w:t>а последние несколько лет были разработаны и введены в практику новые методы проведе</w:t>
      </w:r>
      <w:r w:rsidRPr="0093582B">
        <w:t>ния хирургического вмешательства</w:t>
      </w:r>
      <w:r w:rsidR="002E62B2" w:rsidRPr="0093582B">
        <w:t>, как например хирургия лазерной абляции. Данный метод д</w:t>
      </w:r>
      <w:r w:rsidR="00FF033F" w:rsidRPr="0093582B">
        <w:t>ает</w:t>
      </w:r>
      <w:r w:rsidR="002E62B2" w:rsidRPr="0093582B">
        <w:t xml:space="preserve"> возможность</w:t>
      </w:r>
      <w:r w:rsidRPr="0093582B">
        <w:t xml:space="preserve"> минимизировать риски</w:t>
      </w:r>
      <w:r w:rsidR="002E62B2" w:rsidRPr="0093582B">
        <w:t xml:space="preserve"> в </w:t>
      </w:r>
      <w:r w:rsidRPr="0093582B">
        <w:t>случаях,</w:t>
      </w:r>
      <w:r w:rsidR="002E62B2" w:rsidRPr="0093582B">
        <w:t xml:space="preserve"> когда мы говорим о глубоких поражениях. Введение в практику лазерной абляции и различных менее инвазивных способов хирургического вмешательства, позволяет оказывать качественн</w:t>
      </w:r>
      <w:r w:rsidRPr="0093582B">
        <w:t>ую медицинскую помощь пациентам с минимизацией риска послеоперационных осложнений.</w:t>
      </w:r>
    </w:p>
    <w:p w:rsidR="00C6692B" w:rsidRPr="0093582B" w:rsidRDefault="00C6692B" w:rsidP="00BC0B1E">
      <w:pPr>
        <w:pStyle w:val="a9"/>
      </w:pPr>
      <w:r w:rsidRPr="0093582B">
        <w:lastRenderedPageBreak/>
        <w:t>В систематическом обзоре</w:t>
      </w:r>
      <w:r w:rsidR="00BC0B1E" w:rsidRPr="0093582B">
        <w:t>,</w:t>
      </w:r>
      <w:r w:rsidRPr="0093582B">
        <w:t xml:space="preserve"> включающим 28 статей</w:t>
      </w:r>
      <w:r w:rsidR="00BC0B1E" w:rsidRPr="0093582B">
        <w:t>,</w:t>
      </w:r>
      <w:r w:rsidRPr="0093582B">
        <w:t xml:space="preserve"> было проведено сравнение результатов передней височной лобэктомии и селективной амигдалогиппокамэктомии. Прямой попарный метаанализ не показал значимого различия в исходах этих двух хирургических подходах, однако оба метода хирургического лечения оказались эффективнее медикаметозной терапии </w:t>
      </w:r>
      <w:r w:rsidRPr="0093582B">
        <w:fldChar w:fldCharType="begin" w:fldLock="1"/>
      </w:r>
      <w:r w:rsidR="003A1608" w:rsidRPr="0093582B">
        <w:instrText>ADDIN CSL_CITATION {"citationItems":[{"id":"ITEM-1","itemData":{"DOI":"10.1136/jnnp-2017-317783","ISSN":"1468330X","abstract":"Objective: To evaluate the effectiveness of anterior temporal lobectomy (ATL) versus selective amygdalohippocampectomy (SAH) on seizure-free outcome in patients with temporal lobe epilepsy, using both direct and indirect evidence from the literature. Methods: MEDLINE, Embase and Cochrane databases were searched for original research articles and systematic reviews comparing ATL versus SAH, and ATL or SAH versus medical management (MM). The outcome was seizure freedom at 12 months of follow-up or longer. Direct pairwise meta-analyses were conducted, followed by a random-effect Bayesian network meta-analysis (NMA) combining direct and indirect evidence. Results: Twenty-eight articles were included (18 compared ATL vs SAH, 1 compared ATL vs SAH vs MM, 8 compared ATL vs MM, and 1 compared SAH vs MM). Direct pairwise meta-analyses showed no significant differences in seizure-free outcome of ATL versus SAH (OR 1.14, 95% CI 0.93 to 1.39; p=0.201), but the odds of seizure-free outcome were higher for ATL versus MM (OR 29.16, 95% CI 10.44 to 81.50; p&lt;0.00001), and SAH versus MM (OR 28.42, 95% CI 10.17 to 79.39; p&lt;0.00001). NMA also showed that the odds of seizure-free outcome were no different in ATL versus SAH (OR 1.15, 95% credible interval (CrI) 0.84-1.15), but higher for ATL versus MM (OR 27.22, 95% CrI 15.38-27.22), and SAH versus MM (OR 23.57, 95% CrI 12.67-23.57). There were no significant differences between direct and indirect comparisons (all p&gt;0.05). Conclusion: Direct evidence, indirect evidence and NMA did not identify a difference in seizure-free outcome of ATL versus SAH.","author":[{"dropping-particle":"","family":"Jain","given":"Puneet","non-dropping-particle":"","parse-names":false,"suffix":""},{"dropping-particle":"","family":"Tomlinson","given":"George","non-dropping-particle":"","parse-names":false,"suffix":""},{"dropping-particle":"","family":"Snead","given":"Carter","non-dropping-particle":"","parse-names":false,"suffix":""},{"dropping-particle":"","family":"Sander","given":"Beate","non-dropping-particle":"","parse-names":false,"suffix":""},{"dropping-particle":"","family":"Widjaja","given":"Elysa","non-dropping-particle":"","parse-names":false,"suffix":""}],"container-title":"Journal of Neurology, Neurosurgery and Psychiatry","id":"ITEM-1","issued":{"date-parts":[["2018"]]},"title":"Systematic review and network meta-analysis of resective surgery for mesial temporal lobe epilepsy","type":"article-journal"},"uris":["http://www.mendeley.com/documents/?uuid=0f272b83-3371-3f92-a352-1dcfda0fb5a4"]}],"mendeley":{"formattedCitation":"[41]","plainTextFormattedCitation":"[41]","previouslyFormattedCitation":"[41]"},"properties":{"noteIndex":0},"schema":"https://github.com/citation-style-language/schema/raw/master/csl-citation.json"}</w:instrText>
      </w:r>
      <w:r w:rsidRPr="0093582B">
        <w:fldChar w:fldCharType="separate"/>
      </w:r>
      <w:r w:rsidR="003A1608" w:rsidRPr="0093582B">
        <w:rPr>
          <w:noProof/>
        </w:rPr>
        <w:t>[41]</w:t>
      </w:r>
      <w:r w:rsidRPr="0093582B">
        <w:fldChar w:fldCharType="end"/>
      </w:r>
      <w:r w:rsidRPr="0093582B">
        <w:t>.</w:t>
      </w:r>
    </w:p>
    <w:p w:rsidR="00474353" w:rsidRPr="0093582B" w:rsidRDefault="00474353" w:rsidP="00BC0B1E">
      <w:pPr>
        <w:pStyle w:val="a9"/>
      </w:pPr>
      <w:r w:rsidRPr="0093582B">
        <w:t xml:space="preserve">В обзоре Kohlhase K. приводится сравнение эффективности классических резекционных методов хирургического лечения и малоинвазивных вмешательств. Были сделаны выводы о том, что нет существенной разницы в исходе приступов или частоте осложнений между малоинвазивными методиками (MRgLITT и РЧА), </w:t>
      </w:r>
      <w:r w:rsidR="006F7B0A" w:rsidRPr="0093582B">
        <w:t>однако</w:t>
      </w:r>
      <w:r w:rsidRPr="0093582B">
        <w:t xml:space="preserve"> оба метода уступали по эффективности</w:t>
      </w:r>
      <w:r w:rsidR="006F7B0A" w:rsidRPr="0093582B">
        <w:t xml:space="preserve"> контроля над присупами перед передней височной лобэктомией и селективной амигдалогиппокамэктомией. Однако когнитивные функции были лучше у группы пациентов, перенесших малоинвазивные вмешательства </w:t>
      </w:r>
      <w:r w:rsidR="006F7B0A" w:rsidRPr="0093582B">
        <w:fldChar w:fldCharType="begin" w:fldLock="1"/>
      </w:r>
      <w:r w:rsidR="003A1608" w:rsidRPr="0093582B">
        <w:instrText>ADDIN CSL_CITATION {"citationItems":[{"id":"ITEM-1","itemData":{"DOI":"10.1111/epi.16846","ISSN":"15281167","abstract":"Magnetic resonance-guided laser interstitial laser therapy (MRgLITT) and radiofrequency ablation (RFA) represent two minimally invasive methods for the treatment of drug-refractory mesial temporal lobe epilepsy (mTLE). We performed a systematic review and a meta-analysis to compare outcomes and complications between MRgLITT, RFA, and conventional surgical approaches to the temporal lobe (i.e., anterior temporal lobe resection [ATL] or selective amygdalohippocampectomy [sAHE]). Forty-three studies (13 MRgLITT, 6 RFA, and 24 surgery studies) involved 554, 123, 1504, and 1326 patients treated by MRgLITT, RFA, ATL, or sAHE, respectively. Engel Class I (Engel-I) outcomes were achieved after MRgLITT in 57% (315/554, range = 33.3%–67.4%), RFA in 44% (54/123, range = 0%–67.2%), ATL in 69% (1032/1504, range = 40%–92.9%), and sAHE in 66% (887/1326, range = 21.4%–93.3%). Meta-analysis revealed no significant difference in seizure outcome between MRgLITT and RFA (Q = 2.74, p =.098), whereas ATL and sAHE were both superior to MRgLITT (ATL: Q = 8.92, p =.002; sAHE: Q = 4.33, p =.037) and RFA (ATL: Q = 6.42, p =.0113; sAHE: Q = 5.04, p =.0247), with better outcome in patients at follow-up of 60 months or more. Mesial hippocampal sclerosis (mTLE + hippocampal sclerosis) was associated with significantly better outcome after MRgLITT (Engel-I outcome in 64%; Q = 8.55, p =.0035). The rate of major complications was 3.8% for MRgLITT, 3.7% for RFA, 10.9% for ATL, and 7.4% for sAHE; the differences did not show statistical significance. Neuropsychological deficits occurred after all procedures, with left-sided surgeries having a higher rate of verbal memory impairment. Lateral functions such as naming or object recognition may be more preserved in MRgLITT. Thermal therapies are effective techniques but show a significantly lower rate of Engel-I outcome in comparison to ATL and sAHE. Between MRgLITT and RFA there were no significant differences in Engel-I outcome, whereby the success of treatment seems to depend on the approach used (e.g., occipital approach). MRgLITT shows a similar rate of complications compared to RFA, whereas patients undergoing MRgLITT may experience fewer major complications compared to ATL or sAHE and might have a more beneficial neuropsychological outcome.","author":[{"dropping-particle":"","family":"Kohlhase","given":"Konstantin","non-dropping-particle":"","parse-names":false,"suffix":""},{"dropping-particle":"","family":"Zöllner","given":"Johann Philipp","non-dropping-particle":"","parse-names":false,"suffix":""},{"dropping-particle":"","family":"Tandon","given":"Nitin","non-dropping-particle":"","parse-names":false,"suffix":""},{"dropping-particle":"","family":"Strzelczyk","given":"Adam","non-dropping-particle":"","parse-names":false,"suffix":""},{"dropping-particle":"","family":"Rosenow","given":"Felix","non-dropping-particle":"","parse-names":false,"suffix":""}],"container-title":"Epilepsia","id":"ITEM-1","issue":"4","issued":{"date-parts":[["2021"]]},"title":"Comparison of minimally invasive and traditional surgical approaches for refractory mesial temporal lobe epilepsy: A systematic review and meta-analysis of outcomes","type":"article","volume":"62"},"uris":["http://www.mendeley.com/documents/?uuid=29af2426-cf73-33e6-a1f2-2cf419a8450d"]}],"mendeley":{"formattedCitation":"[42]","plainTextFormattedCitation":"[42]","previouslyFormattedCitation":"[42]"},"properties":{"noteIndex":0},"schema":"https://github.com/citation-style-language/schema/raw/master/csl-citation.json"}</w:instrText>
      </w:r>
      <w:r w:rsidR="006F7B0A" w:rsidRPr="0093582B">
        <w:fldChar w:fldCharType="separate"/>
      </w:r>
      <w:r w:rsidR="003A1608" w:rsidRPr="0093582B">
        <w:rPr>
          <w:noProof/>
        </w:rPr>
        <w:t>[42]</w:t>
      </w:r>
      <w:r w:rsidR="006F7B0A" w:rsidRPr="0093582B">
        <w:fldChar w:fldCharType="end"/>
      </w:r>
      <w:r w:rsidR="006F7B0A" w:rsidRPr="0093582B">
        <w:t>.</w:t>
      </w:r>
    </w:p>
    <w:p w:rsidR="00BC0B1E" w:rsidRPr="0093582B" w:rsidRDefault="00C6692B" w:rsidP="00BC0B1E">
      <w:pPr>
        <w:pStyle w:val="a9"/>
      </w:pPr>
      <w:r w:rsidRPr="0093582B">
        <w:t xml:space="preserve">Имеются опасения по поводу влияния хирургических вмешательств в височной области на когнитивные функции у пациентов. </w:t>
      </w:r>
    </w:p>
    <w:p w:rsidR="00C6692B" w:rsidRPr="0093582B" w:rsidRDefault="00BC0B1E" w:rsidP="00BC0B1E">
      <w:pPr>
        <w:pStyle w:val="a9"/>
      </w:pPr>
      <w:r w:rsidRPr="0093582B">
        <w:t>Например, в</w:t>
      </w:r>
      <w:r w:rsidR="00C6692B" w:rsidRPr="0093582B">
        <w:t xml:space="preserve"> обзоре </w:t>
      </w:r>
      <w:bookmarkStart w:id="11" w:name="baut0005"/>
      <w:r w:rsidR="00C6692B" w:rsidRPr="0093582B">
        <w:t>C.</w:t>
      </w:r>
      <w:r w:rsidR="007153B1" w:rsidRPr="0093582B">
        <w:t xml:space="preserve"> </w:t>
      </w:r>
      <w:r w:rsidR="00C6692B" w:rsidRPr="0093582B">
        <w:t>Helmstaedter</w:t>
      </w:r>
      <w:bookmarkEnd w:id="11"/>
      <w:r w:rsidR="00C6692B" w:rsidRPr="0093582B">
        <w:t xml:space="preserve"> были проанализированы данные 161 взрослых прооперированных (77 правых, 84 левых височных резекции) по сравнению с группой из 208 неоперированных пациентов. Были сделаны выводы о том, что оперативное вмешательство влияет на когнитивные функции в краткосрочной перспективе</w:t>
      </w:r>
      <w:r w:rsidR="00474353" w:rsidRPr="0093582B">
        <w:t xml:space="preserve"> (в течение 1 года после операции), в долгосрочной перспективе (&gt;5 лет после операции) память может восстановиться до исходного уровня, при условии контроля над приступами, а также лучшие результаты были у молодых пациентов </w:t>
      </w:r>
      <w:r w:rsidR="00474353" w:rsidRPr="0093582B">
        <w:fldChar w:fldCharType="begin" w:fldLock="1"/>
      </w:r>
      <w:r w:rsidR="003A1608" w:rsidRPr="0093582B">
        <w:instrText>ADDIN CSL_CITATION {"citationItems":[{"id":"ITEM-1","itemData":{"DOI":"10.1016/j.seizure.2018.09.023","ISSN":"15322688","abstract":"Purpose: Epilepsy surgery can be a successful treatment option for temporal lobe epilepsy but there are concerns about accelerated memory decline in long-term follow-up. Method: 161 adult operated (77 right, 84 left temporal resections) versus a heterogeneous group of 208 non-operated patients with focal epilepsies were consecutively recruited and re-evaluated focusing on memory, executive functions, and vocational outcome after follow-up intervals of &gt;5 years (5–22 years, mean 8 ± 3 years). Results: Major losses in the operated group manifest early, at one-year follow-up. Few patients declined further. Long-term changes after surgery did not differ from those observed without surgery. The factor “surgery” caused verbal memory decline, “seizure freedom” (operated 48%, non-operated 17%) was associated with recovery of verbal memory, and “drug reduction” positively affected the course of executive functions. In terms of the critical function of verbal memory, only 3–17% of seizure-free patients showed long-term decline whereas 16–20% showed improvement (operated and non-operated). Persistent seizures were associated with decline in 12–37% and improvement in 4–12% of patients. Improvement was related to longer retest intervals and was stronger in younger patients. Independent of surgery or seizure outcome, the vocational status remained unchanged or change was negative (22%) rather than positive (3%). Conclusions: Patients’ cognitive course 5–22 years after surgery is stable and may even be positive if epilepsy is controlled and drug load reduced. Depending on seizure outcome, recovery is more frequently observed than continuing decline. Recovery, however, takes time and age is a limiting factor.","author":[{"dropping-particle":"","family":"Helmstaedter","given":"C.","non-dropping-particle":"","parse-names":false,"suffix":""},{"dropping-particle":"","family":"Elger","given":"C. E.","non-dropping-particle":"","parse-names":false,"suffix":""},{"dropping-particle":"","family":"Vogt","given":"V. L.","non-dropping-particle":"","parse-names":false,"suffix":""}],"container-title":"Seizure","id":"ITEM-1","issued":{"date-parts":[["2018"]]},"title":"Cognitive outcomes more than 5 years after temporal lobe epilepsy surgery: Remarkable functional recovery when seizures are controlled","type":"article-journal","volume":"62"},"uris":["http://www.mendeley.com/documents/?uuid=d4125a66-be9d-35a7-931b-49cbf7a4521a"]}],"mendeley":{"formattedCitation":"[43]","plainTextFormattedCitation":"[43]","previouslyFormattedCitation":"[43]"},"properties":{"noteIndex":0},"schema":"https://github.com/citation-style-language/schema/raw/master/csl-citation.json"}</w:instrText>
      </w:r>
      <w:r w:rsidR="00474353" w:rsidRPr="0093582B">
        <w:fldChar w:fldCharType="separate"/>
      </w:r>
      <w:r w:rsidR="003A1608" w:rsidRPr="0093582B">
        <w:rPr>
          <w:noProof/>
        </w:rPr>
        <w:t>[43]</w:t>
      </w:r>
      <w:r w:rsidR="00474353" w:rsidRPr="0093582B">
        <w:fldChar w:fldCharType="end"/>
      </w:r>
      <w:r w:rsidR="00474353" w:rsidRPr="0093582B">
        <w:t>.</w:t>
      </w:r>
    </w:p>
    <w:p w:rsidR="00754D37" w:rsidRPr="0093582B" w:rsidRDefault="002E62B2" w:rsidP="00BC0B1E">
      <w:pPr>
        <w:pStyle w:val="a9"/>
      </w:pPr>
      <w:r w:rsidRPr="0093582B">
        <w:t>Для оценки результатов хирургического вмеша</w:t>
      </w:r>
      <w:r w:rsidR="00D20922" w:rsidRPr="0093582B">
        <w:t>тельства</w:t>
      </w:r>
      <w:r w:rsidRPr="0093582B">
        <w:t xml:space="preserve"> назначают</w:t>
      </w:r>
      <w:r w:rsidR="002459C7" w:rsidRPr="0093582B">
        <w:t xml:space="preserve"> повторную</w:t>
      </w:r>
      <w:r w:rsidR="00BC0B1E" w:rsidRPr="0093582B">
        <w:t xml:space="preserve"> диагностику –</w:t>
      </w:r>
      <w:r w:rsidRPr="0093582B">
        <w:t xml:space="preserve"> обычно</w:t>
      </w:r>
      <w:r w:rsidR="00FF08CE" w:rsidRPr="0093582B">
        <w:t xml:space="preserve"> через</w:t>
      </w:r>
      <w:r w:rsidRPr="0093582B">
        <w:t xml:space="preserve"> 12 месяцев после операции. К особой группе относят па</w:t>
      </w:r>
      <w:r w:rsidR="00D75103" w:rsidRPr="0093582B">
        <w:t xml:space="preserve">циентов с МР-негативной формой - </w:t>
      </w:r>
      <w:r w:rsidRPr="0093582B">
        <w:t>среди данной группы отмечается низкий процент контроля н</w:t>
      </w:r>
      <w:r w:rsidR="00D20922" w:rsidRPr="0093582B">
        <w:t>ад приступами после диагностики</w:t>
      </w:r>
      <w:r w:rsidR="00BC0B1E" w:rsidRPr="0093582B">
        <w:t>.</w:t>
      </w:r>
    </w:p>
    <w:p w:rsidR="00754D37" w:rsidRPr="0093582B" w:rsidRDefault="002E62B2" w:rsidP="00BC0B1E">
      <w:pPr>
        <w:pStyle w:val="a9"/>
      </w:pPr>
      <w:r w:rsidRPr="0093582B">
        <w:lastRenderedPageBreak/>
        <w:t>Причинами длительной задержки операции при фармакорезистентной эпилепсии могут быть: отсутствие полноценной информации об эффективности и безопасности хирургического лечения, отсутствие доступной литературы о методах хирургического лечения эпилепсии как для пациентов, так и для специалистов, нежелание неврологов направлять пациентов к нейрохирургу, обосновывая это возможными тяжелыми послеоперационными неврологическими нарушениями</w:t>
      </w:r>
      <w:r w:rsidR="00D20922" w:rsidRPr="0093582B">
        <w:t xml:space="preserve"> </w:t>
      </w:r>
      <w:r w:rsidR="00D20922" w:rsidRPr="0093582B">
        <w:fldChar w:fldCharType="begin" w:fldLock="1"/>
      </w:r>
      <w:r w:rsidR="003A1608" w:rsidRPr="0093582B">
        <w:instrText>ADDIN CSL_CITATION {"citationItems":[{"id":"ITEM-1","itemData":{"DOI":"10.1016/S1059-1311(02)00320-5","ISSN":"10591311","abstract":"Rationale: Epilepsy surgery is a standard of care in the treatment of medically intractable epilepsy, but is underutilised. We describe the results of epilepsy surgery and the referral patterns at a referral epilepsy programme. Methods: We reviewed the outcome of epilepsy surgery performed at the University of South Florida and Tampa General Hospital epilepsy programme for the years 2000 and 2001. The typical presurgical evaluation included clinical evaluation, EEG-video monitoring, MRI with dedicated epilepsy protocol, PET, SPECT, neuropsychological testing and Wada testing. We used the Engel outcome classification, and focused on the referral information to determine how and when in the course of their illness patients arrive at a referral epilepsy centre. Results: In the 2-year period (2000-2001), a total of 36 epilepsy surgeries were performed. Twenty-nine temporal lobectomies, six extratemporal resections and one corpus callosotomy. Ages varied from 17 to 65 years. Overall results were: 30 (83%) seizure-free [class I], 5 (17%) rare seizures or almost seizure-free [class II] and 1 no improvement. Of the 29 temporal lobectomies, 27 (93%) are completely seizure-free [class I] and 2 (7%) are &gt;90% improved [class II]. Duration of seizures before being seen at the epilepsy centre averaged 18 years (range 2-58 years). Twenty-two (61%) were sent by their neurologists, while 14 (39%) came self-referred without having discussed surgery with their neurologists. Five (14%) were specifically advised by their neurologist to not consider surgery. Two had participated in clinical trials of antiepileptic drugs (AEDs) before being seen at the epilepsy centre. Conclusions: Epilepsy surgery has high efficacy and very low morbidity. Yet, there continues to be a long delay in the referral of patients to the epilepsy centre, suggesting that surgery for epilepsy is underutilised. © 2003 BEA Trading Ltd. Published by Elsevier Science Ltd. All rights reserved.","author":[{"dropping-particle":"","family":"Benbadis","given":"Selim R.","non-dropping-particle":"","parse-names":false,"suffix":""},{"dropping-particle":"","family":"Heriaud","given":"Leanne","non-dropping-particle":"","parse-names":false,"suffix":""},{"dropping-particle":"","family":"Tatum IV","given":"William O.","non-dropping-particle":"","parse-names":false,"suffix":""},{"dropping-particle":"","family":"Vale","given":"Fernando L.","non-dropping-particle":"","parse-names":false,"suffix":""}],"container-title":"Seizure","id":"ITEM-1","issue":"3","issued":{"date-parts":[["2003"]]},"title":"Epilepsy surgery, delays and referral patterns - Are all your epilepsy patients controlled?","type":"article-journal","volume":"12"},"uris":["http://www.mendeley.com/documents/?uuid=b97f412e-f501-36a7-b951-05ab1de4eeb2"]}],"mendeley":{"formattedCitation":"[44]","plainTextFormattedCitation":"[44]","previouslyFormattedCitation":"[44]"},"properties":{"noteIndex":0},"schema":"https://github.com/citation-style-language/schema/raw/master/csl-citation.json"}</w:instrText>
      </w:r>
      <w:r w:rsidR="00D20922" w:rsidRPr="0093582B">
        <w:fldChar w:fldCharType="separate"/>
      </w:r>
      <w:r w:rsidR="003A1608" w:rsidRPr="0093582B">
        <w:rPr>
          <w:noProof/>
        </w:rPr>
        <w:t>[44]</w:t>
      </w:r>
      <w:r w:rsidR="00D20922" w:rsidRPr="0093582B">
        <w:fldChar w:fldCharType="end"/>
      </w:r>
      <w:r w:rsidR="00BC0B1E" w:rsidRPr="0093582B">
        <w:t>.</w:t>
      </w:r>
    </w:p>
    <w:p w:rsidR="002459C7" w:rsidRPr="0093582B" w:rsidRDefault="006F7B0A" w:rsidP="00BC0B1E">
      <w:pPr>
        <w:pStyle w:val="a9"/>
      </w:pPr>
      <w:r w:rsidRPr="0093582B">
        <w:t>На данный момент рекомендуется нейрохирургическое лечение пациентам с фармакорезистентными эпилепсиями, принимающим два или бо</w:t>
      </w:r>
      <w:r w:rsidR="003D4C4A" w:rsidRPr="0093582B">
        <w:t>лее ПЭП в течении минимум 2 лет</w:t>
      </w:r>
      <w:r w:rsidRPr="0093582B">
        <w:t xml:space="preserve"> </w:t>
      </w:r>
      <w:r w:rsidR="002459C7" w:rsidRPr="0093582B">
        <w:fldChar w:fldCharType="begin" w:fldLock="1"/>
      </w:r>
      <w:r w:rsidR="003A1608" w:rsidRPr="0093582B">
        <w:instrText>ADDIN CSL_CITATION {"citationItems":[{"id":"ITEM-1","itemData":{"author":[{"dropping-particle":"","family":"Крылов","given":"В.В.","non-dropping-particle":"","parse-names":false,"suffix":""}],"id":"ITEM-1","issued":{"date-parts":[["2015"]]},"title":"Хирургия эпилепсии","type":"book"},"uris":["http://www.mendeley.com/documents/?uuid=d4420a39-79e5-4afb-8125-c8945669278f"]}],"mendeley":{"formattedCitation":"[38]","plainTextFormattedCitation":"[38]","previouslyFormattedCitation":"[38]"},"properties":{"noteIndex":0},"schema":"https://github.com/citation-style-language/schema/raw/master/csl-citation.json"}</w:instrText>
      </w:r>
      <w:r w:rsidR="002459C7" w:rsidRPr="0093582B">
        <w:fldChar w:fldCharType="separate"/>
      </w:r>
      <w:r w:rsidR="003A1608" w:rsidRPr="0093582B">
        <w:rPr>
          <w:noProof/>
        </w:rPr>
        <w:t>[38]</w:t>
      </w:r>
      <w:r w:rsidR="002459C7" w:rsidRPr="0093582B">
        <w:fldChar w:fldCharType="end"/>
      </w:r>
      <w:r w:rsidR="002459C7" w:rsidRPr="0093582B">
        <w:t>.</w:t>
      </w:r>
      <w:r w:rsidRPr="0093582B">
        <w:t xml:space="preserve"> Хирургическое лечение является наиболее эффективным способом прекращения приступов у 26</w:t>
      </w:r>
      <w:r w:rsidR="00BC0B1E" w:rsidRPr="0093582B">
        <w:t xml:space="preserve"> –</w:t>
      </w:r>
      <w:r w:rsidR="002E62B2" w:rsidRPr="0093582B">
        <w:t xml:space="preserve"> </w:t>
      </w:r>
      <w:r w:rsidRPr="0093582B">
        <w:t>72%</w:t>
      </w:r>
      <w:r w:rsidR="003D4C4A" w:rsidRPr="0093582B">
        <w:t xml:space="preserve"> пациентов со структурными</w:t>
      </w:r>
      <w:r w:rsidRPr="0093582B">
        <w:t xml:space="preserve"> фармакорезистентными формами эпилепсии, а также позволяет значительно улучшить их качество жизни </w:t>
      </w:r>
      <w:r w:rsidR="003D4C4A" w:rsidRPr="0093582B">
        <w:fldChar w:fldCharType="begin" w:fldLock="1"/>
      </w:r>
      <w:r w:rsidR="003A1608" w:rsidRPr="0093582B">
        <w:instrText>ADDIN CSL_CITATION {"citationItems":[{"id":"ITEM-1","itemData":{"DOI":"10.1002/ana.25205","ISSN":"15318249","abstract":"Neurosurgery is an underutilized treatment that can potentially cure drug-refractory epilepsy. Careful, multidisciplinary presurgical evaluation is vital for selecting patients and to ensure optimal outcomes. Advances in neuroimaging have improved diagnosis and guided surgical intervention. Invasive electroencephalography allows the evaluation of complex patients who would otherwise not be candidates for neurosurgery. We review the current state of the assessment and selection of patients and consider established and novel surgical procedures and associated outcome data. We aim to dispel myths that may inhibit physicians from referring and patients from considering neurosurgical intervention for drug-refractory focal epilepsies. Ann Neurol 2018;83:676–690.","author":[{"dropping-particle":"","family":"Vakharia","given":"Vejay N.","non-dropping-particle":"","parse-names":false,"suffix":""},{"dropping-particle":"","family":"Duncan","given":"John S.","non-dropping-particle":"","parse-names":false,"suffix":""},{"dropping-particle":"","family":"Witt","given":"Juri Alexander","non-dropping-particle":"","parse-names":false,"suffix":""},{"dropping-particle":"","family":"Elger","given":"Christian E.","non-dropping-particle":"","parse-names":false,"suffix":""},{"dropping-particle":"","family":"Staba","given":"Richard","non-dropping-particle":"","parse-names":false,"suffix":""},{"dropping-particle":"","family":"Engel","given":"Jerome","non-dropping-particle":"","parse-names":false,"suffix":""}],"container-title":"Annals of Neurology","id":"ITEM-1","issue":"4","issued":{"date-parts":[["2018"]]},"title":"Getting the best outcomes from epilepsy surgery","type":"article","volume":"83"},"uris":["http://www.mendeley.com/documents/?uuid=e62b6da0-0143-3391-ba47-eff6709aed29"]}],"mendeley":{"formattedCitation":"[45]","plainTextFormattedCitation":"[45]","previouslyFormattedCitation":"[45]"},"properties":{"noteIndex":0},"schema":"https://github.com/citation-style-language/schema/raw/master/csl-citation.json"}</w:instrText>
      </w:r>
      <w:r w:rsidR="003D4C4A" w:rsidRPr="0093582B">
        <w:fldChar w:fldCharType="separate"/>
      </w:r>
      <w:r w:rsidR="003A1608" w:rsidRPr="0093582B">
        <w:rPr>
          <w:noProof/>
        </w:rPr>
        <w:t>[45]</w:t>
      </w:r>
      <w:r w:rsidR="003D4C4A" w:rsidRPr="0093582B">
        <w:fldChar w:fldCharType="end"/>
      </w:r>
      <w:r w:rsidR="003D4C4A" w:rsidRPr="0093582B">
        <w:t>.</w:t>
      </w:r>
    </w:p>
    <w:p w:rsidR="00236AA9" w:rsidRPr="0093582B" w:rsidRDefault="00236AA9">
      <w:pPr>
        <w:rPr>
          <w:rFonts w:asciiTheme="majorHAnsi" w:hAnsiTheme="majorHAnsi" w:cstheme="majorHAnsi"/>
          <w:b/>
          <w:sz w:val="28"/>
          <w:szCs w:val="28"/>
        </w:rPr>
      </w:pPr>
      <w:r w:rsidRPr="0093582B">
        <w:rPr>
          <w:rFonts w:asciiTheme="majorHAnsi" w:hAnsiTheme="majorHAnsi" w:cstheme="majorHAnsi"/>
          <w:b/>
          <w:sz w:val="28"/>
          <w:szCs w:val="28"/>
        </w:rPr>
        <w:br w:type="page"/>
      </w:r>
    </w:p>
    <w:p w:rsidR="002459C7" w:rsidRPr="0093582B" w:rsidRDefault="002459C7" w:rsidP="00236AA9">
      <w:pPr>
        <w:pStyle w:val="1"/>
      </w:pPr>
      <w:bookmarkStart w:id="12" w:name="_Toc104427531"/>
      <w:r w:rsidRPr="0093582B">
        <w:lastRenderedPageBreak/>
        <w:t>Глава II. Материалы и методы</w:t>
      </w:r>
      <w:bookmarkEnd w:id="12"/>
    </w:p>
    <w:p w:rsidR="00676ECB" w:rsidRPr="0093582B" w:rsidRDefault="000F582B" w:rsidP="00676ECB">
      <w:pPr>
        <w:pStyle w:val="a9"/>
      </w:pPr>
      <w:r w:rsidRPr="0093582B">
        <w:t>Р</w:t>
      </w:r>
      <w:r w:rsidR="008063AF" w:rsidRPr="0093582B">
        <w:t>абота</w:t>
      </w:r>
      <w:r w:rsidR="00704F1A" w:rsidRPr="0093582B">
        <w:t xml:space="preserve"> </w:t>
      </w:r>
      <w:r w:rsidRPr="0093582B">
        <w:t xml:space="preserve">выполнена </w:t>
      </w:r>
      <w:r w:rsidR="00704F1A" w:rsidRPr="0093582B">
        <w:t xml:space="preserve">на базе Института мозга человека им. Н. П. Бехтеревой Российской академии наук. Проведён ретроспективный анализ историй болезни </w:t>
      </w:r>
      <w:r w:rsidR="00676ECB" w:rsidRPr="0093582B">
        <w:t>38</w:t>
      </w:r>
      <w:r w:rsidR="00704F1A" w:rsidRPr="0093582B">
        <w:t xml:space="preserve"> пациентов с</w:t>
      </w:r>
      <w:r w:rsidR="00027BB7" w:rsidRPr="0093582B">
        <w:t>о структурной</w:t>
      </w:r>
      <w:r w:rsidR="00704F1A" w:rsidRPr="0093582B">
        <w:t xml:space="preserve"> </w:t>
      </w:r>
      <w:r w:rsidR="00DB59F0" w:rsidRPr="0093582B">
        <w:t xml:space="preserve">височной </w:t>
      </w:r>
      <w:r w:rsidR="00704F1A" w:rsidRPr="0093582B">
        <w:t>эпилепсией, обследованных</w:t>
      </w:r>
      <w:r w:rsidR="00676ECB" w:rsidRPr="0093582B">
        <w:t xml:space="preserve"> </w:t>
      </w:r>
      <w:r w:rsidR="00704F1A" w:rsidRPr="0093582B">
        <w:t xml:space="preserve">в </w:t>
      </w:r>
      <w:r w:rsidR="00E6124E" w:rsidRPr="0093582B">
        <w:t>период с 2019 по 2022 год</w:t>
      </w:r>
      <w:r w:rsidR="00027BB7" w:rsidRPr="0093582B">
        <w:t>.</w:t>
      </w:r>
      <w:r w:rsidR="00676ECB" w:rsidRPr="0093582B">
        <w:t xml:space="preserve"> </w:t>
      </w:r>
    </w:p>
    <w:p w:rsidR="00704F1A" w:rsidRPr="0093582B" w:rsidRDefault="00C669C4" w:rsidP="00704F1A">
      <w:pPr>
        <w:pStyle w:val="a9"/>
      </w:pPr>
      <w:r w:rsidRPr="0093582B">
        <w:t>Средний возраст об</w:t>
      </w:r>
      <w:r w:rsidR="008063AF" w:rsidRPr="0093582B">
        <w:t xml:space="preserve">следуемых пациентов составил 35,2 </w:t>
      </w:r>
      <w:r w:rsidR="0022038C" w:rsidRPr="0093582B">
        <w:t xml:space="preserve">года </w:t>
      </w:r>
      <w:r w:rsidR="00704F1A" w:rsidRPr="0093582B">
        <w:t>(Q</w:t>
      </w:r>
      <w:r w:rsidR="00704F1A" w:rsidRPr="0093582B">
        <w:rPr>
          <w:vertAlign w:val="subscript"/>
        </w:rPr>
        <w:t>2</w:t>
      </w:r>
      <w:r w:rsidR="008063AF" w:rsidRPr="0093582B">
        <w:t>=33</w:t>
      </w:r>
      <w:r w:rsidR="00704F1A" w:rsidRPr="0093582B">
        <w:t>, Q</w:t>
      </w:r>
      <w:r w:rsidR="00704F1A" w:rsidRPr="0093582B">
        <w:rPr>
          <w:vertAlign w:val="subscript"/>
        </w:rPr>
        <w:t>1</w:t>
      </w:r>
      <w:r w:rsidR="00704F1A" w:rsidRPr="0093582B">
        <w:t>=2</w:t>
      </w:r>
      <w:r w:rsidR="008063AF" w:rsidRPr="0093582B">
        <w:t>5</w:t>
      </w:r>
      <w:r w:rsidR="00704F1A" w:rsidRPr="0093582B">
        <w:t>, Q</w:t>
      </w:r>
      <w:r w:rsidR="00704F1A" w:rsidRPr="0093582B">
        <w:rPr>
          <w:vertAlign w:val="subscript"/>
        </w:rPr>
        <w:t>3</w:t>
      </w:r>
      <w:r w:rsidR="008063AF" w:rsidRPr="0093582B">
        <w:t>=43). Среди них мужчин было 16 (42,1%), женщин – 22 (57,9%) человек</w:t>
      </w:r>
      <w:r w:rsidR="00704F1A" w:rsidRPr="0093582B">
        <w:t>.</w:t>
      </w:r>
    </w:p>
    <w:p w:rsidR="00114F7D" w:rsidRPr="0093582B" w:rsidRDefault="00114F7D" w:rsidP="00114F7D">
      <w:pPr>
        <w:pStyle w:val="a9"/>
      </w:pPr>
      <w:r w:rsidRPr="0093582B">
        <w:rPr>
          <w:bCs/>
        </w:rPr>
        <w:t>Всем пациентам на момент исследования было проведено хирургическое лечение.</w:t>
      </w:r>
      <w:r w:rsidRPr="0093582B">
        <w:t xml:space="preserve"> Среди них первичная </w:t>
      </w:r>
      <w:r w:rsidR="0022038C" w:rsidRPr="0093582B">
        <w:t>операция проведена у 29 (76,3%) пациентов,</w:t>
      </w:r>
      <w:r w:rsidRPr="0093582B">
        <w:t xml:space="preserve"> повторная </w:t>
      </w:r>
      <w:r w:rsidR="0066030E" w:rsidRPr="0093582B">
        <w:t>– у 9 (23,7%).</w:t>
      </w:r>
      <w:r w:rsidR="00DB59F0" w:rsidRPr="0093582B">
        <w:t xml:space="preserve"> </w:t>
      </w:r>
    </w:p>
    <w:p w:rsidR="00DB59F0" w:rsidRPr="0093582B" w:rsidRDefault="00DB59F0" w:rsidP="00114F7D">
      <w:pPr>
        <w:pStyle w:val="a9"/>
      </w:pPr>
      <w:r w:rsidRPr="0093582B">
        <w:t>Обнаруженные нейровизуализационными методами структурные изменения височной области включали: склероз правого гиппокампа – 10 (26,3%)</w:t>
      </w:r>
      <w:r w:rsidR="0022038C" w:rsidRPr="0093582B">
        <w:t xml:space="preserve"> случаев</w:t>
      </w:r>
      <w:r w:rsidRPr="0093582B">
        <w:t>, склероз левого гиппокампа – 21 (55,2%), друг</w:t>
      </w:r>
      <w:r w:rsidR="0022038C" w:rsidRPr="0093582B">
        <w:t>ая</w:t>
      </w:r>
      <w:r w:rsidRPr="0093582B">
        <w:t xml:space="preserve"> структурн</w:t>
      </w:r>
      <w:r w:rsidR="0022038C" w:rsidRPr="0093582B">
        <w:t>ая</w:t>
      </w:r>
      <w:r w:rsidRPr="0093582B">
        <w:t xml:space="preserve"> патологи</w:t>
      </w:r>
      <w:r w:rsidR="0022038C" w:rsidRPr="0093582B">
        <w:t>я</w:t>
      </w:r>
      <w:r w:rsidRPr="0093582B">
        <w:t xml:space="preserve"> – 7 (18,4%)</w:t>
      </w:r>
      <w:r w:rsidR="0022038C" w:rsidRPr="0093582B">
        <w:t xml:space="preserve"> случаев</w:t>
      </w:r>
      <w:r w:rsidRPr="0093582B">
        <w:t>.</w:t>
      </w:r>
    </w:p>
    <w:p w:rsidR="00704F1A" w:rsidRPr="0093582B" w:rsidRDefault="00704F1A" w:rsidP="00704F1A">
      <w:pPr>
        <w:pStyle w:val="a9"/>
      </w:pPr>
      <w:r w:rsidRPr="0093582B">
        <w:t xml:space="preserve">При анализе учитывались данные анамнеза </w:t>
      </w:r>
      <w:r w:rsidR="00E6124E" w:rsidRPr="0093582B">
        <w:t xml:space="preserve">заболевания, неврологического и </w:t>
      </w:r>
      <w:r w:rsidRPr="0093582B">
        <w:t>соматического обследования</w:t>
      </w:r>
      <w:r w:rsidR="00E6124E" w:rsidRPr="0093582B">
        <w:t>, а также данные из выписного эпикриза после проведения оперативных вмешательств</w:t>
      </w:r>
      <w:r w:rsidRPr="0093582B">
        <w:t>. Представление о неврологическом статусе больных основывалось на данных неврологического осмотра. Анализировались данные инструментальных методов исследования (видео-ЭЭГ мониторинг, МРТ 1,5 и 3 Тесла, ПЭТ</w:t>
      </w:r>
      <w:r w:rsidR="00E6124E" w:rsidRPr="0093582B">
        <w:t>-КТ</w:t>
      </w:r>
      <w:r w:rsidRPr="0093582B">
        <w:t xml:space="preserve">). </w:t>
      </w:r>
      <w:r w:rsidR="00E6124E" w:rsidRPr="0093582B">
        <w:t>Оценка когнитивных функций была проведена с помощью стандартизированных тестов (Монреальская шкала</w:t>
      </w:r>
      <w:r w:rsidR="00027BB7" w:rsidRPr="0093582B">
        <w:t xml:space="preserve"> оценки когнитивных функций, </w:t>
      </w:r>
      <w:r w:rsidR="00027BB7" w:rsidRPr="0093582B">
        <w:rPr>
          <w:lang w:val="en-US"/>
        </w:rPr>
        <w:t>MMSE</w:t>
      </w:r>
      <w:r w:rsidR="00027BB7" w:rsidRPr="0093582B">
        <w:t>, ба</w:t>
      </w:r>
      <w:r w:rsidR="00AA6A71" w:rsidRPr="0093582B">
        <w:t>тарея лобной дисфункции, таблицы</w:t>
      </w:r>
      <w:r w:rsidR="00027BB7" w:rsidRPr="0093582B">
        <w:t xml:space="preserve"> Шульте). Пациент</w:t>
      </w:r>
      <w:r w:rsidR="00DB59F0" w:rsidRPr="0093582B">
        <w:t>ы были протестированы</w:t>
      </w:r>
      <w:r w:rsidR="00027BB7" w:rsidRPr="0093582B">
        <w:t xml:space="preserve"> по госпитальной шкале тревоги и депрессии</w:t>
      </w:r>
      <w:r w:rsidR="005204E2" w:rsidRPr="0093582B">
        <w:t xml:space="preserve"> и </w:t>
      </w:r>
      <w:r w:rsidR="00027BB7" w:rsidRPr="0093582B">
        <w:t xml:space="preserve">проведено анкетирование по опроснику </w:t>
      </w:r>
      <w:r w:rsidR="00027BB7" w:rsidRPr="0093582B">
        <w:rPr>
          <w:lang w:val="en-US"/>
        </w:rPr>
        <w:t>SF</w:t>
      </w:r>
      <w:r w:rsidR="00027BB7" w:rsidRPr="0093582B">
        <w:t>-36 (оценка качества жизни).</w:t>
      </w:r>
    </w:p>
    <w:p w:rsidR="00704F1A" w:rsidRPr="0093582B" w:rsidRDefault="00704F1A" w:rsidP="00704F1A">
      <w:pPr>
        <w:pStyle w:val="a9"/>
      </w:pPr>
      <w:r w:rsidRPr="0093582B">
        <w:t>Статистическая обработка проводилась с помощью методов системного анализа. Использовал</w:t>
      </w:r>
      <w:r w:rsidR="00DB59F0" w:rsidRPr="0093582B">
        <w:t>ись пакеты</w:t>
      </w:r>
      <w:r w:rsidRPr="0093582B">
        <w:t xml:space="preserve"> прикладных программ для статистического</w:t>
      </w:r>
      <w:r w:rsidR="00DB59F0" w:rsidRPr="0093582B">
        <w:t xml:space="preserve"> анализа IBM SPSS Statistics 26 и</w:t>
      </w:r>
      <w:r w:rsidR="008063AF" w:rsidRPr="0093582B">
        <w:t xml:space="preserve"> </w:t>
      </w:r>
      <w:r w:rsidR="008063AF" w:rsidRPr="0093582B">
        <w:rPr>
          <w:lang w:val="en-US"/>
        </w:rPr>
        <w:t>Microsoft</w:t>
      </w:r>
      <w:r w:rsidR="008063AF" w:rsidRPr="0093582B">
        <w:t xml:space="preserve"> </w:t>
      </w:r>
      <w:r w:rsidR="008063AF" w:rsidRPr="0093582B">
        <w:rPr>
          <w:lang w:val="en-US"/>
        </w:rPr>
        <w:t>Excel</w:t>
      </w:r>
      <w:r w:rsidR="008063AF" w:rsidRPr="0093582B">
        <w:t>.</w:t>
      </w:r>
    </w:p>
    <w:p w:rsidR="00A919B5" w:rsidRPr="0093582B" w:rsidRDefault="00704F1A" w:rsidP="00171BE6">
      <w:pPr>
        <w:pStyle w:val="a9"/>
      </w:pPr>
      <w:r w:rsidRPr="0093582B">
        <w:lastRenderedPageBreak/>
        <w:t xml:space="preserve">Статистическая обработка материала включала расчет показателей вариационного ряда, а именно средней арифметической, среднего квадратичного отклонения, средней ошибки средней арифметической. </w:t>
      </w:r>
      <w:r w:rsidR="00A919B5" w:rsidRPr="0093582B">
        <w:t xml:space="preserve">Для оценки различий изучаемых количественных показателей между двумя группами применялся параметрический </w:t>
      </w:r>
      <w:r w:rsidR="00A919B5" w:rsidRPr="0093582B">
        <w:rPr>
          <w:lang w:val="en-US"/>
        </w:rPr>
        <w:t>t</w:t>
      </w:r>
      <w:r w:rsidR="00A919B5" w:rsidRPr="0093582B">
        <w:t>-критерий Стьюдента для несвязанных выборок</w:t>
      </w:r>
      <w:r w:rsidR="00171BE6" w:rsidRPr="0093582B">
        <w:t xml:space="preserve"> и</w:t>
      </w:r>
      <w:r w:rsidR="00CF46CD" w:rsidRPr="0093582B">
        <w:t xml:space="preserve"> непараметрический </w:t>
      </w:r>
      <w:r w:rsidR="00CF46CD" w:rsidRPr="0093582B">
        <w:rPr>
          <w:lang w:val="en-US"/>
        </w:rPr>
        <w:t>U</w:t>
      </w:r>
      <w:r w:rsidR="00171BE6" w:rsidRPr="0093582B">
        <w:t xml:space="preserve">-критерий Манна-Уитни. </w:t>
      </w:r>
      <w:r w:rsidR="00A919B5" w:rsidRPr="0093582B">
        <w:t>Статистический анализ качественных показателей проводился на основе данных, сгруппированных в таблицы сопряженности, с применением критерия Хи</w:t>
      </w:r>
      <w:r w:rsidR="00A919B5" w:rsidRPr="0093582B">
        <w:rPr>
          <w:vertAlign w:val="superscript"/>
        </w:rPr>
        <w:t>2</w:t>
      </w:r>
      <w:r w:rsidR="00171BE6" w:rsidRPr="0093582B">
        <w:t xml:space="preserve">. </w:t>
      </w:r>
      <w:r w:rsidR="00A919B5" w:rsidRPr="0093582B">
        <w:t>Статистически значимыми считали различия при p&lt;0,05.</w:t>
      </w:r>
    </w:p>
    <w:p w:rsidR="008063AF" w:rsidRPr="0093582B" w:rsidRDefault="008063AF" w:rsidP="00704F1A">
      <w:pPr>
        <w:pStyle w:val="a9"/>
      </w:pPr>
    </w:p>
    <w:p w:rsidR="00236AA9" w:rsidRPr="0093582B" w:rsidRDefault="00236AA9">
      <w:pPr>
        <w:rPr>
          <w:rFonts w:asciiTheme="majorHAnsi" w:hAnsiTheme="majorHAnsi" w:cstheme="majorHAnsi"/>
          <w:b/>
          <w:sz w:val="28"/>
          <w:szCs w:val="28"/>
        </w:rPr>
      </w:pPr>
      <w:r w:rsidRPr="0093582B">
        <w:rPr>
          <w:rFonts w:asciiTheme="majorHAnsi" w:hAnsiTheme="majorHAnsi" w:cstheme="majorHAnsi"/>
          <w:b/>
          <w:sz w:val="28"/>
          <w:szCs w:val="28"/>
        </w:rPr>
        <w:br w:type="page"/>
      </w:r>
    </w:p>
    <w:p w:rsidR="002459C7" w:rsidRPr="0093582B" w:rsidRDefault="002459C7" w:rsidP="00236AA9">
      <w:pPr>
        <w:pStyle w:val="1"/>
      </w:pPr>
      <w:bookmarkStart w:id="13" w:name="_Toc104427532"/>
      <w:r w:rsidRPr="0093582B">
        <w:lastRenderedPageBreak/>
        <w:t>Глава III. Результаты исследования</w:t>
      </w:r>
      <w:bookmarkEnd w:id="13"/>
    </w:p>
    <w:p w:rsidR="00DB59F0" w:rsidRPr="0093582B" w:rsidRDefault="00DB59F0" w:rsidP="006B0945">
      <w:pPr>
        <w:pStyle w:val="2"/>
      </w:pPr>
      <w:bookmarkStart w:id="14" w:name="_Toc72766994"/>
      <w:bookmarkStart w:id="15" w:name="_Toc104427533"/>
      <w:r w:rsidRPr="0093582B">
        <w:t>3.1</w:t>
      </w:r>
      <w:r w:rsidR="00E143AD">
        <w:t>.</w:t>
      </w:r>
      <w:r w:rsidRPr="0093582B">
        <w:t xml:space="preserve"> Оценка неврологического статуса </w:t>
      </w:r>
      <w:bookmarkEnd w:id="14"/>
      <w:r w:rsidR="0024128A" w:rsidRPr="0093582B">
        <w:t>пациентов</w:t>
      </w:r>
      <w:bookmarkEnd w:id="15"/>
    </w:p>
    <w:p w:rsidR="009F0396" w:rsidRPr="0093582B" w:rsidRDefault="009F0396" w:rsidP="006B0945">
      <w:pPr>
        <w:pStyle w:val="a9"/>
      </w:pPr>
      <w:r w:rsidRPr="0093582B">
        <w:t>Оценка неврологического статуса у пациентов</w:t>
      </w:r>
      <w:r w:rsidR="00E34B9A" w:rsidRPr="0093582B">
        <w:t xml:space="preserve"> в дооперационном периоде</w:t>
      </w:r>
      <w:r w:rsidRPr="0093582B">
        <w:t xml:space="preserve"> по данным неврологического осмотра выявила изменения у 47,4% (15) пациентов. Среди нарушений встречались гиперкинезы – у </w:t>
      </w:r>
      <w:r w:rsidR="00272ECF" w:rsidRPr="0093582B">
        <w:t>2</w:t>
      </w:r>
      <w:r w:rsidRPr="0093582B">
        <w:t xml:space="preserve"> </w:t>
      </w:r>
      <w:r w:rsidR="00272ECF" w:rsidRPr="0093582B">
        <w:t>(5,3</w:t>
      </w:r>
      <w:r w:rsidRPr="0093582B">
        <w:t>%) пациентов,</w:t>
      </w:r>
      <w:r w:rsidR="00272ECF" w:rsidRPr="0093582B">
        <w:t xml:space="preserve"> нарушения функций</w:t>
      </w:r>
      <w:r w:rsidRPr="0093582B">
        <w:t xml:space="preserve"> черепных нервов</w:t>
      </w:r>
      <w:r w:rsidR="00E55DDB" w:rsidRPr="0093582B">
        <w:t xml:space="preserve"> (гемианопсия, асимметрия лица, отклонение языка)</w:t>
      </w:r>
      <w:r w:rsidRPr="0093582B">
        <w:t xml:space="preserve"> </w:t>
      </w:r>
      <w:r w:rsidR="00272ECF" w:rsidRPr="0093582B">
        <w:t>– у 3</w:t>
      </w:r>
      <w:r w:rsidRPr="0093582B">
        <w:t xml:space="preserve"> (</w:t>
      </w:r>
      <w:r w:rsidR="00272ECF" w:rsidRPr="0093582B">
        <w:t>7,9</w:t>
      </w:r>
      <w:r w:rsidR="00707B79" w:rsidRPr="0093582B">
        <w:t>%) пациентов</w:t>
      </w:r>
      <w:r w:rsidR="00A5207F" w:rsidRPr="0093582B">
        <w:t>, координаторные нарушения</w:t>
      </w:r>
      <w:r w:rsidR="00272ECF" w:rsidRPr="0093582B">
        <w:t xml:space="preserve"> (атаксия, нистагм)</w:t>
      </w:r>
      <w:r w:rsidR="00E34B9A" w:rsidRPr="0093582B">
        <w:t xml:space="preserve"> – </w:t>
      </w:r>
      <w:r w:rsidR="00272ECF" w:rsidRPr="0093582B">
        <w:t>у 4 (10,5</w:t>
      </w:r>
      <w:r w:rsidR="00A5207F" w:rsidRPr="0093582B">
        <w:t xml:space="preserve">%) </w:t>
      </w:r>
      <w:r w:rsidRPr="0093582B">
        <w:t>пациентов,</w:t>
      </w:r>
      <w:r w:rsidR="00E55DDB" w:rsidRPr="0093582B">
        <w:t xml:space="preserve"> когнитивные нарушения </w:t>
      </w:r>
      <w:r w:rsidR="00272ECF" w:rsidRPr="0093582B">
        <w:t>– у 11 (28,</w:t>
      </w:r>
      <w:r w:rsidR="00E34B9A" w:rsidRPr="0093582B">
        <w:t>9</w:t>
      </w:r>
      <w:r w:rsidR="00E55DDB" w:rsidRPr="0093582B">
        <w:t>%) пациентов</w:t>
      </w:r>
      <w:r w:rsidRPr="0093582B">
        <w:t>.</w:t>
      </w:r>
      <w:r w:rsidR="00E34B9A" w:rsidRPr="0093582B">
        <w:t xml:space="preserve"> </w:t>
      </w:r>
      <w:r w:rsidR="00754B65" w:rsidRPr="0093582B">
        <w:t>И</w:t>
      </w:r>
      <w:r w:rsidR="00E34B9A" w:rsidRPr="0093582B">
        <w:t xml:space="preserve">зменений </w:t>
      </w:r>
      <w:r w:rsidR="00754B65" w:rsidRPr="0093582B">
        <w:t xml:space="preserve">со стороны неврологического статуса </w:t>
      </w:r>
      <w:r w:rsidR="00E34B9A" w:rsidRPr="0093582B">
        <w:t>при осмотре не выявлено у 23 человек (39,5%).</w:t>
      </w:r>
    </w:p>
    <w:p w:rsidR="00EE2128" w:rsidRPr="0093582B" w:rsidRDefault="00E55DDB" w:rsidP="00274596">
      <w:pPr>
        <w:pStyle w:val="a9"/>
        <w:rPr>
          <w:bCs/>
        </w:rPr>
      </w:pPr>
      <w:r w:rsidRPr="0093582B">
        <w:rPr>
          <w:bCs/>
        </w:rPr>
        <w:t>Анализ частоты неврологических нарушений представлен на рис.1.</w:t>
      </w:r>
    </w:p>
    <w:p w:rsidR="00272ECF" w:rsidRPr="0093582B" w:rsidRDefault="00272ECF" w:rsidP="00274596">
      <w:pPr>
        <w:pStyle w:val="a9"/>
      </w:pPr>
      <w:r w:rsidRPr="0093582B">
        <w:rPr>
          <w:noProof/>
        </w:rPr>
        <w:drawing>
          <wp:inline distT="0" distB="0" distL="0" distR="0" wp14:anchorId="46EC482A" wp14:editId="71994C0C">
            <wp:extent cx="5463540" cy="2712720"/>
            <wp:effectExtent l="0" t="0" r="3810"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55DDB" w:rsidRPr="0093582B" w:rsidRDefault="00E55DDB" w:rsidP="00E55DDB">
      <w:pPr>
        <w:ind w:firstLine="708"/>
        <w:jc w:val="center"/>
        <w:rPr>
          <w:szCs w:val="28"/>
        </w:rPr>
      </w:pPr>
      <w:r w:rsidRPr="0093582B">
        <w:rPr>
          <w:szCs w:val="28"/>
        </w:rPr>
        <w:t>Рис. 1 Оценка неврологического статуса</w:t>
      </w:r>
      <w:r w:rsidR="00A5207F" w:rsidRPr="0093582B">
        <w:rPr>
          <w:szCs w:val="28"/>
        </w:rPr>
        <w:t xml:space="preserve"> </w:t>
      </w:r>
      <w:r w:rsidR="00CF46CD" w:rsidRPr="0093582B">
        <w:rPr>
          <w:szCs w:val="28"/>
        </w:rPr>
        <w:t>у пациентов</w:t>
      </w:r>
      <w:r w:rsidR="00E34B9A" w:rsidRPr="0093582B">
        <w:rPr>
          <w:szCs w:val="28"/>
        </w:rPr>
        <w:t xml:space="preserve"> в дооперационном периоде</w:t>
      </w:r>
    </w:p>
    <w:p w:rsidR="006B0945" w:rsidRPr="0093582B" w:rsidRDefault="006B0945" w:rsidP="006B0945">
      <w:pPr>
        <w:pStyle w:val="a9"/>
      </w:pPr>
      <w:r w:rsidRPr="0093582B">
        <w:t xml:space="preserve">Как видно из рис.1, среди патологических изменений большая доля приходится на когнитивные нарушения. Специализированного тестирования для их выявления не проводилось, однако все специфические жалобы, данные анамнеза и данные осмотра пациентов в клинике были учтены при анализе. Среди когнитивных расстройств были отмечены: фиксационная </w:t>
      </w:r>
      <w:r w:rsidR="00026E77" w:rsidRPr="0093582B">
        <w:t>амнезия и</w:t>
      </w:r>
      <w:r w:rsidR="00E34B9A" w:rsidRPr="0093582B">
        <w:t xml:space="preserve"> снижение концентрации внимания</w:t>
      </w:r>
      <w:r w:rsidRPr="0093582B">
        <w:t>.</w:t>
      </w:r>
    </w:p>
    <w:p w:rsidR="000D19F8" w:rsidRPr="0093582B" w:rsidRDefault="00026E77" w:rsidP="006B0945">
      <w:pPr>
        <w:pStyle w:val="a9"/>
      </w:pPr>
      <w:r w:rsidRPr="0093582B">
        <w:lastRenderedPageBreak/>
        <w:t xml:space="preserve">Такие </w:t>
      </w:r>
      <w:r w:rsidR="000D19F8" w:rsidRPr="0093582B">
        <w:t>когнитивн</w:t>
      </w:r>
      <w:r w:rsidR="009E2A55" w:rsidRPr="0093582B">
        <w:t xml:space="preserve">ые нарушения </w:t>
      </w:r>
      <w:r w:rsidRPr="0093582B">
        <w:t xml:space="preserve">особенно </w:t>
      </w:r>
      <w:r w:rsidR="009E2A55" w:rsidRPr="0093582B">
        <w:t xml:space="preserve">характерны для пациентов с мезиальной височной эпилепсией, так как в зону патологического процесса вовлечен гиппокамп и </w:t>
      </w:r>
      <w:r w:rsidR="00CB5D11" w:rsidRPr="0093582B">
        <w:t xml:space="preserve">другие отделы </w:t>
      </w:r>
      <w:r w:rsidR="009E2A55" w:rsidRPr="0093582B">
        <w:t>височн</w:t>
      </w:r>
      <w:r w:rsidR="00CB5D11" w:rsidRPr="0093582B">
        <w:t xml:space="preserve">ой </w:t>
      </w:r>
      <w:r w:rsidR="009E2A55" w:rsidRPr="0093582B">
        <w:t>дол</w:t>
      </w:r>
      <w:r w:rsidR="00CB5D11" w:rsidRPr="0093582B">
        <w:t>и</w:t>
      </w:r>
      <w:r w:rsidR="009E2A55" w:rsidRPr="0093582B">
        <w:t xml:space="preserve">, </w:t>
      </w:r>
      <w:r w:rsidR="0024128A" w:rsidRPr="0093582B">
        <w:t>которые играют</w:t>
      </w:r>
      <w:r w:rsidR="00CB5D11" w:rsidRPr="0093582B">
        <w:t xml:space="preserve"> важную</w:t>
      </w:r>
      <w:r w:rsidR="0024128A" w:rsidRPr="0093582B">
        <w:t xml:space="preserve"> роль в формировании </w:t>
      </w:r>
      <w:r w:rsidR="009E2A55" w:rsidRPr="0093582B">
        <w:t>кратковременной и долговременной памяти.</w:t>
      </w:r>
    </w:p>
    <w:p w:rsidR="00DB59F0" w:rsidRPr="0093582B" w:rsidRDefault="0024128A" w:rsidP="0024128A">
      <w:pPr>
        <w:pStyle w:val="2"/>
      </w:pPr>
      <w:bookmarkStart w:id="16" w:name="_Toc104427534"/>
      <w:r w:rsidRPr="0093582B">
        <w:t>3.2</w:t>
      </w:r>
      <w:r w:rsidR="00E143AD">
        <w:t>.</w:t>
      </w:r>
      <w:r w:rsidR="00DB59F0" w:rsidRPr="0093582B">
        <w:t xml:space="preserve"> Оценка </w:t>
      </w:r>
      <w:r w:rsidRPr="0093582B">
        <w:t xml:space="preserve">соматического </w:t>
      </w:r>
      <w:r w:rsidR="00DB59F0" w:rsidRPr="0093582B">
        <w:t xml:space="preserve">статуса </w:t>
      </w:r>
      <w:r w:rsidRPr="0093582B">
        <w:t>пациентов</w:t>
      </w:r>
      <w:bookmarkEnd w:id="16"/>
    </w:p>
    <w:p w:rsidR="00941FA2" w:rsidRPr="0093582B" w:rsidRDefault="0024128A" w:rsidP="00941FA2">
      <w:pPr>
        <w:pStyle w:val="a9"/>
        <w:rPr>
          <w:rFonts w:eastAsia="Calibri"/>
          <w:lang w:eastAsia="en-US"/>
        </w:rPr>
      </w:pPr>
      <w:r w:rsidRPr="0093582B">
        <w:tab/>
      </w:r>
      <w:r w:rsidR="00820109" w:rsidRPr="0093582B">
        <w:rPr>
          <w:rFonts w:eastAsia="Calibri"/>
          <w:lang w:eastAsia="en-US"/>
        </w:rPr>
        <w:t>Анализ соматического статуса пациентов выявил нарушения со стороны внутренних органов у 21 (55,2%)</w:t>
      </w:r>
      <w:r w:rsidR="00F16BB1" w:rsidRPr="0093582B">
        <w:rPr>
          <w:rFonts w:eastAsia="Calibri"/>
          <w:lang w:eastAsia="en-US"/>
        </w:rPr>
        <w:t xml:space="preserve"> пациента</w:t>
      </w:r>
      <w:r w:rsidR="00820109" w:rsidRPr="0093582B">
        <w:rPr>
          <w:rFonts w:eastAsia="Calibri"/>
          <w:lang w:eastAsia="en-US"/>
        </w:rPr>
        <w:t>. Среди нарушений встречались заболеван</w:t>
      </w:r>
      <w:r w:rsidR="00F16BB1" w:rsidRPr="0093582B">
        <w:rPr>
          <w:rFonts w:eastAsia="Calibri"/>
          <w:lang w:eastAsia="en-US"/>
        </w:rPr>
        <w:t xml:space="preserve">ия сердечно-сосудистой системы </w:t>
      </w:r>
      <w:r w:rsidR="00820109" w:rsidRPr="0093582B">
        <w:rPr>
          <w:rFonts w:eastAsia="Calibri"/>
          <w:lang w:eastAsia="en-US"/>
        </w:rPr>
        <w:t xml:space="preserve">у </w:t>
      </w:r>
      <w:r w:rsidR="005E0D05" w:rsidRPr="0093582B">
        <w:rPr>
          <w:rFonts w:eastAsia="Calibri"/>
          <w:lang w:eastAsia="en-US"/>
        </w:rPr>
        <w:t>8</w:t>
      </w:r>
      <w:r w:rsidR="00820109" w:rsidRPr="0093582B">
        <w:rPr>
          <w:rFonts w:eastAsia="Calibri"/>
          <w:lang w:eastAsia="en-US"/>
        </w:rPr>
        <w:t xml:space="preserve"> (21,1%) пациентов, заболевания органов желудочно-кишечного тракта</w:t>
      </w:r>
      <w:r w:rsidR="005E0D05" w:rsidRPr="0093582B">
        <w:rPr>
          <w:rFonts w:eastAsia="Calibri"/>
          <w:lang w:eastAsia="en-US"/>
        </w:rPr>
        <w:t xml:space="preserve"> – у 4</w:t>
      </w:r>
      <w:r w:rsidR="00820109" w:rsidRPr="0093582B">
        <w:rPr>
          <w:rFonts w:eastAsia="Calibri"/>
          <w:lang w:eastAsia="en-US"/>
        </w:rPr>
        <w:t xml:space="preserve"> (10,5%), ревматические заболевания </w:t>
      </w:r>
      <w:r w:rsidR="005E0D05" w:rsidRPr="0093582B">
        <w:rPr>
          <w:rFonts w:eastAsia="Calibri"/>
          <w:lang w:eastAsia="en-US"/>
        </w:rPr>
        <w:t>– у 3</w:t>
      </w:r>
      <w:r w:rsidR="00820109" w:rsidRPr="0093582B">
        <w:rPr>
          <w:rFonts w:eastAsia="Calibri"/>
          <w:lang w:eastAsia="en-US"/>
        </w:rPr>
        <w:t xml:space="preserve"> (7,9%),</w:t>
      </w:r>
      <w:r w:rsidR="00DB1280" w:rsidRPr="0093582B">
        <w:rPr>
          <w:rFonts w:eastAsia="Calibri"/>
          <w:lang w:eastAsia="en-US"/>
        </w:rPr>
        <w:t xml:space="preserve"> злокачественные новообразования (рак шейки матки, колоректальный рак) – у 2 (5,3%) пациентов</w:t>
      </w:r>
      <w:r w:rsidR="00006BF4" w:rsidRPr="0093582B">
        <w:rPr>
          <w:rFonts w:eastAsia="Calibri"/>
          <w:lang w:eastAsia="en-US"/>
        </w:rPr>
        <w:t>,</w:t>
      </w:r>
      <w:r w:rsidR="00DB1280" w:rsidRPr="0093582B">
        <w:rPr>
          <w:rFonts w:eastAsia="Calibri"/>
          <w:lang w:eastAsia="en-US"/>
        </w:rPr>
        <w:t xml:space="preserve"> </w:t>
      </w:r>
      <w:r w:rsidR="00941FA2" w:rsidRPr="0093582B">
        <w:rPr>
          <w:rFonts w:eastAsia="Calibri"/>
          <w:lang w:eastAsia="en-US"/>
        </w:rPr>
        <w:t xml:space="preserve">заболевания кожи – у 2 (5,3%) </w:t>
      </w:r>
      <w:r w:rsidR="00C23086" w:rsidRPr="0093582B">
        <w:rPr>
          <w:rFonts w:eastAsia="Calibri"/>
          <w:lang w:eastAsia="en-US"/>
        </w:rPr>
        <w:t xml:space="preserve">человек, </w:t>
      </w:r>
      <w:r w:rsidR="005E0D05" w:rsidRPr="0093582B">
        <w:rPr>
          <w:rFonts w:eastAsia="Calibri"/>
          <w:lang w:eastAsia="en-US"/>
        </w:rPr>
        <w:t>друг</w:t>
      </w:r>
      <w:r w:rsidR="00446C00" w:rsidRPr="0093582B">
        <w:rPr>
          <w:rFonts w:eastAsia="Calibri"/>
          <w:lang w:eastAsia="en-US"/>
        </w:rPr>
        <w:t>ая</w:t>
      </w:r>
      <w:r w:rsidR="005E0D05" w:rsidRPr="0093582B">
        <w:rPr>
          <w:rFonts w:eastAsia="Calibri"/>
          <w:lang w:eastAsia="en-US"/>
        </w:rPr>
        <w:t xml:space="preserve"> соматическ</w:t>
      </w:r>
      <w:r w:rsidR="00446C00" w:rsidRPr="0093582B">
        <w:rPr>
          <w:rFonts w:eastAsia="Calibri"/>
          <w:lang w:eastAsia="en-US"/>
        </w:rPr>
        <w:t>ая</w:t>
      </w:r>
      <w:r w:rsidR="005E0D05" w:rsidRPr="0093582B">
        <w:rPr>
          <w:rFonts w:eastAsia="Calibri"/>
          <w:lang w:eastAsia="en-US"/>
        </w:rPr>
        <w:t xml:space="preserve"> патологи</w:t>
      </w:r>
      <w:r w:rsidR="00446C00" w:rsidRPr="0093582B">
        <w:rPr>
          <w:rFonts w:eastAsia="Calibri"/>
          <w:lang w:eastAsia="en-US"/>
        </w:rPr>
        <w:t>я</w:t>
      </w:r>
      <w:r w:rsidR="00820109" w:rsidRPr="0093582B">
        <w:rPr>
          <w:rFonts w:eastAsia="Calibri"/>
          <w:lang w:eastAsia="en-US"/>
        </w:rPr>
        <w:t xml:space="preserve"> (</w:t>
      </w:r>
      <w:r w:rsidR="005E0D05" w:rsidRPr="0093582B">
        <w:rPr>
          <w:rFonts w:eastAsia="Calibri"/>
          <w:lang w:eastAsia="en-US"/>
        </w:rPr>
        <w:t xml:space="preserve">бронхиальная астма, </w:t>
      </w:r>
      <w:r w:rsidR="00941FA2" w:rsidRPr="0093582B">
        <w:rPr>
          <w:rFonts w:eastAsia="Calibri"/>
          <w:lang w:eastAsia="en-US"/>
        </w:rPr>
        <w:t>анемия</w:t>
      </w:r>
      <w:r w:rsidR="005E0D05" w:rsidRPr="0093582B">
        <w:rPr>
          <w:rFonts w:eastAsia="Calibri"/>
          <w:lang w:eastAsia="en-US"/>
        </w:rPr>
        <w:t>, гинекологические заболевания</w:t>
      </w:r>
      <w:r w:rsidR="00820109" w:rsidRPr="0093582B">
        <w:rPr>
          <w:rFonts w:eastAsia="Calibri"/>
          <w:lang w:eastAsia="en-US"/>
        </w:rPr>
        <w:t xml:space="preserve">) </w:t>
      </w:r>
      <w:r w:rsidR="00941FA2" w:rsidRPr="0093582B">
        <w:rPr>
          <w:rFonts w:eastAsia="Calibri"/>
          <w:lang w:eastAsia="en-US"/>
        </w:rPr>
        <w:t>– у 3 (7,9</w:t>
      </w:r>
      <w:r w:rsidR="00820109" w:rsidRPr="0093582B">
        <w:rPr>
          <w:rFonts w:eastAsia="Calibri"/>
          <w:lang w:eastAsia="en-US"/>
        </w:rPr>
        <w:t>%)</w:t>
      </w:r>
      <w:r w:rsidR="005E0D05" w:rsidRPr="0093582B">
        <w:rPr>
          <w:rFonts w:eastAsia="Calibri"/>
          <w:lang w:eastAsia="en-US"/>
        </w:rPr>
        <w:t xml:space="preserve"> пациентов</w:t>
      </w:r>
      <w:r w:rsidR="00820109" w:rsidRPr="0093582B">
        <w:rPr>
          <w:rFonts w:eastAsia="Calibri"/>
          <w:lang w:eastAsia="en-US"/>
        </w:rPr>
        <w:t>.</w:t>
      </w:r>
    </w:p>
    <w:p w:rsidR="00941FA2" w:rsidRPr="0093582B" w:rsidRDefault="005E0D05" w:rsidP="00274596">
      <w:pPr>
        <w:pStyle w:val="a9"/>
        <w:rPr>
          <w:bCs/>
        </w:rPr>
      </w:pPr>
      <w:r w:rsidRPr="0093582B">
        <w:rPr>
          <w:bCs/>
        </w:rPr>
        <w:t>Анализ частоты соматическ</w:t>
      </w:r>
      <w:r w:rsidR="004A3165" w:rsidRPr="0093582B">
        <w:rPr>
          <w:bCs/>
        </w:rPr>
        <w:t>ой</w:t>
      </w:r>
      <w:r w:rsidR="00DB1280" w:rsidRPr="0093582B">
        <w:rPr>
          <w:bCs/>
        </w:rPr>
        <w:t xml:space="preserve"> патологи</w:t>
      </w:r>
      <w:r w:rsidR="004A3165" w:rsidRPr="0093582B">
        <w:rPr>
          <w:bCs/>
        </w:rPr>
        <w:t>и</w:t>
      </w:r>
      <w:r w:rsidR="00DB1280" w:rsidRPr="0093582B">
        <w:rPr>
          <w:bCs/>
        </w:rPr>
        <w:t xml:space="preserve"> представлен на рис. 3</w:t>
      </w:r>
      <w:r w:rsidRPr="0093582B">
        <w:rPr>
          <w:bCs/>
        </w:rPr>
        <w:t>.</w:t>
      </w:r>
    </w:p>
    <w:p w:rsidR="0024128A" w:rsidRPr="0093582B" w:rsidRDefault="00941FA2" w:rsidP="00274596">
      <w:pPr>
        <w:pStyle w:val="a9"/>
      </w:pPr>
      <w:r w:rsidRPr="0093582B">
        <w:rPr>
          <w:b/>
          <w:noProof/>
        </w:rPr>
        <w:drawing>
          <wp:inline distT="0" distB="0" distL="0" distR="0" wp14:anchorId="21074B91" wp14:editId="2FEAC009">
            <wp:extent cx="5585460" cy="3108960"/>
            <wp:effectExtent l="0" t="0" r="15240" b="152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DB1280" w:rsidRPr="0093582B">
        <w:rPr>
          <w:noProof/>
        </w:rPr>
        <w:t xml:space="preserve"> </w:t>
      </w:r>
    </w:p>
    <w:p w:rsidR="005E0D05" w:rsidRPr="0093582B" w:rsidRDefault="00941FA2" w:rsidP="00BC6E5B">
      <w:pPr>
        <w:jc w:val="center"/>
        <w:rPr>
          <w:szCs w:val="28"/>
        </w:rPr>
      </w:pPr>
      <w:r w:rsidRPr="0093582B">
        <w:rPr>
          <w:szCs w:val="28"/>
        </w:rPr>
        <w:t>Рис. 2</w:t>
      </w:r>
      <w:r w:rsidR="005E0D05" w:rsidRPr="0093582B">
        <w:rPr>
          <w:szCs w:val="28"/>
        </w:rPr>
        <w:t xml:space="preserve"> Оценка соматического статуса</w:t>
      </w:r>
      <w:r w:rsidR="00BC6E5B" w:rsidRPr="0093582B">
        <w:rPr>
          <w:szCs w:val="28"/>
        </w:rPr>
        <w:t xml:space="preserve"> у пациентов</w:t>
      </w:r>
      <w:r w:rsidR="004A3165" w:rsidRPr="0093582B">
        <w:rPr>
          <w:szCs w:val="28"/>
        </w:rPr>
        <w:t xml:space="preserve"> со структурной эпилепсией</w:t>
      </w:r>
    </w:p>
    <w:p w:rsidR="00D35D89" w:rsidRPr="0093582B" w:rsidRDefault="005E0D05" w:rsidP="005E0D05">
      <w:pPr>
        <w:pStyle w:val="a9"/>
        <w:rPr>
          <w:rFonts w:eastAsia="Calibri"/>
          <w:lang w:eastAsia="en-US"/>
        </w:rPr>
      </w:pPr>
      <w:r w:rsidRPr="0093582B">
        <w:rPr>
          <w:rFonts w:eastAsia="Calibri"/>
          <w:lang w:eastAsia="en-US"/>
        </w:rPr>
        <w:t>Самой частой сопутствующей патологией оказались заболевания сердечно-сосудистой системы (</w:t>
      </w:r>
      <w:r w:rsidR="00820109" w:rsidRPr="0093582B">
        <w:rPr>
          <w:rFonts w:eastAsia="Calibri"/>
          <w:lang w:eastAsia="en-US"/>
        </w:rPr>
        <w:t xml:space="preserve">21,1%) </w:t>
      </w:r>
      <w:r w:rsidRPr="0093582B">
        <w:rPr>
          <w:rFonts w:eastAsia="Calibri"/>
          <w:lang w:eastAsia="en-US"/>
        </w:rPr>
        <w:t>(гипер</w:t>
      </w:r>
      <w:r w:rsidR="00E734F2" w:rsidRPr="0093582B">
        <w:rPr>
          <w:rFonts w:eastAsia="Calibri"/>
          <w:lang w:eastAsia="en-US"/>
        </w:rPr>
        <w:t>тоническая</w:t>
      </w:r>
      <w:r w:rsidRPr="0093582B">
        <w:rPr>
          <w:rFonts w:eastAsia="Calibri"/>
          <w:lang w:eastAsia="en-US"/>
        </w:rPr>
        <w:t xml:space="preserve"> болезнь, ишемическая болезнь </w:t>
      </w:r>
      <w:r w:rsidRPr="0093582B">
        <w:rPr>
          <w:rFonts w:eastAsia="Calibri"/>
          <w:lang w:eastAsia="en-US"/>
        </w:rPr>
        <w:lastRenderedPageBreak/>
        <w:t>сердца</w:t>
      </w:r>
      <w:r w:rsidR="001009F3" w:rsidRPr="0093582B">
        <w:rPr>
          <w:rFonts w:eastAsia="Calibri"/>
          <w:lang w:eastAsia="en-US"/>
        </w:rPr>
        <w:t xml:space="preserve">, </w:t>
      </w:r>
      <w:r w:rsidRPr="0093582B">
        <w:rPr>
          <w:rFonts w:eastAsia="Calibri"/>
          <w:lang w:eastAsia="en-US"/>
        </w:rPr>
        <w:t>атеросклероз сосудов</w:t>
      </w:r>
      <w:r w:rsidR="00DB1280" w:rsidRPr="0093582B">
        <w:rPr>
          <w:rFonts w:eastAsia="Calibri"/>
          <w:lang w:eastAsia="en-US"/>
        </w:rPr>
        <w:t xml:space="preserve"> головы и шеи). </w:t>
      </w:r>
      <w:r w:rsidR="00E734F2" w:rsidRPr="0093582B">
        <w:rPr>
          <w:rFonts w:eastAsia="Calibri"/>
          <w:lang w:eastAsia="en-US"/>
        </w:rPr>
        <w:t>Среди данных пациентов средний возраст составил 51,3 года</w:t>
      </w:r>
      <w:r w:rsidR="00D35D89" w:rsidRPr="0093582B">
        <w:rPr>
          <w:rFonts w:eastAsia="Calibri"/>
          <w:lang w:eastAsia="en-US"/>
        </w:rPr>
        <w:t xml:space="preserve">, все </w:t>
      </w:r>
      <w:r w:rsidR="00006BF4" w:rsidRPr="0093582B">
        <w:rPr>
          <w:rFonts w:eastAsia="Calibri"/>
          <w:lang w:eastAsia="en-US"/>
        </w:rPr>
        <w:t xml:space="preserve">лица </w:t>
      </w:r>
      <w:r w:rsidR="00D35D89" w:rsidRPr="0093582B">
        <w:rPr>
          <w:rFonts w:eastAsia="Calibri"/>
          <w:lang w:eastAsia="en-US"/>
        </w:rPr>
        <w:t>женского пола</w:t>
      </w:r>
      <w:r w:rsidR="00E734F2" w:rsidRPr="0093582B">
        <w:rPr>
          <w:rFonts w:eastAsia="Calibri"/>
          <w:lang w:eastAsia="en-US"/>
        </w:rPr>
        <w:t>, что соответствует</w:t>
      </w:r>
      <w:r w:rsidR="00D35D89" w:rsidRPr="0093582B">
        <w:rPr>
          <w:rFonts w:eastAsia="Calibri"/>
          <w:lang w:eastAsia="en-US"/>
        </w:rPr>
        <w:t xml:space="preserve"> в целом</w:t>
      </w:r>
      <w:r w:rsidR="00E734F2" w:rsidRPr="0093582B">
        <w:rPr>
          <w:rFonts w:eastAsia="Calibri"/>
          <w:lang w:eastAsia="en-US"/>
        </w:rPr>
        <w:t xml:space="preserve"> раннему дебюту </w:t>
      </w:r>
      <w:r w:rsidR="00D35D89" w:rsidRPr="0093582B">
        <w:rPr>
          <w:rFonts w:eastAsia="Calibri"/>
          <w:lang w:eastAsia="en-US"/>
        </w:rPr>
        <w:t>сердечно-сосудист</w:t>
      </w:r>
      <w:r w:rsidR="00006BF4" w:rsidRPr="0093582B">
        <w:rPr>
          <w:rFonts w:eastAsia="Calibri"/>
          <w:lang w:eastAsia="en-US"/>
        </w:rPr>
        <w:t>ой</w:t>
      </w:r>
      <w:r w:rsidR="00D35D89" w:rsidRPr="0093582B">
        <w:rPr>
          <w:rFonts w:eastAsia="Calibri"/>
          <w:lang w:eastAsia="en-US"/>
        </w:rPr>
        <w:t xml:space="preserve"> патологи</w:t>
      </w:r>
      <w:r w:rsidR="00006BF4" w:rsidRPr="0093582B">
        <w:rPr>
          <w:rFonts w:eastAsia="Calibri"/>
          <w:lang w:eastAsia="en-US"/>
        </w:rPr>
        <w:t>и</w:t>
      </w:r>
      <w:r w:rsidR="00DB1280" w:rsidRPr="0093582B">
        <w:rPr>
          <w:rFonts w:eastAsia="Calibri"/>
          <w:lang w:eastAsia="en-US"/>
        </w:rPr>
        <w:t>.</w:t>
      </w:r>
    </w:p>
    <w:p w:rsidR="00236AA9" w:rsidRPr="0093582B" w:rsidRDefault="00D35D89" w:rsidP="005E0D05">
      <w:pPr>
        <w:pStyle w:val="a9"/>
        <w:rPr>
          <w:rFonts w:eastAsia="Calibri"/>
          <w:lang w:eastAsia="en-US"/>
        </w:rPr>
      </w:pPr>
      <w:r w:rsidRPr="0093582B">
        <w:rPr>
          <w:rFonts w:eastAsia="Calibri"/>
          <w:lang w:eastAsia="en-US"/>
        </w:rPr>
        <w:t>Наличие гипертонической болезни, как сопутствующей патологии при эпилепсии</w:t>
      </w:r>
      <w:r w:rsidR="00C23086" w:rsidRPr="0093582B">
        <w:rPr>
          <w:rFonts w:eastAsia="Calibri"/>
          <w:lang w:eastAsia="en-US"/>
        </w:rPr>
        <w:t>,</w:t>
      </w:r>
      <w:r w:rsidRPr="0093582B">
        <w:rPr>
          <w:rFonts w:eastAsia="Calibri"/>
          <w:lang w:eastAsia="en-US"/>
        </w:rPr>
        <w:t xml:space="preserve"> является фактором риска </w:t>
      </w:r>
      <w:r w:rsidRPr="0093582B">
        <w:rPr>
          <w:rFonts w:eastAsia="Calibri"/>
          <w:lang w:val="en-US" w:eastAsia="en-US"/>
        </w:rPr>
        <w:t>SUDEP</w:t>
      </w:r>
      <w:r w:rsidRPr="0093582B">
        <w:rPr>
          <w:rFonts w:eastAsia="Calibri"/>
          <w:lang w:eastAsia="en-US"/>
        </w:rPr>
        <w:t xml:space="preserve">, соответственно, пациентам необходимо наблюдаться у кардиолога и получать адекватную антигипертензивную терапию, что может снизить риски преждевременной смерти и осложнений основного заболевания </w:t>
      </w:r>
      <w:r w:rsidRPr="0093582B">
        <w:rPr>
          <w:rFonts w:eastAsia="Calibri"/>
          <w:lang w:eastAsia="en-US"/>
        </w:rPr>
        <w:fldChar w:fldCharType="begin" w:fldLock="1"/>
      </w:r>
      <w:r w:rsidR="003A1608" w:rsidRPr="0093582B">
        <w:rPr>
          <w:rFonts w:eastAsia="Calibri"/>
          <w:lang w:eastAsia="en-US"/>
        </w:rPr>
        <w:instrText>ADDIN CSL_CITATION {"citationItems":[{"id":"ITEM-1","itemData":{"DOI":"10.5603/CJ.a2019.0095","ISSN":"1898018X","abstract":"Epilepsy affects about 50 million people worldwide. Sudden unexpected death in epilepsy (SUDEP) is the main cause of death in epilepsy accounting for up to 17% of all deaths in epileptic patients, and therefore remains a major public health problem. SUDEP likely arises from a combination and inter-action of multiple risk factors (such as being male, drug resistance, frequent generalized tonic-clonic seizures) making risk prediction and mitigation challenging. While there is a general understanding of the physiopathology of SUDEP, mechanistic hypotheses linking risk factors with a risk of SUDEP are still lacking. Identifying cross-talk between biological systems implicated in SUDEP may facilitate the development of improved models for SUDEP risk assessment, treatment and clinical management. In this review, the aim was to explore an overlap between the pathophysiology of hypertension, cardiovascular disease and epilepsy, and discuss its implication for SUDEP. Presented herein, evidence in literature in support of a cross-talk between the renin–angiotensin system (RAS) and sympathetic nervous system, both known to be involved in the development of hypertension and cardiovascular disease, and as one of the underlying mechanisms of SUDEP. This article also provides a brief description of local RAS in brain neuroinflammation and the role of centrally acting RAS inhibitors in epileptic seizure alleviation.","author":[{"dropping-particle":"","family":"Szczurkowska","given":"Patrycja J.","non-dropping-particle":"","parse-names":false,"suffix":""},{"dropping-particle":"","family":"Polonis","given":"Katarzyna","non-dropping-particle":"","parse-names":false,"suffix":""},{"dropping-particle":"","family":"Becari","given":"Christiane","non-dropping-particle":"","parse-names":false,"suffix":""},{"dropping-particle":"","family":"Hoffmann","given":"Michał","non-dropping-particle":"","parse-names":false,"suffix":""},{"dropping-particle":"","family":"Narkiewicz","given":"Krzysztof","non-dropping-particle":"","parse-names":false,"suffix":""},{"dropping-particle":"","family":"Chrostowska","given":"Marzena","non-dropping-particle":"","parse-names":false,"suffix":""}],"container-title":"Cardiology Journal","id":"ITEM-1","issue":"2","issued":{"date-parts":[["2021"]]},"title":"Epilepsy and hypertension: The possible link for sudden unexpected death in epilepsy?","type":"article-journal","volume":"28"},"uris":["http://www.mendeley.com/documents/?uuid=d240bc4a-edc1-3d29-8129-f9c01e0155db"]}],"mendeley":{"formattedCitation":"[46]","plainTextFormattedCitation":"[46]","previouslyFormattedCitation":"[46]"},"properties":{"noteIndex":0},"schema":"https://github.com/citation-style-language/schema/raw/master/csl-citation.json"}</w:instrText>
      </w:r>
      <w:r w:rsidRPr="0093582B">
        <w:rPr>
          <w:rFonts w:eastAsia="Calibri"/>
          <w:lang w:eastAsia="en-US"/>
        </w:rPr>
        <w:fldChar w:fldCharType="separate"/>
      </w:r>
      <w:r w:rsidR="003A1608" w:rsidRPr="0093582B">
        <w:rPr>
          <w:rFonts w:eastAsia="Calibri"/>
          <w:noProof/>
          <w:lang w:eastAsia="en-US"/>
        </w:rPr>
        <w:t>[46]</w:t>
      </w:r>
      <w:r w:rsidRPr="0093582B">
        <w:rPr>
          <w:rFonts w:eastAsia="Calibri"/>
          <w:lang w:eastAsia="en-US"/>
        </w:rPr>
        <w:fldChar w:fldCharType="end"/>
      </w:r>
      <w:r w:rsidRPr="0093582B">
        <w:rPr>
          <w:rFonts w:eastAsia="Calibri"/>
          <w:lang w:eastAsia="en-US"/>
        </w:rPr>
        <w:t>.</w:t>
      </w:r>
    </w:p>
    <w:p w:rsidR="002419A5" w:rsidRPr="0093582B" w:rsidRDefault="002419A5" w:rsidP="002419A5">
      <w:pPr>
        <w:pStyle w:val="2"/>
      </w:pPr>
      <w:bookmarkStart w:id="17" w:name="_Toc104427535"/>
      <w:r w:rsidRPr="0093582B">
        <w:t>3.3</w:t>
      </w:r>
      <w:r w:rsidR="0028089D" w:rsidRPr="0093582B">
        <w:t>.</w:t>
      </w:r>
      <w:r w:rsidRPr="0093582B">
        <w:t xml:space="preserve"> </w:t>
      </w:r>
      <w:r w:rsidRPr="0093582B">
        <w:rPr>
          <w:rFonts w:ascii="Times New Roman" w:hAnsi="Times New Roman" w:cs="Times New Roman"/>
          <w:szCs w:val="28"/>
        </w:rPr>
        <w:t>Характеристика эпилептических приступов у пациентов</w:t>
      </w:r>
      <w:bookmarkEnd w:id="17"/>
    </w:p>
    <w:p w:rsidR="002419A5" w:rsidRPr="0093582B" w:rsidRDefault="002419A5" w:rsidP="005E0D05">
      <w:pPr>
        <w:pStyle w:val="a9"/>
        <w:rPr>
          <w:szCs w:val="28"/>
        </w:rPr>
      </w:pPr>
      <w:r w:rsidRPr="0093582B">
        <w:rPr>
          <w:szCs w:val="28"/>
        </w:rPr>
        <w:t>По совокупности результатов видео-ЭЭГ мониторинга, МРТ 1,5 и 3 Тесла, ПЭТ-КТ были определены локализации эпилептогенных очагов</w:t>
      </w:r>
      <w:r w:rsidR="0084203B" w:rsidRPr="0093582B">
        <w:rPr>
          <w:szCs w:val="28"/>
        </w:rPr>
        <w:t xml:space="preserve">. </w:t>
      </w:r>
      <w:r w:rsidRPr="0093582B">
        <w:rPr>
          <w:szCs w:val="28"/>
        </w:rPr>
        <w:t xml:space="preserve">Правосторонняя </w:t>
      </w:r>
      <w:r w:rsidR="00EA2978" w:rsidRPr="0093582B">
        <w:rPr>
          <w:szCs w:val="28"/>
        </w:rPr>
        <w:t xml:space="preserve">височная </w:t>
      </w:r>
      <w:r w:rsidRPr="0093582B">
        <w:rPr>
          <w:szCs w:val="28"/>
        </w:rPr>
        <w:t xml:space="preserve">локализация обнаружена у 14 </w:t>
      </w:r>
      <w:r w:rsidR="00EA2978" w:rsidRPr="0093582B">
        <w:rPr>
          <w:szCs w:val="28"/>
        </w:rPr>
        <w:t>(36,8%)</w:t>
      </w:r>
      <w:r w:rsidR="0084203B" w:rsidRPr="0093582B">
        <w:rPr>
          <w:szCs w:val="28"/>
        </w:rPr>
        <w:t xml:space="preserve"> человек</w:t>
      </w:r>
      <w:r w:rsidR="00EA2978" w:rsidRPr="0093582B">
        <w:rPr>
          <w:szCs w:val="28"/>
        </w:rPr>
        <w:t xml:space="preserve">, левосторонняя – у 24 (63,2%). </w:t>
      </w:r>
    </w:p>
    <w:p w:rsidR="00FC43A1" w:rsidRPr="0093582B" w:rsidRDefault="00C84FC2" w:rsidP="00274596">
      <w:pPr>
        <w:pStyle w:val="a9"/>
        <w:spacing w:after="120"/>
        <w:rPr>
          <w:bCs/>
          <w:szCs w:val="28"/>
        </w:rPr>
      </w:pPr>
      <w:r w:rsidRPr="0093582B">
        <w:rPr>
          <w:szCs w:val="28"/>
        </w:rPr>
        <w:t xml:space="preserve">Контрлатеральная </w:t>
      </w:r>
      <w:r w:rsidR="00DB1280" w:rsidRPr="0093582B">
        <w:rPr>
          <w:szCs w:val="28"/>
        </w:rPr>
        <w:t xml:space="preserve">эпилептическая </w:t>
      </w:r>
      <w:r w:rsidRPr="0093582B">
        <w:rPr>
          <w:szCs w:val="28"/>
        </w:rPr>
        <w:t>активность на видео-ЭЭГ обнаружена у 15 (39,5%)</w:t>
      </w:r>
      <w:r w:rsidR="0084203B" w:rsidRPr="0093582B">
        <w:rPr>
          <w:szCs w:val="28"/>
        </w:rPr>
        <w:t xml:space="preserve"> человек</w:t>
      </w:r>
      <w:r w:rsidRPr="0093582B">
        <w:rPr>
          <w:szCs w:val="28"/>
        </w:rPr>
        <w:t xml:space="preserve"> от общего количества </w:t>
      </w:r>
      <w:r w:rsidR="003F7BE1" w:rsidRPr="0093582B">
        <w:rPr>
          <w:szCs w:val="28"/>
        </w:rPr>
        <w:t>об</w:t>
      </w:r>
      <w:r w:rsidR="00B86A15" w:rsidRPr="0093582B">
        <w:rPr>
          <w:szCs w:val="28"/>
        </w:rPr>
        <w:t>следуемых (38). Из них 6 (</w:t>
      </w:r>
      <w:r w:rsidR="00576A7C" w:rsidRPr="0093582B">
        <w:rPr>
          <w:szCs w:val="28"/>
        </w:rPr>
        <w:t>15,8%</w:t>
      </w:r>
      <w:r w:rsidRPr="0093582B">
        <w:rPr>
          <w:szCs w:val="28"/>
        </w:rPr>
        <w:t>)</w:t>
      </w:r>
      <w:r w:rsidR="0084203B" w:rsidRPr="0093582B">
        <w:rPr>
          <w:szCs w:val="28"/>
        </w:rPr>
        <w:t xml:space="preserve"> -</w:t>
      </w:r>
      <w:r w:rsidRPr="0093582B">
        <w:rPr>
          <w:szCs w:val="28"/>
        </w:rPr>
        <w:t xml:space="preserve"> у правосторонних и</w:t>
      </w:r>
      <w:r w:rsidR="00B86A15" w:rsidRPr="0093582B">
        <w:rPr>
          <w:szCs w:val="28"/>
        </w:rPr>
        <w:t xml:space="preserve"> 9 (</w:t>
      </w:r>
      <w:r w:rsidR="00576A7C" w:rsidRPr="0093582B">
        <w:rPr>
          <w:szCs w:val="28"/>
        </w:rPr>
        <w:t>23,7%</w:t>
      </w:r>
      <w:r w:rsidRPr="0093582B">
        <w:rPr>
          <w:szCs w:val="28"/>
        </w:rPr>
        <w:t xml:space="preserve">) – левосторонних локализаций. </w:t>
      </w:r>
      <w:r w:rsidR="00FC43A1" w:rsidRPr="0093582B">
        <w:rPr>
          <w:bCs/>
          <w:szCs w:val="28"/>
        </w:rPr>
        <w:t>Данные различия отражены в таблице 1.</w:t>
      </w:r>
    </w:p>
    <w:p w:rsidR="00FC43A1" w:rsidRPr="0093582B" w:rsidRDefault="00274596" w:rsidP="004F6F07">
      <w:pPr>
        <w:pStyle w:val="a9"/>
        <w:jc w:val="right"/>
        <w:rPr>
          <w:sz w:val="24"/>
          <w:szCs w:val="28"/>
        </w:rPr>
      </w:pPr>
      <w:r w:rsidRPr="0093582B">
        <w:rPr>
          <w:sz w:val="24"/>
          <w:szCs w:val="28"/>
        </w:rPr>
        <w:t xml:space="preserve">Таблица 1. </w:t>
      </w:r>
      <w:r w:rsidR="00FC43A1" w:rsidRPr="0093582B">
        <w:rPr>
          <w:sz w:val="24"/>
          <w:szCs w:val="28"/>
        </w:rPr>
        <w:t xml:space="preserve">Контрлатеральная </w:t>
      </w:r>
      <w:r w:rsidR="00E75539" w:rsidRPr="0093582B">
        <w:rPr>
          <w:sz w:val="24"/>
          <w:szCs w:val="28"/>
        </w:rPr>
        <w:t xml:space="preserve">эпилептическая </w:t>
      </w:r>
      <w:r w:rsidR="00FC43A1" w:rsidRPr="0093582B">
        <w:rPr>
          <w:sz w:val="24"/>
          <w:szCs w:val="28"/>
        </w:rPr>
        <w:t xml:space="preserve">активность </w:t>
      </w:r>
      <w:r w:rsidR="00FC43A1" w:rsidRPr="0093582B">
        <w:rPr>
          <w:rFonts w:ascii="Times New Roman" w:eastAsia="Calibri" w:hAnsi="Times New Roman" w:cs="Times New Roman"/>
          <w:bCs/>
          <w:sz w:val="24"/>
          <w:szCs w:val="28"/>
          <w:lang w:eastAsia="en-US"/>
        </w:rPr>
        <w:t>у пациентов с право- и левосторонней локализацией очага</w:t>
      </w:r>
    </w:p>
    <w:tbl>
      <w:tblPr>
        <w:tblStyle w:val="ae"/>
        <w:tblW w:w="9708" w:type="dxa"/>
        <w:tblInd w:w="-5" w:type="dxa"/>
        <w:tblLook w:val="04A0" w:firstRow="1" w:lastRow="0" w:firstColumn="1" w:lastColumn="0" w:noHBand="0" w:noVBand="1"/>
      </w:tblPr>
      <w:tblGrid>
        <w:gridCol w:w="6546"/>
        <w:gridCol w:w="3162"/>
      </w:tblGrid>
      <w:tr w:rsidR="00C84FC2" w:rsidRPr="0093582B" w:rsidTr="00274596">
        <w:trPr>
          <w:trHeight w:val="1275"/>
        </w:trPr>
        <w:tc>
          <w:tcPr>
            <w:tcW w:w="6546" w:type="dxa"/>
            <w:tcBorders>
              <w:tr2bl w:val="single" w:sz="4" w:space="0" w:color="auto"/>
            </w:tcBorders>
          </w:tcPr>
          <w:p w:rsidR="00C84FC2" w:rsidRPr="0093582B" w:rsidRDefault="00C84FC2" w:rsidP="00592DA2">
            <w:pPr>
              <w:spacing w:line="360" w:lineRule="auto"/>
              <w:rPr>
                <w:rFonts w:cs="Times New Roman"/>
              </w:rPr>
            </w:pPr>
            <w:r w:rsidRPr="0093582B">
              <w:rPr>
                <w:rFonts w:cs="Times New Roman"/>
              </w:rPr>
              <w:t>Контрлатеральная активность</w:t>
            </w:r>
          </w:p>
          <w:p w:rsidR="00C84FC2" w:rsidRPr="0093582B" w:rsidRDefault="00C84FC2" w:rsidP="00592DA2">
            <w:pPr>
              <w:spacing w:line="360" w:lineRule="auto"/>
              <w:rPr>
                <w:rFonts w:cs="Times New Roman"/>
              </w:rPr>
            </w:pPr>
          </w:p>
          <w:p w:rsidR="00C84FC2" w:rsidRPr="0093582B" w:rsidRDefault="00C84FC2" w:rsidP="00C9379A">
            <w:pPr>
              <w:spacing w:line="360" w:lineRule="auto"/>
              <w:rPr>
                <w:rFonts w:cs="Times New Roman"/>
                <w:highlight w:val="yellow"/>
              </w:rPr>
            </w:pPr>
            <w:r w:rsidRPr="0093582B">
              <w:rPr>
                <w:rFonts w:cs="Times New Roman"/>
              </w:rPr>
              <w:t xml:space="preserve">                         </w:t>
            </w:r>
            <w:r w:rsidR="00486674" w:rsidRPr="0093582B">
              <w:rPr>
                <w:rFonts w:cs="Times New Roman"/>
              </w:rPr>
              <w:t xml:space="preserve">     </w:t>
            </w:r>
            <w:r w:rsidR="002F143F" w:rsidRPr="0093582B">
              <w:rPr>
                <w:rFonts w:cs="Times New Roman"/>
              </w:rPr>
              <w:t xml:space="preserve">      </w:t>
            </w:r>
            <w:r w:rsidR="00C9379A" w:rsidRPr="0093582B">
              <w:rPr>
                <w:rFonts w:cs="Times New Roman"/>
              </w:rPr>
              <w:t xml:space="preserve">   </w:t>
            </w:r>
            <w:r w:rsidR="00120846" w:rsidRPr="0093582B">
              <w:rPr>
                <w:rFonts w:cs="Times New Roman"/>
              </w:rPr>
              <w:t>Латерализация очага</w:t>
            </w:r>
          </w:p>
        </w:tc>
        <w:tc>
          <w:tcPr>
            <w:tcW w:w="3162" w:type="dxa"/>
          </w:tcPr>
          <w:p w:rsidR="00C84FC2" w:rsidRPr="0093582B" w:rsidRDefault="00C84FC2" w:rsidP="00592DA2">
            <w:pPr>
              <w:spacing w:line="360" w:lineRule="auto"/>
              <w:jc w:val="center"/>
              <w:rPr>
                <w:rFonts w:cs="Times New Roman"/>
              </w:rPr>
            </w:pPr>
          </w:p>
          <w:p w:rsidR="00C84FC2" w:rsidRPr="0093582B" w:rsidRDefault="00E75539" w:rsidP="00592DA2">
            <w:pPr>
              <w:spacing w:line="360" w:lineRule="auto"/>
              <w:jc w:val="center"/>
              <w:rPr>
                <w:rFonts w:cs="Times New Roman"/>
              </w:rPr>
            </w:pPr>
            <w:r w:rsidRPr="0093582B">
              <w:rPr>
                <w:rFonts w:cs="Times New Roman"/>
              </w:rPr>
              <w:t>Наличие эпиактивности</w:t>
            </w:r>
          </w:p>
        </w:tc>
      </w:tr>
      <w:tr w:rsidR="00C84FC2" w:rsidRPr="0093582B" w:rsidTr="00274596">
        <w:trPr>
          <w:trHeight w:val="416"/>
        </w:trPr>
        <w:tc>
          <w:tcPr>
            <w:tcW w:w="6546" w:type="dxa"/>
          </w:tcPr>
          <w:p w:rsidR="00C84FC2" w:rsidRPr="0093582B" w:rsidRDefault="00C84FC2" w:rsidP="00CE0A3E">
            <w:pPr>
              <w:spacing w:line="360" w:lineRule="auto"/>
              <w:rPr>
                <w:rFonts w:cs="Times New Roman"/>
                <w:highlight w:val="yellow"/>
              </w:rPr>
            </w:pPr>
            <w:r w:rsidRPr="0093582B">
              <w:rPr>
                <w:rFonts w:cs="Times New Roman"/>
              </w:rPr>
              <w:t>Правосторонний очаг, % (</w:t>
            </w:r>
            <w:r w:rsidR="0084203B" w:rsidRPr="0093582B">
              <w:rPr>
                <w:rFonts w:cs="Times New Roman"/>
                <w:lang w:val="en-US"/>
              </w:rPr>
              <w:t>n</w:t>
            </w:r>
            <w:r w:rsidRPr="0093582B">
              <w:rPr>
                <w:rFonts w:cs="Times New Roman"/>
              </w:rPr>
              <w:t>)</w:t>
            </w:r>
          </w:p>
        </w:tc>
        <w:tc>
          <w:tcPr>
            <w:tcW w:w="3162" w:type="dxa"/>
          </w:tcPr>
          <w:p w:rsidR="00C84FC2" w:rsidRPr="0093582B" w:rsidRDefault="0028089D" w:rsidP="00592DA2">
            <w:pPr>
              <w:spacing w:line="360" w:lineRule="auto"/>
              <w:jc w:val="center"/>
              <w:rPr>
                <w:rFonts w:cs="Times New Roman"/>
              </w:rPr>
            </w:pPr>
            <w:r w:rsidRPr="0093582B">
              <w:rPr>
                <w:rFonts w:cs="Times New Roman"/>
              </w:rPr>
              <w:t>15,7</w:t>
            </w:r>
            <w:r w:rsidR="00C84FC2" w:rsidRPr="0093582B">
              <w:rPr>
                <w:rFonts w:cs="Times New Roman"/>
              </w:rPr>
              <w:t xml:space="preserve"> (</w:t>
            </w:r>
            <w:r w:rsidR="00486674" w:rsidRPr="0093582B">
              <w:rPr>
                <w:rFonts w:cs="Times New Roman"/>
              </w:rPr>
              <w:t>6</w:t>
            </w:r>
            <w:r w:rsidR="00C84FC2" w:rsidRPr="0093582B">
              <w:rPr>
                <w:rFonts w:cs="Times New Roman"/>
              </w:rPr>
              <w:t>)</w:t>
            </w:r>
          </w:p>
        </w:tc>
      </w:tr>
      <w:tr w:rsidR="00C84FC2" w:rsidRPr="0093582B" w:rsidTr="00274596">
        <w:trPr>
          <w:trHeight w:val="429"/>
        </w:trPr>
        <w:tc>
          <w:tcPr>
            <w:tcW w:w="6546" w:type="dxa"/>
          </w:tcPr>
          <w:p w:rsidR="00C84FC2" w:rsidRPr="0093582B" w:rsidRDefault="00C84FC2" w:rsidP="00DB1280">
            <w:pPr>
              <w:spacing w:line="360" w:lineRule="auto"/>
              <w:rPr>
                <w:rFonts w:cs="Times New Roman"/>
                <w:highlight w:val="yellow"/>
              </w:rPr>
            </w:pPr>
            <w:r w:rsidRPr="0093582B">
              <w:rPr>
                <w:rFonts w:cs="Times New Roman"/>
              </w:rPr>
              <w:t>Левосторонний очаг, % (</w:t>
            </w:r>
            <w:r w:rsidR="0084203B" w:rsidRPr="0093582B">
              <w:rPr>
                <w:rFonts w:cs="Times New Roman"/>
                <w:lang w:val="en-US"/>
              </w:rPr>
              <w:t>n</w:t>
            </w:r>
            <w:r w:rsidRPr="0093582B">
              <w:rPr>
                <w:rFonts w:cs="Times New Roman"/>
              </w:rPr>
              <w:t>)</w:t>
            </w:r>
          </w:p>
        </w:tc>
        <w:tc>
          <w:tcPr>
            <w:tcW w:w="3162" w:type="dxa"/>
          </w:tcPr>
          <w:p w:rsidR="00C84FC2" w:rsidRPr="0093582B" w:rsidRDefault="004F6F07" w:rsidP="00592DA2">
            <w:pPr>
              <w:spacing w:line="360" w:lineRule="auto"/>
              <w:jc w:val="center"/>
              <w:rPr>
                <w:rFonts w:cs="Times New Roman"/>
              </w:rPr>
            </w:pPr>
            <w:r w:rsidRPr="0093582B">
              <w:rPr>
                <w:rFonts w:cs="Times New Roman"/>
              </w:rPr>
              <w:t>23,7</w:t>
            </w:r>
            <w:r w:rsidR="00C84FC2" w:rsidRPr="0093582B">
              <w:rPr>
                <w:rFonts w:cs="Times New Roman"/>
              </w:rPr>
              <w:t xml:space="preserve"> (9)</w:t>
            </w:r>
          </w:p>
        </w:tc>
      </w:tr>
      <w:tr w:rsidR="00C84FC2" w:rsidRPr="0093582B" w:rsidTr="00274596">
        <w:trPr>
          <w:trHeight w:val="416"/>
        </w:trPr>
        <w:tc>
          <w:tcPr>
            <w:tcW w:w="6546" w:type="dxa"/>
            <w:shd w:val="clear" w:color="auto" w:fill="FFFFFF" w:themeFill="background1"/>
          </w:tcPr>
          <w:p w:rsidR="00C84FC2" w:rsidRPr="0093582B" w:rsidRDefault="00C84FC2" w:rsidP="00592DA2">
            <w:pPr>
              <w:spacing w:line="360" w:lineRule="auto"/>
              <w:rPr>
                <w:rFonts w:cs="Times New Roman"/>
              </w:rPr>
            </w:pPr>
            <w:r w:rsidRPr="0093582B">
              <w:rPr>
                <w:rFonts w:cs="Times New Roman"/>
              </w:rPr>
              <w:t>Р-value</w:t>
            </w:r>
          </w:p>
        </w:tc>
        <w:tc>
          <w:tcPr>
            <w:tcW w:w="3162" w:type="dxa"/>
            <w:shd w:val="clear" w:color="auto" w:fill="FFFFFF" w:themeFill="background1"/>
          </w:tcPr>
          <w:p w:rsidR="00C84FC2" w:rsidRPr="0093582B" w:rsidRDefault="00486674" w:rsidP="00592DA2">
            <w:pPr>
              <w:spacing w:line="360" w:lineRule="auto"/>
              <w:jc w:val="center"/>
              <w:rPr>
                <w:rFonts w:cs="Times New Roman"/>
              </w:rPr>
            </w:pPr>
            <w:r w:rsidRPr="0093582B">
              <w:rPr>
                <w:rFonts w:cs="Times New Roman"/>
              </w:rPr>
              <w:t>0.745</w:t>
            </w:r>
          </w:p>
        </w:tc>
      </w:tr>
    </w:tbl>
    <w:p w:rsidR="00C84FC2" w:rsidRPr="0093582B" w:rsidRDefault="00A919B5" w:rsidP="00274596">
      <w:pPr>
        <w:pStyle w:val="a9"/>
        <w:spacing w:before="240"/>
      </w:pPr>
      <w:r w:rsidRPr="0093582B">
        <w:t>P-уровень значимости при сравнительном анализе показателей доли ко</w:t>
      </w:r>
      <w:r w:rsidR="00261A12" w:rsidRPr="0093582B">
        <w:t>н</w:t>
      </w:r>
      <w:r w:rsidRPr="0093582B">
        <w:t>трлатеральной активности в двух группах показал, что они статистически значимо не различаются (p&gt;0,05).</w:t>
      </w:r>
      <w:r w:rsidR="00DB1280" w:rsidRPr="0093582B">
        <w:t xml:space="preserve"> Контрлатеральная эпилептическая активность </w:t>
      </w:r>
      <w:r w:rsidR="00DB1280" w:rsidRPr="0093582B">
        <w:lastRenderedPageBreak/>
        <w:t xml:space="preserve">свидетельствует о возникновении зеркального очага </w:t>
      </w:r>
      <w:r w:rsidR="00F96670" w:rsidRPr="0093582B">
        <w:t>в противоположном структурной патологии полушарии</w:t>
      </w:r>
      <w:r w:rsidR="00E75539" w:rsidRPr="0093582B">
        <w:t>.</w:t>
      </w:r>
    </w:p>
    <w:p w:rsidR="00FC43A1" w:rsidRPr="0093582B" w:rsidRDefault="00A919B5" w:rsidP="00A919B5">
      <w:pPr>
        <w:pStyle w:val="a9"/>
        <w:rPr>
          <w:rFonts w:cs="Times New Roman"/>
          <w:szCs w:val="28"/>
        </w:rPr>
      </w:pPr>
      <w:r w:rsidRPr="0093582B">
        <w:t xml:space="preserve">При сборе и анализе данных историй болезни использовалась новая классификация эпилептических приступов </w:t>
      </w:r>
      <w:r w:rsidRPr="0093582B">
        <w:rPr>
          <w:lang w:val="en-US"/>
        </w:rPr>
        <w:t>ILAE</w:t>
      </w:r>
      <w:r w:rsidRPr="0093582B">
        <w:t xml:space="preserve"> от 2017 года </w:t>
      </w:r>
      <w:r w:rsidRPr="0093582B">
        <w:fldChar w:fldCharType="begin" w:fldLock="1"/>
      </w:r>
      <w:r w:rsidR="001D36A0" w:rsidRPr="0093582B">
        <w:instrText>ADDIN CSL_CITATION {"citationItems":[{"id":"ITEM-1","itemData":{"DOI":"10.1111/epi.13709","ISSN":"15281167","abstract":"The International League Against Epilepsy (ILAE) Classification of the Epilepsies has been updated to reflect our gain in understanding of the epilepsies and their underlying mechanisms following the major scientific advances that have taken place since the last ratified classification in 1989. As a critical tool for the practicing clinician, epilepsy classification must be relevant and dynamic to changes in thinking, yet robust and translatable to all areas of the globe. Its primary purpose is for diagnosis of patients, but it is also critical for epilepsy research, development of antiepileptic therapies, and communication around the world. The new classification originates from a draft document submitted for public comments in 2013, which was revised to incorporate extensive feedback from the international epilepsy community over several rounds of consultation. It presents three levels, starting with seizure type, where it assumes that the patient is having epileptic seizures as defined by the new 2017 ILAE Seizure Classification. After diagnosis of the seizure type, the next step is diagnosis of epilepsy type, including focal epilepsy, generalized epilepsy, combined generalized, and focal epilepsy, and also an unknown epilepsy group. The third level is that of epilepsy syndrome, where a specific syndromic diagnosis can be made. The new classification incorporates etiology along each stage, emphasizing the need to consider etiology at each step of diagnosis, as it often carries significant treatment implications. Etiology is broken into six subgroups, selected because of their potential therapeutic consequences. New terminology is introduced such as developmental and epileptic encephalopathy. The term benign is replaced by the terms self-limited and pharmacoresponsive, to be used where appropriate. It is hoped that this new framework will assist in improving epilepsy care and research in the 21st century.","author":[{"dropping-particle":"","family":"Scheffer","given":"Ingrid E.","non-dropping-particle":"","parse-names":false,"suffix":""},{"dropping-particle":"","family":"Berkovic","given":"Samuel","non-dropping-particle":"","parse-names":false,"suffix":""},{"dropping-particle":"","family":"Capovilla","given":"Giuseppe","non-dropping-particle":"","parse-names":false,"suffix":""},{"dropping-particle":"","family":"Connolly","given":"Mary B.","non-dropping-particle":"","parse-names":false,"suffix":""},{"dropping-particle":"","family":"French","given":"Jacqueline","non-dropping-particle":"","parse-names":false,"suffix":""},{"dropping-particle":"","family":"Guilhoto","given":"Laura","non-dropping-particle":"","parse-names":false,"suffix":""},{"dropping-particle":"","family":"Hirsch","given":"Edouard","non-dropping-particle":"","parse-names":false,"suffix":""},{"dropping-particle":"","family":"Jain","given":"Satish","non-dropping-particle":"","parse-names":false,"suffix":""},{"dropping-particle":"","family":"Mathern","given":"Gary W.","non-dropping-particle":"","parse-names":false,"suffix":""},{"dropping-particle":"","family":"Moshé","given":"Solomon L.","non-dropping-particle":"","parse-names":false,"suffix":""},{"dropping-particle":"","family":"Nordli","given":"Douglas R.","non-dropping-particle":"","parse-names":false,"suffix":""},{"dropping-particle":"","family":"Perucca","given":"Emilio","non-dropping-particle":"","parse-names":false,"suffix":""},{"dropping-particle":"","family":"Tomson","given":"Torbjörn","non-dropping-particle":"","parse-names":false,"suffix":""},{"dropping-particle":"","family":"Wiebe","given":"Samuel","non-dropping-particle":"","parse-names":false,"suffix":""},{"dropping-particle":"","family":"Zhang","given":"Yue Hua","non-dropping-particle":"","parse-names":false,"suffix":""},{"dropping-particle":"","family":"Zuberi","given":"Sameer M.","non-dropping-particle":"","parse-names":false,"suffix":""}],"container-title":"Epilepsia","id":"ITEM-1","issue":"4","issued":{"date-parts":[["2017"]]},"title":"ILAE classification of the epilepsies: Position paper of the ILAE Commission for Classification and Terminology","type":"article-journal","volume":"58"},"uris":["http://www.mendeley.com/documents/?uuid=174e3988-faae-30f0-be22-0e251075a6da"]}],"mendeley":{"formattedCitation":"[2]","plainTextFormattedCitation":"[2]","previouslyFormattedCitation":"[2]"},"properties":{"noteIndex":0},"schema":"https://github.com/citation-style-language/schema/raw/master/csl-citation.json"}</w:instrText>
      </w:r>
      <w:r w:rsidRPr="0093582B">
        <w:fldChar w:fldCharType="separate"/>
      </w:r>
      <w:r w:rsidR="00145D01" w:rsidRPr="0093582B">
        <w:rPr>
          <w:noProof/>
        </w:rPr>
        <w:t>[2]</w:t>
      </w:r>
      <w:r w:rsidRPr="0093582B">
        <w:fldChar w:fldCharType="end"/>
      </w:r>
      <w:r w:rsidRPr="0093582B">
        <w:t>. У пациентов были опис</w:t>
      </w:r>
      <w:r w:rsidR="00592DA2" w:rsidRPr="0093582B">
        <w:t>аны следующие типы приступов</w:t>
      </w:r>
      <w:r w:rsidRPr="0093582B">
        <w:rPr>
          <w:rFonts w:cs="Times New Roman"/>
          <w:szCs w:val="28"/>
        </w:rPr>
        <w:t xml:space="preserve">: </w:t>
      </w:r>
      <w:r w:rsidRPr="0093582B">
        <w:t>фокальный с эволюцией в билатеральный тонико-клонический (БТК), фокальный с нарушением</w:t>
      </w:r>
      <w:r w:rsidR="006D673F" w:rsidRPr="0093582B">
        <w:t xml:space="preserve"> сознания</w:t>
      </w:r>
      <w:r w:rsidRPr="0093582B">
        <w:rPr>
          <w:rFonts w:cs="Times New Roman"/>
          <w:szCs w:val="28"/>
        </w:rPr>
        <w:t xml:space="preserve">, </w:t>
      </w:r>
      <w:r w:rsidRPr="0093582B">
        <w:t>фокальный с сохранн</w:t>
      </w:r>
      <w:r w:rsidR="006D673F" w:rsidRPr="0093582B">
        <w:t>ым сознанием</w:t>
      </w:r>
      <w:r w:rsidRPr="0093582B">
        <w:rPr>
          <w:rFonts w:cs="Times New Roman"/>
          <w:szCs w:val="28"/>
        </w:rPr>
        <w:t>,</w:t>
      </w:r>
      <w:r w:rsidR="00CF46CD" w:rsidRPr="0093582B">
        <w:rPr>
          <w:rFonts w:cs="Times New Roman"/>
          <w:szCs w:val="28"/>
        </w:rPr>
        <w:t xml:space="preserve"> </w:t>
      </w:r>
      <w:r w:rsidRPr="0093582B">
        <w:rPr>
          <w:rFonts w:cs="Times New Roman"/>
          <w:szCs w:val="28"/>
        </w:rPr>
        <w:t xml:space="preserve">а также </w:t>
      </w:r>
      <w:r w:rsidR="00D45BEB" w:rsidRPr="0093582B">
        <w:rPr>
          <w:rFonts w:cs="Times New Roman"/>
          <w:szCs w:val="28"/>
        </w:rPr>
        <w:t xml:space="preserve">иногда приступы </w:t>
      </w:r>
      <w:r w:rsidRPr="0093582B">
        <w:rPr>
          <w:rFonts w:cs="Times New Roman"/>
          <w:szCs w:val="28"/>
        </w:rPr>
        <w:t>осложнялись эпилептическим статусом</w:t>
      </w:r>
      <w:r w:rsidR="00D45BEB" w:rsidRPr="0093582B">
        <w:rPr>
          <w:rFonts w:cs="Times New Roman"/>
          <w:szCs w:val="28"/>
        </w:rPr>
        <w:t>.</w:t>
      </w:r>
      <w:r w:rsidR="00FC43A1" w:rsidRPr="0093582B">
        <w:rPr>
          <w:rFonts w:cs="Times New Roman"/>
          <w:szCs w:val="28"/>
        </w:rPr>
        <w:t xml:space="preserve"> </w:t>
      </w:r>
      <w:r w:rsidR="008C4417" w:rsidRPr="0093582B">
        <w:rPr>
          <w:rFonts w:cs="Times New Roman"/>
          <w:szCs w:val="28"/>
        </w:rPr>
        <w:t xml:space="preserve">Всего </w:t>
      </w:r>
      <w:r w:rsidR="00A03253" w:rsidRPr="0093582B">
        <w:rPr>
          <w:rFonts w:cs="Times New Roman"/>
          <w:szCs w:val="28"/>
        </w:rPr>
        <w:t>26</w:t>
      </w:r>
      <w:r w:rsidR="008C4417" w:rsidRPr="0093582B">
        <w:rPr>
          <w:rFonts w:cs="Times New Roman"/>
          <w:szCs w:val="28"/>
        </w:rPr>
        <w:t xml:space="preserve"> (68,4%)</w:t>
      </w:r>
      <w:r w:rsidR="00A03253" w:rsidRPr="0093582B">
        <w:rPr>
          <w:rFonts w:cs="Times New Roman"/>
          <w:szCs w:val="28"/>
        </w:rPr>
        <w:t xml:space="preserve"> пациентов описывали характерные для височной локализации вегетативные ауры (</w:t>
      </w:r>
      <w:r w:rsidR="008C4417" w:rsidRPr="0093582B">
        <w:rPr>
          <w:rFonts w:cs="Times New Roman"/>
          <w:szCs w:val="28"/>
        </w:rPr>
        <w:t>абдоминальные), а также чувство дежа-вю и различные слуховые</w:t>
      </w:r>
      <w:r w:rsidR="00B86A15" w:rsidRPr="0093582B">
        <w:rPr>
          <w:rFonts w:cs="Times New Roman"/>
          <w:szCs w:val="28"/>
        </w:rPr>
        <w:t xml:space="preserve"> и об</w:t>
      </w:r>
      <w:r w:rsidR="00576A7C" w:rsidRPr="0093582B">
        <w:rPr>
          <w:rFonts w:cs="Times New Roman"/>
          <w:szCs w:val="28"/>
        </w:rPr>
        <w:t>о</w:t>
      </w:r>
      <w:r w:rsidR="00B86A15" w:rsidRPr="0093582B">
        <w:rPr>
          <w:rFonts w:cs="Times New Roman"/>
          <w:szCs w:val="28"/>
        </w:rPr>
        <w:t>нятельные</w:t>
      </w:r>
      <w:r w:rsidR="008C4417" w:rsidRPr="0093582B">
        <w:rPr>
          <w:rFonts w:cs="Times New Roman"/>
          <w:szCs w:val="28"/>
        </w:rPr>
        <w:t xml:space="preserve"> галлюцинации, предшествующие приступам. </w:t>
      </w:r>
    </w:p>
    <w:p w:rsidR="00A919B5" w:rsidRPr="0093582B" w:rsidRDefault="00FC43A1" w:rsidP="00274596">
      <w:pPr>
        <w:pStyle w:val="a9"/>
        <w:spacing w:after="120"/>
        <w:rPr>
          <w:rFonts w:cs="Times New Roman"/>
          <w:szCs w:val="28"/>
        </w:rPr>
      </w:pPr>
      <w:r w:rsidRPr="0093582B">
        <w:rPr>
          <w:rFonts w:cs="Times New Roman"/>
          <w:szCs w:val="28"/>
        </w:rPr>
        <w:t>Распределение различных типов приступов по локализациям эпилептогенного очага представлены в таблице 2.</w:t>
      </w:r>
    </w:p>
    <w:p w:rsidR="00592DA2" w:rsidRPr="0093582B" w:rsidRDefault="00FC43A1" w:rsidP="004F6F07">
      <w:pPr>
        <w:pStyle w:val="a9"/>
        <w:jc w:val="right"/>
        <w:rPr>
          <w:rFonts w:cs="Times New Roman"/>
          <w:sz w:val="24"/>
          <w:szCs w:val="28"/>
        </w:rPr>
      </w:pPr>
      <w:r w:rsidRPr="0093582B">
        <w:rPr>
          <w:rFonts w:cs="Times New Roman"/>
          <w:sz w:val="24"/>
          <w:szCs w:val="28"/>
        </w:rPr>
        <w:t>Таблица</w:t>
      </w:r>
      <w:r w:rsidR="00E90219" w:rsidRPr="0093582B">
        <w:rPr>
          <w:rFonts w:cs="Times New Roman"/>
          <w:sz w:val="24"/>
          <w:szCs w:val="28"/>
        </w:rPr>
        <w:t xml:space="preserve"> </w:t>
      </w:r>
      <w:r w:rsidRPr="0093582B">
        <w:rPr>
          <w:rFonts w:cs="Times New Roman"/>
          <w:sz w:val="24"/>
          <w:szCs w:val="28"/>
        </w:rPr>
        <w:t>2</w:t>
      </w:r>
      <w:r w:rsidR="00274596" w:rsidRPr="0093582B">
        <w:rPr>
          <w:rFonts w:cs="Times New Roman"/>
          <w:sz w:val="24"/>
          <w:szCs w:val="28"/>
        </w:rPr>
        <w:t xml:space="preserve">. </w:t>
      </w:r>
      <w:r w:rsidR="00592DA2" w:rsidRPr="0093582B">
        <w:rPr>
          <w:rFonts w:ascii="Times New Roman" w:eastAsia="Calibri" w:hAnsi="Times New Roman" w:cs="Times New Roman"/>
          <w:bCs/>
          <w:sz w:val="24"/>
          <w:szCs w:val="28"/>
          <w:lang w:eastAsia="en-US"/>
        </w:rPr>
        <w:t>Виды эпилептических приступов у пациентов с право- и левосторонней локализацией очага</w:t>
      </w:r>
    </w:p>
    <w:tbl>
      <w:tblPr>
        <w:tblStyle w:val="12"/>
        <w:tblW w:w="9749" w:type="dxa"/>
        <w:tblLayout w:type="fixed"/>
        <w:tblLook w:val="04A0" w:firstRow="1" w:lastRow="0" w:firstColumn="1" w:lastColumn="0" w:noHBand="0" w:noVBand="1"/>
      </w:tblPr>
      <w:tblGrid>
        <w:gridCol w:w="2547"/>
        <w:gridCol w:w="1630"/>
        <w:gridCol w:w="1918"/>
        <w:gridCol w:w="1838"/>
        <w:gridCol w:w="1816"/>
      </w:tblGrid>
      <w:tr w:rsidR="00592DA2" w:rsidRPr="0093582B" w:rsidTr="00592DA2">
        <w:trPr>
          <w:trHeight w:val="1340"/>
        </w:trPr>
        <w:tc>
          <w:tcPr>
            <w:tcW w:w="2547" w:type="dxa"/>
            <w:tcBorders>
              <w:tr2bl w:val="single" w:sz="4" w:space="0" w:color="auto"/>
            </w:tcBorders>
          </w:tcPr>
          <w:p w:rsidR="00592DA2" w:rsidRPr="0093582B" w:rsidRDefault="00592DA2" w:rsidP="00592DA2">
            <w:pPr>
              <w:jc w:val="both"/>
              <w:rPr>
                <w:rFonts w:ascii="Times New Roman" w:hAnsi="Times New Roman" w:cs="Times New Roman"/>
              </w:rPr>
            </w:pPr>
            <w:r w:rsidRPr="0093582B">
              <w:rPr>
                <w:rFonts w:ascii="Times New Roman" w:hAnsi="Times New Roman" w:cs="Times New Roman"/>
              </w:rPr>
              <w:t>Вид</w:t>
            </w:r>
          </w:p>
          <w:p w:rsidR="00592DA2" w:rsidRPr="0093582B" w:rsidRDefault="00592DA2" w:rsidP="00592DA2">
            <w:pPr>
              <w:rPr>
                <w:rFonts w:ascii="Times New Roman" w:hAnsi="Times New Roman" w:cs="Times New Roman"/>
              </w:rPr>
            </w:pPr>
            <w:r w:rsidRPr="0093582B">
              <w:rPr>
                <w:rFonts w:ascii="Times New Roman" w:hAnsi="Times New Roman" w:cs="Times New Roman"/>
              </w:rPr>
              <w:t>приступа</w:t>
            </w:r>
          </w:p>
          <w:p w:rsidR="00592DA2" w:rsidRPr="0093582B" w:rsidRDefault="00592DA2" w:rsidP="00592DA2">
            <w:pPr>
              <w:spacing w:line="360" w:lineRule="auto"/>
              <w:jc w:val="right"/>
              <w:rPr>
                <w:rFonts w:ascii="Times New Roman" w:hAnsi="Times New Roman" w:cs="Times New Roman"/>
              </w:rPr>
            </w:pPr>
            <w:r w:rsidRPr="0093582B">
              <w:rPr>
                <w:rFonts w:ascii="Times New Roman" w:hAnsi="Times New Roman" w:cs="Times New Roman"/>
              </w:rPr>
              <w:t xml:space="preserve">                         Группа</w:t>
            </w:r>
          </w:p>
        </w:tc>
        <w:tc>
          <w:tcPr>
            <w:tcW w:w="1630" w:type="dxa"/>
          </w:tcPr>
          <w:p w:rsidR="00592DA2" w:rsidRPr="0093582B" w:rsidRDefault="00592DA2" w:rsidP="00592DA2">
            <w:pPr>
              <w:jc w:val="center"/>
              <w:rPr>
                <w:rFonts w:ascii="Times New Roman" w:hAnsi="Times New Roman" w:cs="Times New Roman"/>
              </w:rPr>
            </w:pPr>
            <w:r w:rsidRPr="0093582B">
              <w:rPr>
                <w:rFonts w:ascii="Times New Roman" w:hAnsi="Times New Roman" w:cs="Times New Roman"/>
              </w:rPr>
              <w:t>Фокальный приступ с эволюцией в БТК</w:t>
            </w:r>
          </w:p>
        </w:tc>
        <w:tc>
          <w:tcPr>
            <w:tcW w:w="1918" w:type="dxa"/>
          </w:tcPr>
          <w:p w:rsidR="00592DA2" w:rsidRPr="0093582B" w:rsidRDefault="008C4417" w:rsidP="008C4417">
            <w:pPr>
              <w:jc w:val="center"/>
              <w:rPr>
                <w:rFonts w:ascii="Times New Roman" w:hAnsi="Times New Roman" w:cs="Times New Roman"/>
              </w:rPr>
            </w:pPr>
            <w:r w:rsidRPr="0093582B">
              <w:rPr>
                <w:rFonts w:ascii="Times New Roman" w:hAnsi="Times New Roman" w:cs="Times New Roman"/>
              </w:rPr>
              <w:t>Фокальный приступ с нарушением сознания</w:t>
            </w:r>
          </w:p>
        </w:tc>
        <w:tc>
          <w:tcPr>
            <w:tcW w:w="1838" w:type="dxa"/>
          </w:tcPr>
          <w:p w:rsidR="00592DA2" w:rsidRPr="0093582B" w:rsidRDefault="00592DA2" w:rsidP="008C4417">
            <w:pPr>
              <w:jc w:val="center"/>
              <w:rPr>
                <w:rFonts w:ascii="Times New Roman" w:hAnsi="Times New Roman" w:cs="Times New Roman"/>
              </w:rPr>
            </w:pPr>
            <w:r w:rsidRPr="0093582B">
              <w:rPr>
                <w:rFonts w:ascii="Times New Roman" w:hAnsi="Times New Roman" w:cs="Times New Roman"/>
              </w:rPr>
              <w:t>Фокальный приступ с сохранн</w:t>
            </w:r>
            <w:r w:rsidR="008C4417" w:rsidRPr="0093582B">
              <w:rPr>
                <w:rFonts w:ascii="Times New Roman" w:hAnsi="Times New Roman" w:cs="Times New Roman"/>
              </w:rPr>
              <w:t>ым сознанием</w:t>
            </w:r>
          </w:p>
        </w:tc>
        <w:tc>
          <w:tcPr>
            <w:tcW w:w="1816" w:type="dxa"/>
          </w:tcPr>
          <w:p w:rsidR="00592DA2" w:rsidRPr="0093582B" w:rsidRDefault="00592DA2" w:rsidP="00592DA2">
            <w:pPr>
              <w:jc w:val="center"/>
              <w:rPr>
                <w:rFonts w:ascii="Times New Roman" w:hAnsi="Times New Roman" w:cs="Times New Roman"/>
              </w:rPr>
            </w:pPr>
            <w:r w:rsidRPr="0093582B">
              <w:rPr>
                <w:rFonts w:ascii="Times New Roman" w:hAnsi="Times New Roman" w:cs="Times New Roman"/>
              </w:rPr>
              <w:t>Эпилептический статус</w:t>
            </w:r>
          </w:p>
        </w:tc>
      </w:tr>
      <w:tr w:rsidR="00592DA2" w:rsidRPr="0093582B" w:rsidTr="00592DA2">
        <w:trPr>
          <w:trHeight w:val="625"/>
        </w:trPr>
        <w:tc>
          <w:tcPr>
            <w:tcW w:w="2547" w:type="dxa"/>
          </w:tcPr>
          <w:p w:rsidR="00592DA2" w:rsidRPr="0093582B" w:rsidRDefault="00592DA2" w:rsidP="00592DA2">
            <w:pPr>
              <w:spacing w:line="276" w:lineRule="auto"/>
              <w:jc w:val="both"/>
              <w:rPr>
                <w:rFonts w:ascii="Times New Roman" w:hAnsi="Times New Roman" w:cs="Times New Roman"/>
              </w:rPr>
            </w:pPr>
            <w:r w:rsidRPr="0093582B">
              <w:rPr>
                <w:rFonts w:ascii="Times New Roman" w:hAnsi="Times New Roman" w:cs="Times New Roman"/>
              </w:rPr>
              <w:t>Правосторонний очаг, % (человек)</w:t>
            </w:r>
          </w:p>
        </w:tc>
        <w:tc>
          <w:tcPr>
            <w:tcW w:w="1630" w:type="dxa"/>
          </w:tcPr>
          <w:p w:rsidR="00592DA2" w:rsidRPr="0093582B" w:rsidRDefault="00592DA2" w:rsidP="00592DA2">
            <w:pPr>
              <w:spacing w:line="360" w:lineRule="auto"/>
              <w:jc w:val="center"/>
              <w:rPr>
                <w:rFonts w:ascii="Times New Roman" w:hAnsi="Times New Roman" w:cs="Times New Roman"/>
              </w:rPr>
            </w:pPr>
            <w:r w:rsidRPr="0093582B">
              <w:rPr>
                <w:rFonts w:ascii="Times New Roman" w:hAnsi="Times New Roman" w:cs="Times New Roman"/>
              </w:rPr>
              <w:t xml:space="preserve"> 78,6 (11)</w:t>
            </w:r>
          </w:p>
        </w:tc>
        <w:tc>
          <w:tcPr>
            <w:tcW w:w="1918" w:type="dxa"/>
          </w:tcPr>
          <w:p w:rsidR="00592DA2" w:rsidRPr="0093582B" w:rsidRDefault="00592DA2" w:rsidP="00592DA2">
            <w:pPr>
              <w:spacing w:line="360" w:lineRule="auto"/>
              <w:jc w:val="center"/>
              <w:rPr>
                <w:rFonts w:ascii="Times New Roman" w:hAnsi="Times New Roman" w:cs="Times New Roman"/>
              </w:rPr>
            </w:pPr>
            <w:r w:rsidRPr="0093582B">
              <w:rPr>
                <w:rFonts w:ascii="Times New Roman" w:hAnsi="Times New Roman" w:cs="Times New Roman"/>
              </w:rPr>
              <w:t>100 (14)</w:t>
            </w:r>
          </w:p>
        </w:tc>
        <w:tc>
          <w:tcPr>
            <w:tcW w:w="1838" w:type="dxa"/>
          </w:tcPr>
          <w:p w:rsidR="00592DA2" w:rsidRPr="0093582B" w:rsidRDefault="00592DA2" w:rsidP="00592DA2">
            <w:pPr>
              <w:spacing w:line="360" w:lineRule="auto"/>
              <w:jc w:val="center"/>
              <w:rPr>
                <w:rFonts w:ascii="Times New Roman" w:hAnsi="Times New Roman" w:cs="Times New Roman"/>
              </w:rPr>
            </w:pPr>
            <w:r w:rsidRPr="0093582B">
              <w:rPr>
                <w:rFonts w:ascii="Times New Roman" w:hAnsi="Times New Roman" w:cs="Times New Roman"/>
              </w:rPr>
              <w:t>42,9 (6)</w:t>
            </w:r>
          </w:p>
        </w:tc>
        <w:tc>
          <w:tcPr>
            <w:tcW w:w="1816" w:type="dxa"/>
          </w:tcPr>
          <w:p w:rsidR="00592DA2" w:rsidRPr="0093582B" w:rsidRDefault="00592DA2" w:rsidP="00592DA2">
            <w:pPr>
              <w:spacing w:line="360" w:lineRule="auto"/>
              <w:jc w:val="center"/>
              <w:rPr>
                <w:rFonts w:ascii="Times New Roman" w:hAnsi="Times New Roman" w:cs="Times New Roman"/>
              </w:rPr>
            </w:pPr>
            <w:r w:rsidRPr="0093582B">
              <w:rPr>
                <w:rFonts w:ascii="Times New Roman" w:hAnsi="Times New Roman" w:cs="Times New Roman"/>
              </w:rPr>
              <w:t>0 (0)</w:t>
            </w:r>
          </w:p>
        </w:tc>
      </w:tr>
      <w:tr w:rsidR="00592DA2" w:rsidRPr="0093582B" w:rsidTr="00592DA2">
        <w:trPr>
          <w:trHeight w:val="791"/>
        </w:trPr>
        <w:tc>
          <w:tcPr>
            <w:tcW w:w="2547" w:type="dxa"/>
          </w:tcPr>
          <w:p w:rsidR="00592DA2" w:rsidRPr="0093582B" w:rsidRDefault="00592DA2" w:rsidP="00592DA2">
            <w:pPr>
              <w:spacing w:line="276" w:lineRule="auto"/>
              <w:jc w:val="both"/>
              <w:rPr>
                <w:rFonts w:ascii="Times New Roman" w:hAnsi="Times New Roman" w:cs="Times New Roman"/>
              </w:rPr>
            </w:pPr>
            <w:r w:rsidRPr="0093582B">
              <w:rPr>
                <w:rFonts w:ascii="Times New Roman" w:hAnsi="Times New Roman" w:cs="Times New Roman"/>
              </w:rPr>
              <w:t>Левосторонний очаг, % (человек)</w:t>
            </w:r>
          </w:p>
        </w:tc>
        <w:tc>
          <w:tcPr>
            <w:tcW w:w="1630" w:type="dxa"/>
          </w:tcPr>
          <w:p w:rsidR="00592DA2" w:rsidRPr="0093582B" w:rsidRDefault="00592DA2" w:rsidP="00592DA2">
            <w:pPr>
              <w:spacing w:line="360" w:lineRule="auto"/>
              <w:jc w:val="center"/>
              <w:rPr>
                <w:rFonts w:ascii="Times New Roman" w:hAnsi="Times New Roman" w:cs="Times New Roman"/>
              </w:rPr>
            </w:pPr>
            <w:r w:rsidRPr="0093582B">
              <w:rPr>
                <w:rFonts w:ascii="Times New Roman" w:hAnsi="Times New Roman" w:cs="Times New Roman"/>
              </w:rPr>
              <w:t>75 (18)</w:t>
            </w:r>
          </w:p>
        </w:tc>
        <w:tc>
          <w:tcPr>
            <w:tcW w:w="1918" w:type="dxa"/>
          </w:tcPr>
          <w:p w:rsidR="00592DA2" w:rsidRPr="0093582B" w:rsidRDefault="00592DA2" w:rsidP="00592DA2">
            <w:pPr>
              <w:spacing w:line="360" w:lineRule="auto"/>
              <w:jc w:val="center"/>
              <w:rPr>
                <w:rFonts w:ascii="Times New Roman" w:hAnsi="Times New Roman" w:cs="Times New Roman"/>
              </w:rPr>
            </w:pPr>
            <w:r w:rsidRPr="0093582B">
              <w:rPr>
                <w:rFonts w:ascii="Times New Roman" w:hAnsi="Times New Roman" w:cs="Times New Roman"/>
              </w:rPr>
              <w:t>95,9 (23)</w:t>
            </w:r>
          </w:p>
        </w:tc>
        <w:tc>
          <w:tcPr>
            <w:tcW w:w="1838" w:type="dxa"/>
          </w:tcPr>
          <w:p w:rsidR="00592DA2" w:rsidRPr="0093582B" w:rsidRDefault="00592DA2" w:rsidP="00592DA2">
            <w:pPr>
              <w:spacing w:line="360" w:lineRule="auto"/>
              <w:jc w:val="center"/>
              <w:rPr>
                <w:rFonts w:ascii="Times New Roman" w:hAnsi="Times New Roman" w:cs="Times New Roman"/>
              </w:rPr>
            </w:pPr>
            <w:r w:rsidRPr="0093582B">
              <w:rPr>
                <w:rFonts w:ascii="Times New Roman" w:hAnsi="Times New Roman" w:cs="Times New Roman"/>
              </w:rPr>
              <w:t>29,1 (7)</w:t>
            </w:r>
          </w:p>
        </w:tc>
        <w:tc>
          <w:tcPr>
            <w:tcW w:w="1816" w:type="dxa"/>
          </w:tcPr>
          <w:p w:rsidR="00592DA2" w:rsidRPr="0093582B" w:rsidRDefault="00592DA2" w:rsidP="00274596">
            <w:pPr>
              <w:spacing w:line="360" w:lineRule="auto"/>
              <w:jc w:val="center"/>
              <w:rPr>
                <w:rFonts w:ascii="Times New Roman" w:hAnsi="Times New Roman" w:cs="Times New Roman"/>
              </w:rPr>
            </w:pPr>
            <w:r w:rsidRPr="0093582B">
              <w:rPr>
                <w:rFonts w:ascii="Times New Roman" w:hAnsi="Times New Roman" w:cs="Times New Roman"/>
              </w:rPr>
              <w:t>8,3 (2</w:t>
            </w:r>
            <w:r w:rsidR="00274596" w:rsidRPr="0093582B">
              <w:rPr>
                <w:rFonts w:ascii="Times New Roman" w:hAnsi="Times New Roman" w:cs="Times New Roman"/>
              </w:rPr>
              <w:t>)</w:t>
            </w:r>
          </w:p>
        </w:tc>
      </w:tr>
      <w:tr w:rsidR="00592DA2" w:rsidRPr="0093582B" w:rsidTr="00592DA2">
        <w:trPr>
          <w:trHeight w:val="240"/>
        </w:trPr>
        <w:tc>
          <w:tcPr>
            <w:tcW w:w="2547" w:type="dxa"/>
          </w:tcPr>
          <w:p w:rsidR="00592DA2" w:rsidRPr="0093582B" w:rsidRDefault="00592DA2" w:rsidP="00592DA2">
            <w:pPr>
              <w:spacing w:line="276" w:lineRule="auto"/>
              <w:rPr>
                <w:rFonts w:ascii="Times New Roman" w:hAnsi="Times New Roman" w:cs="Times New Roman"/>
              </w:rPr>
            </w:pPr>
            <w:r w:rsidRPr="0093582B">
              <w:rPr>
                <w:rFonts w:ascii="Times New Roman" w:hAnsi="Times New Roman" w:cs="Times New Roman"/>
              </w:rPr>
              <w:t>Р-value</w:t>
            </w:r>
          </w:p>
        </w:tc>
        <w:tc>
          <w:tcPr>
            <w:tcW w:w="1630" w:type="dxa"/>
          </w:tcPr>
          <w:p w:rsidR="00592DA2" w:rsidRPr="0093582B" w:rsidRDefault="001F7405" w:rsidP="00592DA2">
            <w:pPr>
              <w:spacing w:line="360" w:lineRule="auto"/>
              <w:jc w:val="center"/>
              <w:rPr>
                <w:rFonts w:ascii="Times New Roman" w:hAnsi="Times New Roman" w:cs="Times New Roman"/>
              </w:rPr>
            </w:pPr>
            <w:r w:rsidRPr="0093582B">
              <w:rPr>
                <w:rFonts w:ascii="Times New Roman" w:hAnsi="Times New Roman" w:cs="Times New Roman"/>
              </w:rPr>
              <w:t>0.803</w:t>
            </w:r>
          </w:p>
        </w:tc>
        <w:tc>
          <w:tcPr>
            <w:tcW w:w="1918" w:type="dxa"/>
          </w:tcPr>
          <w:p w:rsidR="00592DA2" w:rsidRPr="0093582B" w:rsidRDefault="001F7405" w:rsidP="00592DA2">
            <w:pPr>
              <w:spacing w:line="360" w:lineRule="auto"/>
              <w:jc w:val="center"/>
              <w:rPr>
                <w:rFonts w:ascii="Times New Roman" w:hAnsi="Times New Roman" w:cs="Times New Roman"/>
              </w:rPr>
            </w:pPr>
            <w:r w:rsidRPr="0093582B">
              <w:rPr>
                <w:rFonts w:ascii="Times New Roman" w:hAnsi="Times New Roman" w:cs="Times New Roman"/>
              </w:rPr>
              <w:t>0.439</w:t>
            </w:r>
          </w:p>
        </w:tc>
        <w:tc>
          <w:tcPr>
            <w:tcW w:w="1838" w:type="dxa"/>
          </w:tcPr>
          <w:p w:rsidR="00592DA2" w:rsidRPr="0093582B" w:rsidRDefault="001F7405" w:rsidP="00592DA2">
            <w:pPr>
              <w:spacing w:line="360" w:lineRule="auto"/>
              <w:jc w:val="center"/>
              <w:rPr>
                <w:rFonts w:ascii="Times New Roman" w:hAnsi="Times New Roman" w:cs="Times New Roman"/>
              </w:rPr>
            </w:pPr>
            <w:r w:rsidRPr="0093582B">
              <w:rPr>
                <w:rFonts w:ascii="Times New Roman" w:hAnsi="Times New Roman" w:cs="Times New Roman"/>
              </w:rPr>
              <w:t>0.391</w:t>
            </w:r>
          </w:p>
        </w:tc>
        <w:tc>
          <w:tcPr>
            <w:tcW w:w="1816" w:type="dxa"/>
          </w:tcPr>
          <w:p w:rsidR="00592DA2" w:rsidRPr="0093582B" w:rsidRDefault="001F7405" w:rsidP="00592DA2">
            <w:pPr>
              <w:spacing w:line="360" w:lineRule="auto"/>
              <w:jc w:val="center"/>
              <w:rPr>
                <w:rFonts w:ascii="Times New Roman" w:hAnsi="Times New Roman" w:cs="Times New Roman"/>
              </w:rPr>
            </w:pPr>
            <w:r w:rsidRPr="0093582B">
              <w:rPr>
                <w:rFonts w:ascii="Times New Roman" w:hAnsi="Times New Roman" w:cs="Times New Roman"/>
              </w:rPr>
              <w:t>0.268</w:t>
            </w:r>
          </w:p>
        </w:tc>
      </w:tr>
    </w:tbl>
    <w:p w:rsidR="00A03253" w:rsidRPr="0093582B" w:rsidRDefault="003B1692" w:rsidP="00A03253">
      <w:pPr>
        <w:pStyle w:val="a9"/>
        <w:spacing w:before="240"/>
      </w:pPr>
      <w:r w:rsidRPr="0093582B">
        <w:t>Как видно из таблицы, к</w:t>
      </w:r>
      <w:r w:rsidR="00FC43A1" w:rsidRPr="0093582B">
        <w:t>ритерий значимости p</w:t>
      </w:r>
      <w:r w:rsidR="001F7405" w:rsidRPr="0093582B">
        <w:t xml:space="preserve">&gt;0,05 во всех категориях, </w:t>
      </w:r>
      <w:r w:rsidRPr="0093582B">
        <w:t xml:space="preserve">что свидетельствует об отсутствии существенной значимости латерализации эпилептогенного очага в формировании </w:t>
      </w:r>
      <w:r w:rsidR="00FC43A1" w:rsidRPr="0093582B">
        <w:t>вид</w:t>
      </w:r>
      <w:r w:rsidRPr="0093582B">
        <w:t>а</w:t>
      </w:r>
      <w:r w:rsidR="00FC43A1" w:rsidRPr="0093582B">
        <w:t xml:space="preserve"> приступов</w:t>
      </w:r>
      <w:r w:rsidRPr="0093582B">
        <w:t xml:space="preserve">. Однако, отмечается тенденция к </w:t>
      </w:r>
      <w:r w:rsidR="009D0A82" w:rsidRPr="0093582B">
        <w:t>увели</w:t>
      </w:r>
      <w:r w:rsidR="006D673F" w:rsidRPr="0093582B">
        <w:t xml:space="preserve">чению доли фокальных приступов </w:t>
      </w:r>
      <w:r w:rsidR="009D0A82" w:rsidRPr="0093582B">
        <w:t xml:space="preserve">с сохранением сознания при правосторонних очагах (почти в 1,5 раза чаще, чем при левосторонних), а тенденция к развитию эпилептического </w:t>
      </w:r>
      <w:r w:rsidR="004F6F07" w:rsidRPr="0093582B">
        <w:t xml:space="preserve">статуса – при </w:t>
      </w:r>
      <w:r w:rsidR="009D0A82" w:rsidRPr="0093582B">
        <w:t>левост</w:t>
      </w:r>
      <w:r w:rsidR="00F96670" w:rsidRPr="0093582B">
        <w:t>оронних</w:t>
      </w:r>
      <w:r w:rsidR="009D0A82" w:rsidRPr="0093582B">
        <w:t>.</w:t>
      </w:r>
    </w:p>
    <w:p w:rsidR="00431D6B" w:rsidRPr="0093582B" w:rsidRDefault="007E4909" w:rsidP="00431D6B">
      <w:pPr>
        <w:pStyle w:val="a9"/>
      </w:pPr>
      <w:r w:rsidRPr="0093582B">
        <w:lastRenderedPageBreak/>
        <w:t>В</w:t>
      </w:r>
      <w:r w:rsidR="00472E61" w:rsidRPr="0093582B">
        <w:t>ыделены следующие критерии для оценки частоты эпилептических приступов:</w:t>
      </w:r>
      <w:r w:rsidR="00431D6B" w:rsidRPr="0093582B">
        <w:t xml:space="preserve"> очень редкие – 1 раз в год и реже; редкие – несколько раз в год, но не чаще одного раза в месяц; средней частоты – несколько раз в месяц (2-5, но не чаще одного раза в неделю); частые – 5 – 6 и более раз в месяц (чаще одного раза в неделю); очень частые – ежедневные приступы. </w:t>
      </w:r>
    </w:p>
    <w:p w:rsidR="00431D6B" w:rsidRPr="0093582B" w:rsidRDefault="00431D6B" w:rsidP="00431D6B">
      <w:pPr>
        <w:pStyle w:val="a9"/>
      </w:pPr>
      <w:r w:rsidRPr="0093582B">
        <w:t xml:space="preserve">Среди </w:t>
      </w:r>
      <w:r w:rsidR="00443A5C" w:rsidRPr="0093582B">
        <w:t>об</w:t>
      </w:r>
      <w:r w:rsidRPr="0093582B">
        <w:t xml:space="preserve">следуемых пациентов встречались </w:t>
      </w:r>
      <w:r w:rsidR="00261A12" w:rsidRPr="0093582B">
        <w:t xml:space="preserve">лица с частотой </w:t>
      </w:r>
      <w:r w:rsidRPr="0093582B">
        <w:t>приступ</w:t>
      </w:r>
      <w:r w:rsidR="00261A12" w:rsidRPr="0093582B">
        <w:t>ов</w:t>
      </w:r>
      <w:r w:rsidRPr="0093582B">
        <w:t xml:space="preserve"> средней частоты, частые и очень частые. Распределение различной частоты приступов по локализациям эпилептогенного очага представлены в таблице 3.</w:t>
      </w:r>
    </w:p>
    <w:p w:rsidR="00431D6B" w:rsidRPr="0093582B" w:rsidRDefault="00431D6B" w:rsidP="004F6F07">
      <w:pPr>
        <w:jc w:val="right"/>
      </w:pPr>
      <w:r w:rsidRPr="0093582B">
        <w:t>Т</w:t>
      </w:r>
      <w:r w:rsidR="00E90219" w:rsidRPr="0093582B">
        <w:t>аблица 3</w:t>
      </w:r>
      <w:r w:rsidR="00274596" w:rsidRPr="0093582B">
        <w:t xml:space="preserve">. </w:t>
      </w:r>
      <w:r w:rsidRPr="0093582B">
        <w:t>Частота эпилептических приступов у пациентов с право- и левосторонней локализацией очага</w:t>
      </w:r>
    </w:p>
    <w:tbl>
      <w:tblPr>
        <w:tblStyle w:val="12"/>
        <w:tblW w:w="9767" w:type="dxa"/>
        <w:tblLayout w:type="fixed"/>
        <w:tblLook w:val="04A0" w:firstRow="1" w:lastRow="0" w:firstColumn="1" w:lastColumn="0" w:noHBand="0" w:noVBand="1"/>
      </w:tblPr>
      <w:tblGrid>
        <w:gridCol w:w="3114"/>
        <w:gridCol w:w="1840"/>
        <w:gridCol w:w="2041"/>
        <w:gridCol w:w="2772"/>
      </w:tblGrid>
      <w:tr w:rsidR="00431D6B" w:rsidRPr="0093582B" w:rsidTr="00F96670">
        <w:trPr>
          <w:trHeight w:val="1340"/>
        </w:trPr>
        <w:tc>
          <w:tcPr>
            <w:tcW w:w="3114" w:type="dxa"/>
            <w:tcBorders>
              <w:tr2bl w:val="single" w:sz="4" w:space="0" w:color="auto"/>
            </w:tcBorders>
          </w:tcPr>
          <w:p w:rsidR="00431D6B" w:rsidRPr="0093582B" w:rsidRDefault="00431D6B" w:rsidP="0008766B">
            <w:pPr>
              <w:jc w:val="both"/>
              <w:rPr>
                <w:rFonts w:ascii="Times New Roman" w:hAnsi="Times New Roman" w:cs="Times New Roman"/>
              </w:rPr>
            </w:pPr>
            <w:r w:rsidRPr="0093582B">
              <w:rPr>
                <w:rFonts w:ascii="Times New Roman" w:hAnsi="Times New Roman" w:cs="Times New Roman"/>
              </w:rPr>
              <w:t>Частота</w:t>
            </w:r>
          </w:p>
          <w:p w:rsidR="00431D6B" w:rsidRPr="0093582B" w:rsidRDefault="00431D6B" w:rsidP="0008766B">
            <w:pPr>
              <w:rPr>
                <w:rFonts w:ascii="Times New Roman" w:hAnsi="Times New Roman" w:cs="Times New Roman"/>
              </w:rPr>
            </w:pPr>
            <w:r w:rsidRPr="0093582B">
              <w:rPr>
                <w:rFonts w:ascii="Times New Roman" w:hAnsi="Times New Roman" w:cs="Times New Roman"/>
              </w:rPr>
              <w:t>приступов</w:t>
            </w:r>
          </w:p>
          <w:p w:rsidR="00431D6B" w:rsidRPr="0093582B" w:rsidRDefault="00431D6B" w:rsidP="0008766B">
            <w:pPr>
              <w:spacing w:line="360" w:lineRule="auto"/>
              <w:jc w:val="right"/>
              <w:rPr>
                <w:rFonts w:ascii="Times New Roman" w:hAnsi="Times New Roman" w:cs="Times New Roman"/>
              </w:rPr>
            </w:pPr>
            <w:r w:rsidRPr="0093582B">
              <w:rPr>
                <w:rFonts w:ascii="Times New Roman" w:hAnsi="Times New Roman" w:cs="Times New Roman"/>
              </w:rPr>
              <w:t xml:space="preserve">                         Группа</w:t>
            </w:r>
          </w:p>
        </w:tc>
        <w:tc>
          <w:tcPr>
            <w:tcW w:w="1840" w:type="dxa"/>
          </w:tcPr>
          <w:p w:rsidR="00431D6B" w:rsidRPr="0093582B" w:rsidRDefault="00431D6B" w:rsidP="0008766B">
            <w:pPr>
              <w:jc w:val="center"/>
              <w:rPr>
                <w:rFonts w:ascii="Times New Roman" w:hAnsi="Times New Roman" w:cs="Times New Roman"/>
              </w:rPr>
            </w:pPr>
          </w:p>
          <w:p w:rsidR="00431D6B" w:rsidRPr="0093582B" w:rsidRDefault="00431D6B" w:rsidP="0008766B">
            <w:pPr>
              <w:jc w:val="center"/>
              <w:rPr>
                <w:rFonts w:ascii="Times New Roman" w:hAnsi="Times New Roman" w:cs="Times New Roman"/>
              </w:rPr>
            </w:pPr>
            <w:r w:rsidRPr="0093582B">
              <w:rPr>
                <w:rFonts w:ascii="Times New Roman" w:hAnsi="Times New Roman" w:cs="Times New Roman"/>
              </w:rPr>
              <w:t>Средней частоты,</w:t>
            </w:r>
          </w:p>
          <w:p w:rsidR="00431D6B" w:rsidRPr="0093582B" w:rsidRDefault="00431D6B" w:rsidP="0008766B">
            <w:pPr>
              <w:jc w:val="center"/>
              <w:rPr>
                <w:rFonts w:ascii="Times New Roman" w:hAnsi="Times New Roman" w:cs="Times New Roman"/>
              </w:rPr>
            </w:pPr>
            <w:r w:rsidRPr="0093582B">
              <w:rPr>
                <w:rFonts w:ascii="Times New Roman" w:hAnsi="Times New Roman" w:cs="Times New Roman"/>
              </w:rPr>
              <w:t xml:space="preserve"> 2-5 раз в месяц</w:t>
            </w:r>
          </w:p>
        </w:tc>
        <w:tc>
          <w:tcPr>
            <w:tcW w:w="2041" w:type="dxa"/>
          </w:tcPr>
          <w:p w:rsidR="00431D6B" w:rsidRPr="0093582B" w:rsidRDefault="00431D6B" w:rsidP="0008766B">
            <w:pPr>
              <w:jc w:val="center"/>
              <w:rPr>
                <w:rFonts w:ascii="Times New Roman" w:hAnsi="Times New Roman" w:cs="Times New Roman"/>
              </w:rPr>
            </w:pPr>
          </w:p>
          <w:p w:rsidR="00431D6B" w:rsidRPr="0093582B" w:rsidRDefault="00431D6B" w:rsidP="0008766B">
            <w:pPr>
              <w:jc w:val="center"/>
              <w:rPr>
                <w:rFonts w:ascii="Times New Roman" w:hAnsi="Times New Roman" w:cs="Times New Roman"/>
              </w:rPr>
            </w:pPr>
            <w:r w:rsidRPr="0093582B">
              <w:rPr>
                <w:rFonts w:ascii="Times New Roman" w:hAnsi="Times New Roman" w:cs="Times New Roman"/>
              </w:rPr>
              <w:t xml:space="preserve">Частые, </w:t>
            </w:r>
          </w:p>
          <w:p w:rsidR="00431D6B" w:rsidRPr="0093582B" w:rsidRDefault="00431D6B" w:rsidP="0008766B">
            <w:pPr>
              <w:jc w:val="center"/>
              <w:rPr>
                <w:rFonts w:ascii="Times New Roman" w:hAnsi="Times New Roman" w:cs="Times New Roman"/>
              </w:rPr>
            </w:pPr>
            <w:r w:rsidRPr="0093582B">
              <w:rPr>
                <w:rFonts w:ascii="Times New Roman" w:hAnsi="Times New Roman" w:cs="Times New Roman"/>
              </w:rPr>
              <w:t>5-6 раз в месяц</w:t>
            </w:r>
          </w:p>
        </w:tc>
        <w:tc>
          <w:tcPr>
            <w:tcW w:w="2772" w:type="dxa"/>
          </w:tcPr>
          <w:p w:rsidR="00431D6B" w:rsidRPr="0093582B" w:rsidRDefault="00431D6B" w:rsidP="0008766B">
            <w:pPr>
              <w:jc w:val="center"/>
              <w:rPr>
                <w:rFonts w:ascii="Times New Roman" w:hAnsi="Times New Roman" w:cs="Times New Roman"/>
              </w:rPr>
            </w:pPr>
          </w:p>
          <w:p w:rsidR="00431D6B" w:rsidRPr="0093582B" w:rsidRDefault="00431D6B" w:rsidP="0008766B">
            <w:pPr>
              <w:jc w:val="center"/>
              <w:rPr>
                <w:rFonts w:ascii="Times New Roman" w:hAnsi="Times New Roman" w:cs="Times New Roman"/>
              </w:rPr>
            </w:pPr>
            <w:r w:rsidRPr="0093582B">
              <w:rPr>
                <w:rFonts w:ascii="Times New Roman" w:hAnsi="Times New Roman" w:cs="Times New Roman"/>
              </w:rPr>
              <w:t>Очень частые, ежедневные</w:t>
            </w:r>
          </w:p>
        </w:tc>
      </w:tr>
      <w:tr w:rsidR="00431D6B" w:rsidRPr="0093582B" w:rsidTr="00F96670">
        <w:trPr>
          <w:trHeight w:val="625"/>
        </w:trPr>
        <w:tc>
          <w:tcPr>
            <w:tcW w:w="3114" w:type="dxa"/>
          </w:tcPr>
          <w:p w:rsidR="00431D6B" w:rsidRPr="0093582B" w:rsidRDefault="00431D6B" w:rsidP="00F96670">
            <w:pPr>
              <w:spacing w:line="276" w:lineRule="auto"/>
              <w:jc w:val="both"/>
              <w:rPr>
                <w:rFonts w:ascii="Times New Roman" w:hAnsi="Times New Roman" w:cs="Times New Roman"/>
              </w:rPr>
            </w:pPr>
            <w:r w:rsidRPr="0093582B">
              <w:rPr>
                <w:rFonts w:ascii="Times New Roman" w:hAnsi="Times New Roman" w:cs="Times New Roman"/>
              </w:rPr>
              <w:t>Правосторонний очаг, % (</w:t>
            </w:r>
            <w:r w:rsidR="00F96670" w:rsidRPr="0093582B">
              <w:rPr>
                <w:rFonts w:ascii="Times New Roman" w:hAnsi="Times New Roman" w:cs="Times New Roman"/>
                <w:lang w:val="en-US"/>
              </w:rPr>
              <w:t>n</w:t>
            </w:r>
            <w:r w:rsidRPr="0093582B">
              <w:rPr>
                <w:rFonts w:ascii="Times New Roman" w:hAnsi="Times New Roman" w:cs="Times New Roman"/>
              </w:rPr>
              <w:t>)</w:t>
            </w:r>
          </w:p>
        </w:tc>
        <w:tc>
          <w:tcPr>
            <w:tcW w:w="1840" w:type="dxa"/>
          </w:tcPr>
          <w:p w:rsidR="00431D6B" w:rsidRPr="0093582B" w:rsidRDefault="00E90219" w:rsidP="0008766B">
            <w:pPr>
              <w:spacing w:line="360" w:lineRule="auto"/>
              <w:jc w:val="center"/>
              <w:rPr>
                <w:rFonts w:ascii="Times New Roman" w:hAnsi="Times New Roman" w:cs="Times New Roman"/>
              </w:rPr>
            </w:pPr>
            <w:r w:rsidRPr="0093582B">
              <w:rPr>
                <w:rFonts w:ascii="Times New Roman" w:hAnsi="Times New Roman" w:cs="Times New Roman"/>
              </w:rPr>
              <w:t xml:space="preserve"> 21,4</w:t>
            </w:r>
            <w:r w:rsidR="00431D6B" w:rsidRPr="0093582B">
              <w:rPr>
                <w:rFonts w:ascii="Times New Roman" w:hAnsi="Times New Roman" w:cs="Times New Roman"/>
              </w:rPr>
              <w:t xml:space="preserve"> (3)</w:t>
            </w:r>
          </w:p>
        </w:tc>
        <w:tc>
          <w:tcPr>
            <w:tcW w:w="2041" w:type="dxa"/>
          </w:tcPr>
          <w:p w:rsidR="00431D6B" w:rsidRPr="0093582B" w:rsidRDefault="00E90219" w:rsidP="0008766B">
            <w:pPr>
              <w:spacing w:line="360" w:lineRule="auto"/>
              <w:jc w:val="center"/>
              <w:rPr>
                <w:rFonts w:ascii="Times New Roman" w:hAnsi="Times New Roman" w:cs="Times New Roman"/>
              </w:rPr>
            </w:pPr>
            <w:r w:rsidRPr="0093582B">
              <w:rPr>
                <w:rFonts w:ascii="Times New Roman" w:hAnsi="Times New Roman" w:cs="Times New Roman"/>
              </w:rPr>
              <w:t>35,7</w:t>
            </w:r>
            <w:r w:rsidR="00431D6B" w:rsidRPr="0093582B">
              <w:rPr>
                <w:rFonts w:ascii="Times New Roman" w:hAnsi="Times New Roman" w:cs="Times New Roman"/>
              </w:rPr>
              <w:t xml:space="preserve"> (5)</w:t>
            </w:r>
          </w:p>
        </w:tc>
        <w:tc>
          <w:tcPr>
            <w:tcW w:w="2772" w:type="dxa"/>
          </w:tcPr>
          <w:p w:rsidR="00431D6B" w:rsidRPr="0093582B" w:rsidRDefault="00E90219" w:rsidP="0008766B">
            <w:pPr>
              <w:spacing w:line="360" w:lineRule="auto"/>
              <w:jc w:val="center"/>
              <w:rPr>
                <w:rFonts w:ascii="Times New Roman" w:hAnsi="Times New Roman" w:cs="Times New Roman"/>
              </w:rPr>
            </w:pPr>
            <w:r w:rsidRPr="0093582B">
              <w:rPr>
                <w:rFonts w:ascii="Times New Roman" w:hAnsi="Times New Roman" w:cs="Times New Roman"/>
              </w:rPr>
              <w:t>42,9</w:t>
            </w:r>
            <w:r w:rsidR="00431D6B" w:rsidRPr="0093582B">
              <w:rPr>
                <w:rFonts w:ascii="Times New Roman" w:hAnsi="Times New Roman" w:cs="Times New Roman"/>
              </w:rPr>
              <w:t xml:space="preserve"> (6)</w:t>
            </w:r>
          </w:p>
        </w:tc>
      </w:tr>
      <w:tr w:rsidR="00431D6B" w:rsidRPr="0093582B" w:rsidTr="00F96670">
        <w:trPr>
          <w:trHeight w:val="534"/>
        </w:trPr>
        <w:tc>
          <w:tcPr>
            <w:tcW w:w="3114" w:type="dxa"/>
          </w:tcPr>
          <w:p w:rsidR="00431D6B" w:rsidRPr="0093582B" w:rsidRDefault="00F96670" w:rsidP="0008766B">
            <w:pPr>
              <w:spacing w:line="276" w:lineRule="auto"/>
              <w:jc w:val="both"/>
              <w:rPr>
                <w:rFonts w:ascii="Times New Roman" w:hAnsi="Times New Roman" w:cs="Times New Roman"/>
              </w:rPr>
            </w:pPr>
            <w:r w:rsidRPr="0093582B">
              <w:rPr>
                <w:rFonts w:ascii="Times New Roman" w:hAnsi="Times New Roman" w:cs="Times New Roman"/>
              </w:rPr>
              <w:t>Левосторонний очаг, % (n</w:t>
            </w:r>
            <w:r w:rsidR="00431D6B" w:rsidRPr="0093582B">
              <w:rPr>
                <w:rFonts w:ascii="Times New Roman" w:hAnsi="Times New Roman" w:cs="Times New Roman"/>
              </w:rPr>
              <w:t>)</w:t>
            </w:r>
          </w:p>
        </w:tc>
        <w:tc>
          <w:tcPr>
            <w:tcW w:w="1840" w:type="dxa"/>
          </w:tcPr>
          <w:p w:rsidR="00431D6B" w:rsidRPr="0093582B" w:rsidRDefault="00E90219" w:rsidP="0008766B">
            <w:pPr>
              <w:spacing w:line="360" w:lineRule="auto"/>
              <w:jc w:val="center"/>
              <w:rPr>
                <w:rFonts w:ascii="Times New Roman" w:hAnsi="Times New Roman" w:cs="Times New Roman"/>
              </w:rPr>
            </w:pPr>
            <w:r w:rsidRPr="0093582B">
              <w:rPr>
                <w:rFonts w:ascii="Times New Roman" w:hAnsi="Times New Roman" w:cs="Times New Roman"/>
              </w:rPr>
              <w:t>41,7 (10</w:t>
            </w:r>
            <w:r w:rsidR="00431D6B" w:rsidRPr="0093582B">
              <w:rPr>
                <w:rFonts w:ascii="Times New Roman" w:hAnsi="Times New Roman" w:cs="Times New Roman"/>
              </w:rPr>
              <w:t>)</w:t>
            </w:r>
          </w:p>
        </w:tc>
        <w:tc>
          <w:tcPr>
            <w:tcW w:w="2041" w:type="dxa"/>
          </w:tcPr>
          <w:p w:rsidR="00431D6B" w:rsidRPr="0093582B" w:rsidRDefault="00E90219" w:rsidP="0008766B">
            <w:pPr>
              <w:spacing w:line="360" w:lineRule="auto"/>
              <w:jc w:val="center"/>
              <w:rPr>
                <w:rFonts w:ascii="Times New Roman" w:hAnsi="Times New Roman" w:cs="Times New Roman"/>
              </w:rPr>
            </w:pPr>
            <w:r w:rsidRPr="0093582B">
              <w:rPr>
                <w:rFonts w:ascii="Times New Roman" w:hAnsi="Times New Roman" w:cs="Times New Roman"/>
              </w:rPr>
              <w:t>25 (6</w:t>
            </w:r>
            <w:r w:rsidR="00431D6B" w:rsidRPr="0093582B">
              <w:rPr>
                <w:rFonts w:ascii="Times New Roman" w:hAnsi="Times New Roman" w:cs="Times New Roman"/>
              </w:rPr>
              <w:t>)</w:t>
            </w:r>
          </w:p>
        </w:tc>
        <w:tc>
          <w:tcPr>
            <w:tcW w:w="2772" w:type="dxa"/>
          </w:tcPr>
          <w:p w:rsidR="00431D6B" w:rsidRPr="0093582B" w:rsidRDefault="00E90219" w:rsidP="0008766B">
            <w:pPr>
              <w:spacing w:line="360" w:lineRule="auto"/>
              <w:jc w:val="center"/>
              <w:rPr>
                <w:rFonts w:ascii="Times New Roman" w:hAnsi="Times New Roman" w:cs="Times New Roman"/>
              </w:rPr>
            </w:pPr>
            <w:r w:rsidRPr="0093582B">
              <w:rPr>
                <w:rFonts w:ascii="Times New Roman" w:hAnsi="Times New Roman" w:cs="Times New Roman"/>
              </w:rPr>
              <w:t>33,3 (8</w:t>
            </w:r>
            <w:r w:rsidR="00431D6B" w:rsidRPr="0093582B">
              <w:rPr>
                <w:rFonts w:ascii="Times New Roman" w:hAnsi="Times New Roman" w:cs="Times New Roman"/>
              </w:rPr>
              <w:t>)</w:t>
            </w:r>
          </w:p>
        </w:tc>
      </w:tr>
      <w:tr w:rsidR="00F96670" w:rsidRPr="0093582B" w:rsidTr="00F96670">
        <w:trPr>
          <w:trHeight w:val="333"/>
        </w:trPr>
        <w:tc>
          <w:tcPr>
            <w:tcW w:w="3114" w:type="dxa"/>
          </w:tcPr>
          <w:p w:rsidR="00F96670" w:rsidRPr="0093582B" w:rsidRDefault="00F96670" w:rsidP="0008766B">
            <w:pPr>
              <w:spacing w:line="276" w:lineRule="auto"/>
              <w:jc w:val="both"/>
              <w:rPr>
                <w:rFonts w:ascii="Times New Roman" w:hAnsi="Times New Roman" w:cs="Times New Roman"/>
              </w:rPr>
            </w:pPr>
            <w:r w:rsidRPr="0093582B">
              <w:rPr>
                <w:rFonts w:ascii="Times New Roman" w:hAnsi="Times New Roman" w:cs="Times New Roman"/>
              </w:rPr>
              <w:t>Р-value</w:t>
            </w:r>
          </w:p>
        </w:tc>
        <w:tc>
          <w:tcPr>
            <w:tcW w:w="1840" w:type="dxa"/>
          </w:tcPr>
          <w:p w:rsidR="00F96670" w:rsidRPr="0093582B" w:rsidRDefault="00F96670" w:rsidP="0008766B">
            <w:pPr>
              <w:spacing w:line="360" w:lineRule="auto"/>
              <w:jc w:val="center"/>
              <w:rPr>
                <w:rFonts w:ascii="Times New Roman" w:hAnsi="Times New Roman" w:cs="Times New Roman"/>
              </w:rPr>
            </w:pPr>
            <w:r w:rsidRPr="0093582B">
              <w:rPr>
                <w:rFonts w:ascii="Times New Roman" w:hAnsi="Times New Roman" w:cs="Times New Roman"/>
              </w:rPr>
              <w:t>0,205</w:t>
            </w:r>
          </w:p>
        </w:tc>
        <w:tc>
          <w:tcPr>
            <w:tcW w:w="2041" w:type="dxa"/>
          </w:tcPr>
          <w:p w:rsidR="00F96670" w:rsidRPr="0093582B" w:rsidRDefault="00F96670" w:rsidP="0008766B">
            <w:pPr>
              <w:spacing w:line="360" w:lineRule="auto"/>
              <w:jc w:val="center"/>
              <w:rPr>
                <w:rFonts w:ascii="Times New Roman" w:hAnsi="Times New Roman" w:cs="Times New Roman"/>
              </w:rPr>
            </w:pPr>
            <w:r w:rsidRPr="0093582B">
              <w:rPr>
                <w:rFonts w:ascii="Times New Roman" w:hAnsi="Times New Roman" w:cs="Times New Roman"/>
              </w:rPr>
              <w:t>0,483</w:t>
            </w:r>
          </w:p>
        </w:tc>
        <w:tc>
          <w:tcPr>
            <w:tcW w:w="2772" w:type="dxa"/>
          </w:tcPr>
          <w:p w:rsidR="00F96670" w:rsidRPr="0093582B" w:rsidRDefault="00F96670" w:rsidP="0008766B">
            <w:pPr>
              <w:spacing w:line="360" w:lineRule="auto"/>
              <w:jc w:val="center"/>
              <w:rPr>
                <w:rFonts w:ascii="Times New Roman" w:hAnsi="Times New Roman" w:cs="Times New Roman"/>
              </w:rPr>
            </w:pPr>
            <w:r w:rsidRPr="0093582B">
              <w:rPr>
                <w:rFonts w:ascii="Times New Roman" w:hAnsi="Times New Roman" w:cs="Times New Roman"/>
              </w:rPr>
              <w:t>0,558</w:t>
            </w:r>
          </w:p>
        </w:tc>
      </w:tr>
    </w:tbl>
    <w:p w:rsidR="00592DA2" w:rsidRPr="0093582B" w:rsidRDefault="00F96670" w:rsidP="00274596">
      <w:pPr>
        <w:pStyle w:val="a9"/>
        <w:spacing w:before="240"/>
      </w:pPr>
      <w:r w:rsidRPr="0093582B">
        <w:rPr>
          <w:lang w:val="en-US"/>
        </w:rPr>
        <w:t>P</w:t>
      </w:r>
      <w:r w:rsidRPr="0093582B">
        <w:t>-</w:t>
      </w:r>
      <w:r w:rsidRPr="0093582B">
        <w:rPr>
          <w:lang w:val="en-US"/>
        </w:rPr>
        <w:t>value</w:t>
      </w:r>
      <w:r w:rsidRPr="0093582B">
        <w:t xml:space="preserve"> для всех критериев сравнения</w:t>
      </w:r>
      <w:r w:rsidR="00BA17E2" w:rsidRPr="0093582B">
        <w:t xml:space="preserve"> </w:t>
      </w:r>
      <w:r w:rsidR="001F7405" w:rsidRPr="0093582B">
        <w:t>&gt;0,05</w:t>
      </w:r>
      <w:r w:rsidRPr="0093582B">
        <w:t xml:space="preserve">, что говорит об отсутствии статистически значимых отличий в данных группах. </w:t>
      </w:r>
      <w:r w:rsidR="00BA17E2" w:rsidRPr="0093582B">
        <w:t>Тем не менее, обращает на себя внимание преобладание при правосторонних очагах частых (в 1,4 раза) и очень частых приступов (в 1,3 раза) по сравнению с левосторонними очагами.</w:t>
      </w:r>
    </w:p>
    <w:p w:rsidR="00D56AD1" w:rsidRPr="0093582B" w:rsidRDefault="003A071D" w:rsidP="00E90219">
      <w:pPr>
        <w:pStyle w:val="a9"/>
      </w:pPr>
      <w:r w:rsidRPr="0093582B">
        <w:t xml:space="preserve">Было проведено сравнение формирования контрлатеральной </w:t>
      </w:r>
      <w:r w:rsidR="00F96670" w:rsidRPr="0093582B">
        <w:t xml:space="preserve">эпилептической </w:t>
      </w:r>
      <w:r w:rsidRPr="0093582B">
        <w:t>активности у пациентов в зависимости</w:t>
      </w:r>
      <w:r w:rsidR="00A412DD" w:rsidRPr="0093582B">
        <w:t xml:space="preserve"> </w:t>
      </w:r>
      <w:r w:rsidRPr="0093582B">
        <w:t>от стажа заболевания.</w:t>
      </w:r>
      <w:r w:rsidR="00A412DD" w:rsidRPr="0093582B">
        <w:t xml:space="preserve"> Средний стаж заболевания составил </w:t>
      </w:r>
      <w:r w:rsidR="0056562D" w:rsidRPr="0093582B">
        <w:t xml:space="preserve">22,1±11,9 лет, медиана </w:t>
      </w:r>
      <w:r w:rsidR="002C6DB8" w:rsidRPr="0093582B">
        <w:t xml:space="preserve"> - </w:t>
      </w:r>
      <w:r w:rsidR="0056562D" w:rsidRPr="0093582B">
        <w:t>21 год.</w:t>
      </w:r>
      <w:r w:rsidRPr="0093582B">
        <w:t xml:space="preserve"> </w:t>
      </w:r>
      <w:r w:rsidR="00261A12" w:rsidRPr="0093582B">
        <w:t>В связи с этим б</w:t>
      </w:r>
      <w:r w:rsidRPr="0093582B">
        <w:t xml:space="preserve">ыли выделены 2 группы пациентов: </w:t>
      </w:r>
      <w:r w:rsidRPr="0093582B">
        <w:rPr>
          <w:lang w:val="en-US"/>
        </w:rPr>
        <w:t>I</w:t>
      </w:r>
      <w:r w:rsidRPr="0093582B">
        <w:t xml:space="preserve"> - стаж заболевания</w:t>
      </w:r>
      <w:r w:rsidR="006B58D5" w:rsidRPr="0093582B">
        <w:t xml:space="preserve"> </w:t>
      </w:r>
      <w:r w:rsidR="006B58D5" w:rsidRPr="0093582B">
        <w:rPr>
          <w:rFonts w:cstheme="minorHAnsi"/>
        </w:rPr>
        <w:t>≥</w:t>
      </w:r>
      <w:r w:rsidR="0056562D" w:rsidRPr="0093582B">
        <w:t>21</w:t>
      </w:r>
      <w:r w:rsidRPr="0093582B">
        <w:t xml:space="preserve"> </w:t>
      </w:r>
      <w:r w:rsidR="006B58D5" w:rsidRPr="0093582B">
        <w:t>год</w:t>
      </w:r>
      <w:r w:rsidR="00443A5C" w:rsidRPr="0093582B">
        <w:t>а</w:t>
      </w:r>
      <w:r w:rsidR="00DA7702" w:rsidRPr="0093582B">
        <w:t xml:space="preserve"> (20</w:t>
      </w:r>
      <w:r w:rsidR="00261A12" w:rsidRPr="0093582B">
        <w:t xml:space="preserve"> человек</w:t>
      </w:r>
      <w:r w:rsidRPr="0093582B">
        <w:t xml:space="preserve">), </w:t>
      </w:r>
      <w:r w:rsidRPr="0093582B">
        <w:rPr>
          <w:lang w:val="en-US"/>
        </w:rPr>
        <w:t>II</w:t>
      </w:r>
      <w:r w:rsidRPr="0093582B">
        <w:t xml:space="preserve"> – стаж заболевания </w:t>
      </w:r>
      <w:r w:rsidR="0056562D" w:rsidRPr="0093582B">
        <w:t>&lt;21</w:t>
      </w:r>
      <w:r w:rsidRPr="0093582B">
        <w:t xml:space="preserve"> </w:t>
      </w:r>
      <w:r w:rsidR="006B58D5" w:rsidRPr="0093582B">
        <w:t>год</w:t>
      </w:r>
      <w:r w:rsidR="00443A5C" w:rsidRPr="0093582B">
        <w:t>а</w:t>
      </w:r>
      <w:r w:rsidR="00DA7702" w:rsidRPr="0093582B">
        <w:t xml:space="preserve"> (18</w:t>
      </w:r>
      <w:r w:rsidR="00261A12" w:rsidRPr="0093582B">
        <w:t xml:space="preserve"> человек</w:t>
      </w:r>
      <w:r w:rsidRPr="0093582B">
        <w:t>). Отличия групп в формировании эпилептогенной активности в противоположном очагу полушарии представлены в таблице 4.</w:t>
      </w:r>
    </w:p>
    <w:p w:rsidR="00D56AD1" w:rsidRPr="0093582B" w:rsidRDefault="00D56AD1">
      <w:pPr>
        <w:rPr>
          <w:sz w:val="28"/>
        </w:rPr>
      </w:pPr>
      <w:r w:rsidRPr="0093582B">
        <w:br w:type="page"/>
      </w:r>
    </w:p>
    <w:p w:rsidR="003A071D" w:rsidRPr="0093582B" w:rsidRDefault="003A071D" w:rsidP="00E90219">
      <w:pPr>
        <w:pStyle w:val="a9"/>
      </w:pPr>
    </w:p>
    <w:p w:rsidR="003A071D" w:rsidRPr="0093582B" w:rsidRDefault="003A071D" w:rsidP="004F6F07">
      <w:r w:rsidRPr="0093582B">
        <w:t>Таблица 4</w:t>
      </w:r>
      <w:r w:rsidR="00274596" w:rsidRPr="0093582B">
        <w:t xml:space="preserve">. </w:t>
      </w:r>
      <w:r w:rsidRPr="0093582B">
        <w:t xml:space="preserve">Контрлатеральная активность </w:t>
      </w:r>
      <w:r w:rsidRPr="0093582B">
        <w:rPr>
          <w:rFonts w:eastAsia="Calibri"/>
          <w:lang w:eastAsia="en-US"/>
        </w:rPr>
        <w:t>у пациентов в зависимости от стажа заболевания</w:t>
      </w:r>
    </w:p>
    <w:tbl>
      <w:tblPr>
        <w:tblStyle w:val="ae"/>
        <w:tblW w:w="9755" w:type="dxa"/>
        <w:tblInd w:w="-5" w:type="dxa"/>
        <w:tblLook w:val="04A0" w:firstRow="1" w:lastRow="0" w:firstColumn="1" w:lastColumn="0" w:noHBand="0" w:noVBand="1"/>
      </w:tblPr>
      <w:tblGrid>
        <w:gridCol w:w="6301"/>
        <w:gridCol w:w="3454"/>
      </w:tblGrid>
      <w:tr w:rsidR="003A071D" w:rsidRPr="0093582B" w:rsidTr="00274596">
        <w:trPr>
          <w:trHeight w:val="1057"/>
        </w:trPr>
        <w:tc>
          <w:tcPr>
            <w:tcW w:w="6301" w:type="dxa"/>
            <w:tcBorders>
              <w:tr2bl w:val="single" w:sz="4" w:space="0" w:color="auto"/>
            </w:tcBorders>
          </w:tcPr>
          <w:p w:rsidR="003A071D" w:rsidRPr="0093582B" w:rsidRDefault="00274596" w:rsidP="0008766B">
            <w:pPr>
              <w:spacing w:line="360" w:lineRule="auto"/>
              <w:rPr>
                <w:rFonts w:cs="Times New Roman"/>
              </w:rPr>
            </w:pPr>
            <w:r w:rsidRPr="0093582B">
              <w:rPr>
                <w:rFonts w:cs="Times New Roman"/>
              </w:rPr>
              <w:t>Контрлатеральная активность</w:t>
            </w:r>
          </w:p>
          <w:p w:rsidR="003A071D" w:rsidRPr="0093582B" w:rsidRDefault="003A071D" w:rsidP="00274596">
            <w:pPr>
              <w:spacing w:line="360" w:lineRule="auto"/>
              <w:ind w:left="907"/>
              <w:rPr>
                <w:rFonts w:cs="Times New Roman"/>
                <w:highlight w:val="yellow"/>
              </w:rPr>
            </w:pPr>
            <w:r w:rsidRPr="0093582B">
              <w:rPr>
                <w:rFonts w:cs="Times New Roman"/>
              </w:rPr>
              <w:t xml:space="preserve">                              </w:t>
            </w:r>
            <w:r w:rsidR="00274596" w:rsidRPr="0093582B">
              <w:rPr>
                <w:rFonts w:cs="Times New Roman"/>
              </w:rPr>
              <w:t xml:space="preserve">                    </w:t>
            </w:r>
            <w:r w:rsidRPr="0093582B">
              <w:rPr>
                <w:rFonts w:cs="Times New Roman"/>
              </w:rPr>
              <w:t>Группа</w:t>
            </w:r>
          </w:p>
        </w:tc>
        <w:tc>
          <w:tcPr>
            <w:tcW w:w="3454" w:type="dxa"/>
          </w:tcPr>
          <w:p w:rsidR="003A071D" w:rsidRPr="0093582B" w:rsidRDefault="003A071D" w:rsidP="0008766B">
            <w:pPr>
              <w:spacing w:line="360" w:lineRule="auto"/>
              <w:jc w:val="center"/>
              <w:rPr>
                <w:rFonts w:cs="Times New Roman"/>
              </w:rPr>
            </w:pPr>
          </w:p>
          <w:p w:rsidR="003A071D" w:rsidRPr="0093582B" w:rsidRDefault="008A2985" w:rsidP="008A2985">
            <w:pPr>
              <w:spacing w:line="360" w:lineRule="auto"/>
              <w:jc w:val="center"/>
              <w:rPr>
                <w:rFonts w:cs="Times New Roman"/>
              </w:rPr>
            </w:pPr>
            <w:r w:rsidRPr="0093582B">
              <w:rPr>
                <w:rFonts w:cs="Times New Roman"/>
              </w:rPr>
              <w:t xml:space="preserve"> Наличие эпиактивности</w:t>
            </w:r>
          </w:p>
        </w:tc>
      </w:tr>
      <w:tr w:rsidR="003A071D" w:rsidRPr="0093582B" w:rsidTr="00274596">
        <w:trPr>
          <w:trHeight w:val="345"/>
        </w:trPr>
        <w:tc>
          <w:tcPr>
            <w:tcW w:w="6301" w:type="dxa"/>
          </w:tcPr>
          <w:p w:rsidR="003A071D" w:rsidRPr="0093582B" w:rsidRDefault="00DA7702" w:rsidP="008A2985">
            <w:pPr>
              <w:spacing w:line="360" w:lineRule="auto"/>
              <w:rPr>
                <w:rFonts w:cs="Times New Roman"/>
                <w:highlight w:val="yellow"/>
              </w:rPr>
            </w:pPr>
            <w:r w:rsidRPr="0093582B">
              <w:rPr>
                <w:rFonts w:cs="Times New Roman"/>
              </w:rPr>
              <w:t>Стаж заболевания</w:t>
            </w:r>
            <w:r w:rsidR="006B58D5" w:rsidRPr="0093582B">
              <w:rPr>
                <w:rFonts w:cs="Times New Roman"/>
              </w:rPr>
              <w:t xml:space="preserve"> </w:t>
            </w:r>
            <w:r w:rsidR="006B58D5" w:rsidRPr="0093582B">
              <w:rPr>
                <w:rFonts w:cstheme="minorHAnsi"/>
              </w:rPr>
              <w:t>≥</w:t>
            </w:r>
            <w:r w:rsidRPr="0093582B">
              <w:rPr>
                <w:rFonts w:cs="Times New Roman"/>
              </w:rPr>
              <w:t xml:space="preserve"> 21</w:t>
            </w:r>
            <w:r w:rsidR="006B58D5" w:rsidRPr="0093582B">
              <w:rPr>
                <w:rFonts w:cs="Times New Roman"/>
              </w:rPr>
              <w:t xml:space="preserve"> год</w:t>
            </w:r>
            <w:r w:rsidR="008A2985" w:rsidRPr="0093582B">
              <w:rPr>
                <w:rFonts w:cs="Times New Roman"/>
              </w:rPr>
              <w:t>а</w:t>
            </w:r>
            <w:r w:rsidRPr="0093582B">
              <w:rPr>
                <w:rFonts w:cs="Times New Roman"/>
              </w:rPr>
              <w:t xml:space="preserve"> % (</w:t>
            </w:r>
            <w:r w:rsidRPr="0093582B">
              <w:rPr>
                <w:rFonts w:cs="Times New Roman"/>
                <w:lang w:val="en-US"/>
              </w:rPr>
              <w:t>n</w:t>
            </w:r>
            <w:r w:rsidR="003A071D" w:rsidRPr="0093582B">
              <w:rPr>
                <w:rFonts w:cs="Times New Roman"/>
              </w:rPr>
              <w:t>)</w:t>
            </w:r>
          </w:p>
        </w:tc>
        <w:tc>
          <w:tcPr>
            <w:tcW w:w="3454" w:type="dxa"/>
          </w:tcPr>
          <w:p w:rsidR="003A071D" w:rsidRPr="0093582B" w:rsidRDefault="00DA7702" w:rsidP="0008766B">
            <w:pPr>
              <w:spacing w:line="360" w:lineRule="auto"/>
              <w:jc w:val="center"/>
              <w:rPr>
                <w:rFonts w:cs="Times New Roman"/>
              </w:rPr>
            </w:pPr>
            <w:r w:rsidRPr="0093582B">
              <w:rPr>
                <w:rFonts w:cs="Times New Roman"/>
              </w:rPr>
              <w:t>60 (12</w:t>
            </w:r>
            <w:r w:rsidR="003A071D" w:rsidRPr="0093582B">
              <w:rPr>
                <w:rFonts w:cs="Times New Roman"/>
              </w:rPr>
              <w:t>)</w:t>
            </w:r>
          </w:p>
        </w:tc>
      </w:tr>
      <w:tr w:rsidR="003A071D" w:rsidRPr="0093582B" w:rsidTr="00274596">
        <w:trPr>
          <w:trHeight w:val="356"/>
        </w:trPr>
        <w:tc>
          <w:tcPr>
            <w:tcW w:w="6301" w:type="dxa"/>
          </w:tcPr>
          <w:p w:rsidR="003A071D" w:rsidRPr="0093582B" w:rsidRDefault="00DA7702" w:rsidP="00DA7702">
            <w:pPr>
              <w:spacing w:line="360" w:lineRule="auto"/>
              <w:rPr>
                <w:rFonts w:cs="Times New Roman"/>
                <w:highlight w:val="yellow"/>
              </w:rPr>
            </w:pPr>
            <w:r w:rsidRPr="0093582B">
              <w:rPr>
                <w:rFonts w:cs="Times New Roman"/>
              </w:rPr>
              <w:t>Стаж забол</w:t>
            </w:r>
            <w:r w:rsidR="006B58D5" w:rsidRPr="0093582B">
              <w:rPr>
                <w:rFonts w:cs="Times New Roman"/>
              </w:rPr>
              <w:t>евания &lt;21 год</w:t>
            </w:r>
            <w:r w:rsidR="008A2985" w:rsidRPr="0093582B">
              <w:rPr>
                <w:rFonts w:cs="Times New Roman"/>
              </w:rPr>
              <w:t>а</w:t>
            </w:r>
            <w:r w:rsidR="003A071D" w:rsidRPr="0093582B">
              <w:rPr>
                <w:rFonts w:cs="Times New Roman"/>
              </w:rPr>
              <w:t>, % (</w:t>
            </w:r>
            <w:r w:rsidRPr="0093582B">
              <w:rPr>
                <w:rFonts w:cs="Times New Roman"/>
                <w:lang w:val="en-US"/>
              </w:rPr>
              <w:t>n</w:t>
            </w:r>
            <w:r w:rsidR="003A071D" w:rsidRPr="0093582B">
              <w:rPr>
                <w:rFonts w:cs="Times New Roman"/>
              </w:rPr>
              <w:t>)</w:t>
            </w:r>
          </w:p>
        </w:tc>
        <w:tc>
          <w:tcPr>
            <w:tcW w:w="3454" w:type="dxa"/>
          </w:tcPr>
          <w:p w:rsidR="003A071D" w:rsidRPr="0093582B" w:rsidRDefault="00DA7702" w:rsidP="0008766B">
            <w:pPr>
              <w:spacing w:line="360" w:lineRule="auto"/>
              <w:jc w:val="center"/>
              <w:rPr>
                <w:rFonts w:cs="Times New Roman"/>
              </w:rPr>
            </w:pPr>
            <w:r w:rsidRPr="0093582B">
              <w:rPr>
                <w:rFonts w:cs="Times New Roman"/>
              </w:rPr>
              <w:t>16,</w:t>
            </w:r>
            <w:r w:rsidRPr="0093582B">
              <w:rPr>
                <w:rFonts w:cs="Times New Roman"/>
                <w:lang w:val="en-US"/>
              </w:rPr>
              <w:t>7</w:t>
            </w:r>
            <w:r w:rsidRPr="0093582B">
              <w:rPr>
                <w:rFonts w:cs="Times New Roman"/>
              </w:rPr>
              <w:t xml:space="preserve"> (3</w:t>
            </w:r>
            <w:r w:rsidR="003A071D" w:rsidRPr="0093582B">
              <w:rPr>
                <w:rFonts w:cs="Times New Roman"/>
              </w:rPr>
              <w:t>)</w:t>
            </w:r>
          </w:p>
        </w:tc>
      </w:tr>
      <w:tr w:rsidR="003A071D" w:rsidRPr="0093582B" w:rsidTr="00274596">
        <w:trPr>
          <w:trHeight w:val="345"/>
        </w:trPr>
        <w:tc>
          <w:tcPr>
            <w:tcW w:w="6301" w:type="dxa"/>
            <w:shd w:val="clear" w:color="auto" w:fill="FFFFFF" w:themeFill="background1"/>
          </w:tcPr>
          <w:p w:rsidR="003A071D" w:rsidRPr="0093582B" w:rsidRDefault="003A071D" w:rsidP="0008766B">
            <w:pPr>
              <w:spacing w:line="360" w:lineRule="auto"/>
              <w:rPr>
                <w:rFonts w:cs="Times New Roman"/>
              </w:rPr>
            </w:pPr>
            <w:r w:rsidRPr="0093582B">
              <w:rPr>
                <w:rFonts w:cs="Times New Roman"/>
              </w:rPr>
              <w:t>Р-value</w:t>
            </w:r>
          </w:p>
        </w:tc>
        <w:tc>
          <w:tcPr>
            <w:tcW w:w="3454" w:type="dxa"/>
            <w:shd w:val="clear" w:color="auto" w:fill="FFFFFF" w:themeFill="background1"/>
          </w:tcPr>
          <w:p w:rsidR="003A071D" w:rsidRPr="0093582B" w:rsidRDefault="00DA7702" w:rsidP="0008766B">
            <w:pPr>
              <w:spacing w:line="360" w:lineRule="auto"/>
              <w:jc w:val="center"/>
              <w:rPr>
                <w:rFonts w:cs="Times New Roman"/>
              </w:rPr>
            </w:pPr>
            <w:r w:rsidRPr="0093582B">
              <w:rPr>
                <w:rFonts w:cs="Times New Roman"/>
              </w:rPr>
              <w:t>0,007</w:t>
            </w:r>
          </w:p>
        </w:tc>
      </w:tr>
    </w:tbl>
    <w:p w:rsidR="00431D6B" w:rsidRPr="0093582B" w:rsidRDefault="003A071D" w:rsidP="003A071D">
      <w:pPr>
        <w:pStyle w:val="a9"/>
        <w:ind w:firstLine="0"/>
      </w:pPr>
      <w:r w:rsidRPr="0093582B">
        <w:tab/>
        <w:t>Наблюдается статистически значимое отличие в наличии контрлатеральной активности в зависимости от стажа заболевания</w:t>
      </w:r>
      <w:r w:rsidR="009C1741" w:rsidRPr="0093582B">
        <w:t xml:space="preserve"> (p&lt;0,05)</w:t>
      </w:r>
      <w:r w:rsidRPr="0093582B">
        <w:t xml:space="preserve">. Формирование эпилептогенной активности в противоположном </w:t>
      </w:r>
      <w:r w:rsidR="00DA7702" w:rsidRPr="0093582B">
        <w:t xml:space="preserve">морфологическому </w:t>
      </w:r>
      <w:r w:rsidRPr="0093582B">
        <w:t>очагу полушарии является осложнением фармакорезистентной эпилепсии</w:t>
      </w:r>
      <w:r w:rsidR="009C1741" w:rsidRPr="0093582B">
        <w:t>, а также данный фактор влияет на успешность проведения хирургического лечения у данных пациентов.</w:t>
      </w:r>
      <w:r w:rsidR="00B61539" w:rsidRPr="0093582B">
        <w:t xml:space="preserve"> </w:t>
      </w:r>
      <w:r w:rsidR="002F2768" w:rsidRPr="0093582B">
        <w:t>Таким</w:t>
      </w:r>
      <w:r w:rsidR="00832770" w:rsidRPr="0093582B">
        <w:t xml:space="preserve"> </w:t>
      </w:r>
      <w:r w:rsidR="002F2768" w:rsidRPr="0093582B">
        <w:t>больным</w:t>
      </w:r>
      <w:r w:rsidR="00832770" w:rsidRPr="0093582B">
        <w:t xml:space="preserve"> рекомендована резекция структурного очага со стороны поражения, а также</w:t>
      </w:r>
      <w:r w:rsidR="006B58D5" w:rsidRPr="0093582B">
        <w:t xml:space="preserve"> возможны</w:t>
      </w:r>
      <w:r w:rsidR="00832770" w:rsidRPr="0093582B">
        <w:t xml:space="preserve"> малоинвазивные стереотаксические операции в зоне контрлатеральной активности</w:t>
      </w:r>
      <w:r w:rsidR="006B58D5" w:rsidRPr="0093582B">
        <w:t>, если первичная операция оказалась неэффективной для контроля над приступами</w:t>
      </w:r>
      <w:r w:rsidR="00832770" w:rsidRPr="0093582B">
        <w:t>.</w:t>
      </w:r>
      <w:r w:rsidR="006D673F" w:rsidRPr="0093582B">
        <w:t xml:space="preserve"> </w:t>
      </w:r>
    </w:p>
    <w:p w:rsidR="009C1741" w:rsidRPr="0093582B" w:rsidRDefault="009C1741" w:rsidP="009C1741">
      <w:pPr>
        <w:pStyle w:val="2"/>
      </w:pPr>
      <w:bookmarkStart w:id="18" w:name="_Toc104427536"/>
      <w:r w:rsidRPr="0093582B">
        <w:t>3.4</w:t>
      </w:r>
      <w:r w:rsidR="002C6DB8" w:rsidRPr="0093582B">
        <w:t>.</w:t>
      </w:r>
      <w:r w:rsidRPr="0093582B">
        <w:t xml:space="preserve"> Сравнение эффективности методов нейровизуализационных исследований</w:t>
      </w:r>
      <w:bookmarkEnd w:id="18"/>
    </w:p>
    <w:p w:rsidR="009C1741" w:rsidRPr="0093582B" w:rsidRDefault="009C1741" w:rsidP="006B152D">
      <w:pPr>
        <w:pStyle w:val="3"/>
      </w:pPr>
      <w:bookmarkStart w:id="19" w:name="_Toc104427537"/>
      <w:r w:rsidRPr="0093582B">
        <w:t>3.4</w:t>
      </w:r>
      <w:r w:rsidR="00B15193" w:rsidRPr="0093582B">
        <w:t>.1</w:t>
      </w:r>
      <w:r w:rsidR="002C6DB8" w:rsidRPr="0093582B">
        <w:t>.</w:t>
      </w:r>
      <w:r w:rsidRPr="0093582B">
        <w:t xml:space="preserve"> Данные </w:t>
      </w:r>
      <w:r w:rsidR="007E39CD" w:rsidRPr="0093582B">
        <w:t>МРТ 1,5 Тесла</w:t>
      </w:r>
      <w:bookmarkEnd w:id="19"/>
    </w:p>
    <w:p w:rsidR="007E39CD" w:rsidRPr="0093582B" w:rsidRDefault="007E39CD" w:rsidP="007E39CD">
      <w:pPr>
        <w:pStyle w:val="a9"/>
      </w:pPr>
      <w:r w:rsidRPr="0093582B">
        <w:t xml:space="preserve">МРТ в режиме 1,5 Тесла было проведено </w:t>
      </w:r>
      <w:r w:rsidR="00BE55A4" w:rsidRPr="0093582B">
        <w:t>19 пациентам</w:t>
      </w:r>
      <w:r w:rsidR="001009F3" w:rsidRPr="0093582B">
        <w:t xml:space="preserve">. </w:t>
      </w:r>
      <w:r w:rsidR="00BF18BD" w:rsidRPr="0093582B">
        <w:t xml:space="preserve">У 6 (31,6%) </w:t>
      </w:r>
      <w:r w:rsidR="00F473B2" w:rsidRPr="0093582B">
        <w:t xml:space="preserve"> пациентов выявлен </w:t>
      </w:r>
      <w:r w:rsidR="00BF18BD" w:rsidRPr="0093582B">
        <w:t xml:space="preserve">гиппокампальный склероз, у 5 (26,3%) </w:t>
      </w:r>
      <w:r w:rsidR="00F473B2" w:rsidRPr="0093582B">
        <w:t>-</w:t>
      </w:r>
      <w:r w:rsidR="00BF18BD" w:rsidRPr="0093582B">
        <w:t xml:space="preserve"> обнаружены другие структурные изменения (кисты, кавернозная ангиома, </w:t>
      </w:r>
      <w:r w:rsidR="00A7453E" w:rsidRPr="0093582B">
        <w:t>менингоэнцефалоцеле</w:t>
      </w:r>
      <w:r w:rsidR="00BF18BD" w:rsidRPr="0093582B">
        <w:t xml:space="preserve">, астроцитома, нейроэпителиома), у 8 (42,1%) </w:t>
      </w:r>
      <w:r w:rsidR="00F473B2" w:rsidRPr="0093582B">
        <w:t xml:space="preserve">человек </w:t>
      </w:r>
      <w:r w:rsidR="00BF18BD" w:rsidRPr="0093582B">
        <w:t xml:space="preserve">никаких структурных изменений не </w:t>
      </w:r>
      <w:r w:rsidR="00F473B2" w:rsidRPr="0093582B">
        <w:t>найдено</w:t>
      </w:r>
      <w:r w:rsidR="00BF18BD" w:rsidRPr="0093582B">
        <w:t>.</w:t>
      </w:r>
      <w:r w:rsidR="00A7453E" w:rsidRPr="0093582B">
        <w:t xml:space="preserve"> Дальнейшие исследования </w:t>
      </w:r>
      <w:r w:rsidR="001009F3" w:rsidRPr="0093582B">
        <w:t xml:space="preserve">(МРТ 3 Тесла) </w:t>
      </w:r>
      <w:r w:rsidR="00E64556" w:rsidRPr="0093582B">
        <w:t>позволили определить</w:t>
      </w:r>
      <w:r w:rsidR="00A7453E" w:rsidRPr="0093582B">
        <w:t xml:space="preserve"> у этих 8 пациентов гиппокампальный склероз.</w:t>
      </w:r>
    </w:p>
    <w:p w:rsidR="00BF18BD" w:rsidRPr="0093582B" w:rsidRDefault="00BF18BD" w:rsidP="006B152D">
      <w:pPr>
        <w:pStyle w:val="3"/>
      </w:pPr>
      <w:bookmarkStart w:id="20" w:name="_Toc104427538"/>
      <w:r w:rsidRPr="0093582B">
        <w:lastRenderedPageBreak/>
        <w:t>3.4.2</w:t>
      </w:r>
      <w:r w:rsidR="00E143AD">
        <w:t>.</w:t>
      </w:r>
      <w:r w:rsidRPr="0093582B">
        <w:t xml:space="preserve"> Данные МРТ 3 Тесла (эпипротокол)</w:t>
      </w:r>
      <w:bookmarkEnd w:id="20"/>
    </w:p>
    <w:p w:rsidR="00BF18BD" w:rsidRPr="0093582B" w:rsidRDefault="00BF18BD" w:rsidP="00BF18BD">
      <w:pPr>
        <w:pStyle w:val="a9"/>
      </w:pPr>
      <w:r w:rsidRPr="0093582B">
        <w:t xml:space="preserve">МРТ в режиме </w:t>
      </w:r>
      <w:r w:rsidR="00707B79" w:rsidRPr="0093582B">
        <w:t xml:space="preserve">3 </w:t>
      </w:r>
      <w:r w:rsidRPr="0093582B">
        <w:t xml:space="preserve">Тесла было проведено </w:t>
      </w:r>
      <w:r w:rsidR="008723AA" w:rsidRPr="0093582B">
        <w:t>36</w:t>
      </w:r>
      <w:r w:rsidRPr="0093582B">
        <w:t xml:space="preserve"> пациентам</w:t>
      </w:r>
      <w:r w:rsidR="00A7453E" w:rsidRPr="0093582B">
        <w:t>. П</w:t>
      </w:r>
      <w:r w:rsidRPr="0093582B">
        <w:t>о данным заключений</w:t>
      </w:r>
      <w:r w:rsidR="00E714E1" w:rsidRPr="0093582B">
        <w:t xml:space="preserve"> у 30</w:t>
      </w:r>
      <w:r w:rsidRPr="0093582B">
        <w:t xml:space="preserve"> (</w:t>
      </w:r>
      <w:r w:rsidR="009C5654" w:rsidRPr="0093582B">
        <w:t>85</w:t>
      </w:r>
      <w:r w:rsidR="00A7453E" w:rsidRPr="0093582B">
        <w:t>,</w:t>
      </w:r>
      <w:r w:rsidR="009C5654" w:rsidRPr="0093582B">
        <w:t>7</w:t>
      </w:r>
      <w:r w:rsidRPr="0093582B">
        <w:t>%)</w:t>
      </w:r>
      <w:r w:rsidR="00A7453E" w:rsidRPr="0093582B">
        <w:t xml:space="preserve"> обнаружен гиппокампальный склероз,</w:t>
      </w:r>
      <w:r w:rsidR="009C5654" w:rsidRPr="0093582B">
        <w:t xml:space="preserve"> у 5</w:t>
      </w:r>
      <w:r w:rsidR="00A7453E" w:rsidRPr="0093582B">
        <w:t xml:space="preserve"> (</w:t>
      </w:r>
      <w:r w:rsidR="009C5654" w:rsidRPr="0093582B">
        <w:t>14,3</w:t>
      </w:r>
      <w:r w:rsidR="00A7453E" w:rsidRPr="0093582B">
        <w:t>%)</w:t>
      </w:r>
      <w:r w:rsidR="009C5654" w:rsidRPr="0093582B">
        <w:t xml:space="preserve"> описаны другие структурные изменения, у 1 (2,9%) пациента не описано специфических изменений, </w:t>
      </w:r>
      <w:r w:rsidR="00E64556" w:rsidRPr="0093582B">
        <w:t xml:space="preserve">высказано предположение </w:t>
      </w:r>
      <w:r w:rsidR="001009F3" w:rsidRPr="0093582B">
        <w:t xml:space="preserve">о фокальной корковой дисплазии </w:t>
      </w:r>
      <w:r w:rsidR="009C5654" w:rsidRPr="0093582B">
        <w:t>(ФКД)</w:t>
      </w:r>
      <w:r w:rsidR="00A7453E" w:rsidRPr="0093582B">
        <w:t>. Дальнейшие исследования по</w:t>
      </w:r>
      <w:r w:rsidR="009C5654" w:rsidRPr="0093582B">
        <w:t>зволили подтвердить диагноз данному пациенту</w:t>
      </w:r>
      <w:r w:rsidR="00A7453E" w:rsidRPr="0093582B">
        <w:t xml:space="preserve"> – ФКД</w:t>
      </w:r>
      <w:r w:rsidR="009C5654" w:rsidRPr="0093582B">
        <w:t>.</w:t>
      </w:r>
      <w:r w:rsidR="00A7453E" w:rsidRPr="0093582B">
        <w:t xml:space="preserve"> </w:t>
      </w:r>
    </w:p>
    <w:p w:rsidR="00BF18BD" w:rsidRPr="0093582B" w:rsidRDefault="00BF18BD" w:rsidP="006B152D">
      <w:pPr>
        <w:pStyle w:val="3"/>
      </w:pPr>
      <w:bookmarkStart w:id="21" w:name="_Toc104427539"/>
      <w:r w:rsidRPr="0093582B">
        <w:t>3.4</w:t>
      </w:r>
      <w:r w:rsidR="00147356" w:rsidRPr="0093582B">
        <w:t>.3</w:t>
      </w:r>
      <w:r w:rsidRPr="0093582B">
        <w:t xml:space="preserve"> Данные </w:t>
      </w:r>
      <w:r w:rsidR="00147356" w:rsidRPr="0093582B">
        <w:t>ПЭТ-КТ</w:t>
      </w:r>
      <w:bookmarkEnd w:id="21"/>
    </w:p>
    <w:p w:rsidR="00147356" w:rsidRPr="0093582B" w:rsidRDefault="00147356" w:rsidP="00147356">
      <w:pPr>
        <w:pStyle w:val="a9"/>
      </w:pPr>
      <w:r w:rsidRPr="0093582B">
        <w:t xml:space="preserve">ПЭТ-КТ с глюкозой </w:t>
      </w:r>
      <w:r w:rsidR="00E64556" w:rsidRPr="0093582B">
        <w:t xml:space="preserve">для уточнения патологического очага </w:t>
      </w:r>
      <w:r w:rsidRPr="0093582B">
        <w:t xml:space="preserve">было проведено 18 пациентам. У 16 (88,9%) был описан </w:t>
      </w:r>
      <w:r w:rsidR="002C6DB8" w:rsidRPr="0093582B">
        <w:t xml:space="preserve">выраженный </w:t>
      </w:r>
      <w:r w:rsidRPr="0093582B">
        <w:t xml:space="preserve">гипометаболизм в зоне структурного очага, в то время как у 2 (11,1%) не описано значимых особенностей или были описаны неспецифические изменения. Данные пациенты имели </w:t>
      </w:r>
      <w:r w:rsidR="00E64556" w:rsidRPr="0093582B">
        <w:t xml:space="preserve">радиологический </w:t>
      </w:r>
      <w:r w:rsidRPr="0093582B">
        <w:t xml:space="preserve">диагноз </w:t>
      </w:r>
      <w:r w:rsidR="007B3039" w:rsidRPr="0093582B">
        <w:t>«</w:t>
      </w:r>
      <w:r w:rsidRPr="0093582B">
        <w:t>склероз гиппокампа</w:t>
      </w:r>
      <w:r w:rsidR="007B3039" w:rsidRPr="0093582B">
        <w:t>»</w:t>
      </w:r>
      <w:r w:rsidR="00B15193" w:rsidRPr="0093582B">
        <w:t>, ранее подтвержденный данными МРТ 3 Тесла (эпипротокол).</w:t>
      </w:r>
      <w:r w:rsidR="006D673F" w:rsidRPr="0093582B">
        <w:t xml:space="preserve"> ПЭТ-КТ проводилась с целью уточнения размеров и распространенности структурных и функциональных изменений в эпилептогенных зонах</w:t>
      </w:r>
      <w:r w:rsidR="003C3BE3" w:rsidRPr="0093582B">
        <w:t>, также данные МРТ 3 Тесла в совокупности с ПЭТ-КТ позволили диагностировать ФКД у 1 пациента</w:t>
      </w:r>
      <w:r w:rsidR="006D673F" w:rsidRPr="0093582B">
        <w:t>.</w:t>
      </w:r>
    </w:p>
    <w:p w:rsidR="009C1741" w:rsidRPr="0093582B" w:rsidRDefault="009C1741" w:rsidP="006B152D">
      <w:pPr>
        <w:pStyle w:val="3"/>
      </w:pPr>
      <w:bookmarkStart w:id="22" w:name="_Toc104427540"/>
      <w:r w:rsidRPr="0093582B">
        <w:t>3.</w:t>
      </w:r>
      <w:r w:rsidR="00B15193" w:rsidRPr="0093582B">
        <w:t>4.4</w:t>
      </w:r>
      <w:r w:rsidR="002C6DB8" w:rsidRPr="0093582B">
        <w:t>.</w:t>
      </w:r>
      <w:r w:rsidRPr="0093582B">
        <w:t xml:space="preserve"> </w:t>
      </w:r>
      <w:r w:rsidR="00B15193" w:rsidRPr="0093582B">
        <w:t>Сравнение эффективности нейровизуализационных методов диагностики</w:t>
      </w:r>
      <w:bookmarkEnd w:id="22"/>
    </w:p>
    <w:p w:rsidR="00B86A15" w:rsidRPr="0093582B" w:rsidRDefault="00B15193" w:rsidP="00B86A15">
      <w:pPr>
        <w:pStyle w:val="a9"/>
        <w:spacing w:after="120"/>
      </w:pPr>
      <w:r w:rsidRPr="0093582B">
        <w:t xml:space="preserve">Для сравнения эффективности </w:t>
      </w:r>
      <w:r w:rsidR="006D673F" w:rsidRPr="0093582B">
        <w:t xml:space="preserve">МРТ 1,5 и 3 Тесла </w:t>
      </w:r>
      <w:r w:rsidRPr="0093582B">
        <w:t>были выбран</w:t>
      </w:r>
      <w:r w:rsidR="00B452CB" w:rsidRPr="0093582B">
        <w:t>ы пациенты, которым пров</w:t>
      </w:r>
      <w:r w:rsidR="002C6DB8" w:rsidRPr="0093582B">
        <w:t xml:space="preserve">одились </w:t>
      </w:r>
      <w:r w:rsidR="00B452CB" w:rsidRPr="0093582B">
        <w:t>вс</w:t>
      </w:r>
      <w:r w:rsidR="002D5683" w:rsidRPr="0093582B">
        <w:t>е виды нейровизуализационных исследований –</w:t>
      </w:r>
      <w:r w:rsidR="00377ACE" w:rsidRPr="0093582B">
        <w:t xml:space="preserve"> 16</w:t>
      </w:r>
      <w:r w:rsidR="002D5683" w:rsidRPr="0093582B">
        <w:t xml:space="preserve"> человек. В таблице 5 представлены случаи выявления специфических изменений, характерных для </w:t>
      </w:r>
      <w:r w:rsidR="003C3BE3" w:rsidRPr="0093582B">
        <w:t>морфологического</w:t>
      </w:r>
      <w:r w:rsidR="002D5683" w:rsidRPr="0093582B">
        <w:t xml:space="preserve"> диагноза данных пациентов.</w:t>
      </w:r>
      <w:r w:rsidRPr="0093582B">
        <w:t xml:space="preserve"> </w:t>
      </w:r>
    </w:p>
    <w:p w:rsidR="00B86A15" w:rsidRPr="0093582B" w:rsidRDefault="00B86A15">
      <w:r w:rsidRPr="0093582B">
        <w:br w:type="page"/>
      </w:r>
    </w:p>
    <w:p w:rsidR="00E714E1" w:rsidRPr="0093582B" w:rsidRDefault="00E714E1" w:rsidP="00B86A15">
      <w:pPr>
        <w:jc w:val="right"/>
      </w:pPr>
      <w:r w:rsidRPr="0093582B">
        <w:lastRenderedPageBreak/>
        <w:t>Таблица 5</w:t>
      </w:r>
      <w:r w:rsidR="00274596" w:rsidRPr="0093582B">
        <w:t xml:space="preserve">. </w:t>
      </w:r>
      <w:r w:rsidRPr="0093582B">
        <w:t>Сравнение эффективности методов нейровизуализации</w:t>
      </w:r>
    </w:p>
    <w:tbl>
      <w:tblPr>
        <w:tblStyle w:val="12"/>
        <w:tblW w:w="8926" w:type="dxa"/>
        <w:tblLayout w:type="fixed"/>
        <w:tblLook w:val="04A0" w:firstRow="1" w:lastRow="0" w:firstColumn="1" w:lastColumn="0" w:noHBand="0" w:noVBand="1"/>
      </w:tblPr>
      <w:tblGrid>
        <w:gridCol w:w="2122"/>
        <w:gridCol w:w="2409"/>
        <w:gridCol w:w="2268"/>
        <w:gridCol w:w="2127"/>
      </w:tblGrid>
      <w:tr w:rsidR="003C3BE3" w:rsidRPr="0093582B" w:rsidTr="00BC6E5B">
        <w:trPr>
          <w:trHeight w:val="853"/>
        </w:trPr>
        <w:tc>
          <w:tcPr>
            <w:tcW w:w="2122" w:type="dxa"/>
            <w:tcBorders>
              <w:tr2bl w:val="single" w:sz="4" w:space="0" w:color="auto"/>
            </w:tcBorders>
          </w:tcPr>
          <w:p w:rsidR="003C3BE3" w:rsidRPr="0093582B" w:rsidRDefault="003C3BE3" w:rsidP="00CA7C84">
            <w:pPr>
              <w:spacing w:line="360" w:lineRule="auto"/>
              <w:rPr>
                <w:rFonts w:ascii="Times New Roman" w:hAnsi="Times New Roman" w:cs="Times New Roman"/>
              </w:rPr>
            </w:pPr>
            <w:r w:rsidRPr="0093582B">
              <w:rPr>
                <w:rFonts w:ascii="Times New Roman" w:hAnsi="Times New Roman" w:cs="Times New Roman"/>
              </w:rPr>
              <w:t>Метод</w:t>
            </w:r>
            <w:r w:rsidR="00BC6E5B" w:rsidRPr="0093582B">
              <w:rPr>
                <w:rFonts w:ascii="Times New Roman" w:hAnsi="Times New Roman" w:cs="Times New Roman"/>
              </w:rPr>
              <w:t xml:space="preserve">                        </w:t>
            </w:r>
          </w:p>
          <w:p w:rsidR="003C3BE3" w:rsidRPr="0093582B" w:rsidRDefault="003C3BE3" w:rsidP="001009F3">
            <w:pPr>
              <w:spacing w:line="360" w:lineRule="auto"/>
              <w:jc w:val="center"/>
              <w:rPr>
                <w:rFonts w:ascii="Times New Roman" w:hAnsi="Times New Roman" w:cs="Times New Roman"/>
              </w:rPr>
            </w:pPr>
            <w:r w:rsidRPr="0093582B">
              <w:rPr>
                <w:rFonts w:ascii="Times New Roman" w:hAnsi="Times New Roman" w:cs="Times New Roman"/>
              </w:rPr>
              <w:t xml:space="preserve">             </w:t>
            </w:r>
          </w:p>
        </w:tc>
        <w:tc>
          <w:tcPr>
            <w:tcW w:w="2409" w:type="dxa"/>
          </w:tcPr>
          <w:p w:rsidR="003C3BE3" w:rsidRPr="0093582B" w:rsidRDefault="003C3BE3" w:rsidP="002D5683">
            <w:pPr>
              <w:jc w:val="center"/>
              <w:rPr>
                <w:rFonts w:ascii="Times New Roman" w:hAnsi="Times New Roman" w:cs="Times New Roman"/>
              </w:rPr>
            </w:pPr>
            <w:r w:rsidRPr="0093582B">
              <w:rPr>
                <w:rFonts w:ascii="Times New Roman" w:hAnsi="Times New Roman" w:cs="Times New Roman"/>
              </w:rPr>
              <w:t>Склероз гиппокампа</w:t>
            </w:r>
          </w:p>
        </w:tc>
        <w:tc>
          <w:tcPr>
            <w:tcW w:w="2268" w:type="dxa"/>
          </w:tcPr>
          <w:p w:rsidR="003C3BE3" w:rsidRPr="0093582B" w:rsidRDefault="003C3BE3" w:rsidP="0008766B">
            <w:pPr>
              <w:jc w:val="center"/>
              <w:rPr>
                <w:rFonts w:ascii="Times New Roman" w:hAnsi="Times New Roman" w:cs="Times New Roman"/>
              </w:rPr>
            </w:pPr>
            <w:r w:rsidRPr="0093582B">
              <w:rPr>
                <w:rFonts w:ascii="Times New Roman" w:hAnsi="Times New Roman" w:cs="Times New Roman"/>
              </w:rPr>
              <w:t>Другая структурная патология</w:t>
            </w:r>
          </w:p>
        </w:tc>
        <w:tc>
          <w:tcPr>
            <w:tcW w:w="2127" w:type="dxa"/>
          </w:tcPr>
          <w:p w:rsidR="003C3BE3" w:rsidRPr="0093582B" w:rsidRDefault="003C3BE3" w:rsidP="0008766B">
            <w:pPr>
              <w:jc w:val="center"/>
              <w:rPr>
                <w:rFonts w:ascii="Times New Roman" w:hAnsi="Times New Roman" w:cs="Times New Roman"/>
              </w:rPr>
            </w:pPr>
            <w:r w:rsidRPr="0093582B">
              <w:rPr>
                <w:rFonts w:ascii="Times New Roman" w:hAnsi="Times New Roman" w:cs="Times New Roman"/>
              </w:rPr>
              <w:t>Эффективность метода, %</w:t>
            </w:r>
          </w:p>
        </w:tc>
      </w:tr>
      <w:tr w:rsidR="003C3BE3" w:rsidRPr="0093582B" w:rsidTr="003C3BE3">
        <w:trPr>
          <w:trHeight w:val="508"/>
        </w:trPr>
        <w:tc>
          <w:tcPr>
            <w:tcW w:w="2122" w:type="dxa"/>
          </w:tcPr>
          <w:p w:rsidR="003C3BE3" w:rsidRPr="0093582B" w:rsidRDefault="003C3BE3" w:rsidP="006D673F">
            <w:pPr>
              <w:spacing w:line="276" w:lineRule="auto"/>
              <w:jc w:val="both"/>
              <w:rPr>
                <w:rFonts w:ascii="Times New Roman" w:hAnsi="Times New Roman" w:cs="Times New Roman"/>
                <w:lang w:val="en-US"/>
              </w:rPr>
            </w:pPr>
            <w:r w:rsidRPr="0093582B">
              <w:rPr>
                <w:rFonts w:ascii="Times New Roman" w:hAnsi="Times New Roman" w:cs="Times New Roman"/>
              </w:rPr>
              <w:t xml:space="preserve">МРТ 1,5 Тесла, </w:t>
            </w:r>
            <w:r w:rsidRPr="0093582B">
              <w:rPr>
                <w:rFonts w:ascii="Times New Roman" w:hAnsi="Times New Roman" w:cs="Times New Roman"/>
                <w:lang w:val="en-US"/>
              </w:rPr>
              <w:t>n</w:t>
            </w:r>
          </w:p>
        </w:tc>
        <w:tc>
          <w:tcPr>
            <w:tcW w:w="2409" w:type="dxa"/>
          </w:tcPr>
          <w:p w:rsidR="003C3BE3" w:rsidRPr="0093582B" w:rsidRDefault="003C3BE3" w:rsidP="00CE36BA">
            <w:pPr>
              <w:spacing w:line="360" w:lineRule="auto"/>
              <w:jc w:val="center"/>
              <w:rPr>
                <w:rFonts w:ascii="Times New Roman" w:hAnsi="Times New Roman" w:cs="Times New Roman"/>
              </w:rPr>
            </w:pPr>
            <w:r w:rsidRPr="0093582B">
              <w:rPr>
                <w:rFonts w:ascii="Times New Roman" w:hAnsi="Times New Roman" w:cs="Times New Roman"/>
              </w:rPr>
              <w:t xml:space="preserve">6 </w:t>
            </w:r>
          </w:p>
        </w:tc>
        <w:tc>
          <w:tcPr>
            <w:tcW w:w="2268" w:type="dxa"/>
          </w:tcPr>
          <w:p w:rsidR="003C3BE3" w:rsidRPr="0093582B" w:rsidRDefault="00377ACE" w:rsidP="0008766B">
            <w:pPr>
              <w:spacing w:line="360" w:lineRule="auto"/>
              <w:jc w:val="center"/>
              <w:rPr>
                <w:rFonts w:ascii="Times New Roman" w:hAnsi="Times New Roman" w:cs="Times New Roman"/>
              </w:rPr>
            </w:pPr>
            <w:r w:rsidRPr="0093582B">
              <w:rPr>
                <w:rFonts w:ascii="Times New Roman" w:hAnsi="Times New Roman" w:cs="Times New Roman"/>
              </w:rPr>
              <w:t>3</w:t>
            </w:r>
          </w:p>
        </w:tc>
        <w:tc>
          <w:tcPr>
            <w:tcW w:w="2127" w:type="dxa"/>
          </w:tcPr>
          <w:p w:rsidR="003C3BE3" w:rsidRPr="0093582B" w:rsidRDefault="00377ACE" w:rsidP="0008766B">
            <w:pPr>
              <w:spacing w:line="360" w:lineRule="auto"/>
              <w:jc w:val="center"/>
              <w:rPr>
                <w:rFonts w:ascii="Times New Roman" w:hAnsi="Times New Roman" w:cs="Times New Roman"/>
              </w:rPr>
            </w:pPr>
            <w:r w:rsidRPr="0093582B">
              <w:rPr>
                <w:rFonts w:ascii="Times New Roman" w:hAnsi="Times New Roman" w:cs="Times New Roman"/>
              </w:rPr>
              <w:t>56</w:t>
            </w:r>
            <w:r w:rsidR="00395F07" w:rsidRPr="0093582B">
              <w:rPr>
                <w:rFonts w:ascii="Times New Roman" w:hAnsi="Times New Roman" w:cs="Times New Roman"/>
              </w:rPr>
              <w:t>,</w:t>
            </w:r>
            <w:r w:rsidRPr="0093582B">
              <w:rPr>
                <w:rFonts w:ascii="Times New Roman" w:hAnsi="Times New Roman" w:cs="Times New Roman"/>
              </w:rPr>
              <w:t>2</w:t>
            </w:r>
          </w:p>
        </w:tc>
      </w:tr>
      <w:tr w:rsidR="003C3BE3" w:rsidRPr="0093582B" w:rsidTr="00395F07">
        <w:trPr>
          <w:trHeight w:val="489"/>
        </w:trPr>
        <w:tc>
          <w:tcPr>
            <w:tcW w:w="2122" w:type="dxa"/>
          </w:tcPr>
          <w:p w:rsidR="003C3BE3" w:rsidRPr="0093582B" w:rsidRDefault="003C3BE3" w:rsidP="006D673F">
            <w:pPr>
              <w:spacing w:line="276" w:lineRule="auto"/>
              <w:jc w:val="both"/>
              <w:rPr>
                <w:rFonts w:ascii="Times New Roman" w:hAnsi="Times New Roman" w:cs="Times New Roman"/>
                <w:lang w:val="en-US"/>
              </w:rPr>
            </w:pPr>
            <w:r w:rsidRPr="0093582B">
              <w:rPr>
                <w:rFonts w:ascii="Times New Roman" w:hAnsi="Times New Roman" w:cs="Times New Roman"/>
              </w:rPr>
              <w:t xml:space="preserve">МРТ 3 Тесла,  </w:t>
            </w:r>
            <w:r w:rsidRPr="0093582B">
              <w:rPr>
                <w:rFonts w:ascii="Times New Roman" w:hAnsi="Times New Roman" w:cs="Times New Roman"/>
                <w:lang w:val="en-US"/>
              </w:rPr>
              <w:t>n</w:t>
            </w:r>
          </w:p>
        </w:tc>
        <w:tc>
          <w:tcPr>
            <w:tcW w:w="2409" w:type="dxa"/>
          </w:tcPr>
          <w:p w:rsidR="003C3BE3" w:rsidRPr="0093582B" w:rsidRDefault="003C3BE3" w:rsidP="0008766B">
            <w:pPr>
              <w:spacing w:line="360" w:lineRule="auto"/>
              <w:jc w:val="center"/>
              <w:rPr>
                <w:rFonts w:ascii="Times New Roman" w:hAnsi="Times New Roman" w:cs="Times New Roman"/>
              </w:rPr>
            </w:pPr>
            <w:r w:rsidRPr="0093582B">
              <w:rPr>
                <w:rFonts w:ascii="Times New Roman" w:hAnsi="Times New Roman" w:cs="Times New Roman"/>
              </w:rPr>
              <w:t>13</w:t>
            </w:r>
          </w:p>
        </w:tc>
        <w:tc>
          <w:tcPr>
            <w:tcW w:w="2268" w:type="dxa"/>
          </w:tcPr>
          <w:p w:rsidR="003C3BE3" w:rsidRPr="0093582B" w:rsidRDefault="00377ACE" w:rsidP="0008766B">
            <w:pPr>
              <w:spacing w:line="360" w:lineRule="auto"/>
              <w:jc w:val="center"/>
              <w:rPr>
                <w:rFonts w:ascii="Times New Roman" w:hAnsi="Times New Roman" w:cs="Times New Roman"/>
              </w:rPr>
            </w:pPr>
            <w:r w:rsidRPr="0093582B">
              <w:rPr>
                <w:rFonts w:ascii="Times New Roman" w:hAnsi="Times New Roman" w:cs="Times New Roman"/>
              </w:rPr>
              <w:t>3</w:t>
            </w:r>
          </w:p>
        </w:tc>
        <w:tc>
          <w:tcPr>
            <w:tcW w:w="2127" w:type="dxa"/>
          </w:tcPr>
          <w:p w:rsidR="003C3BE3" w:rsidRPr="0093582B" w:rsidRDefault="00377ACE" w:rsidP="0008766B">
            <w:pPr>
              <w:spacing w:line="360" w:lineRule="auto"/>
              <w:jc w:val="center"/>
              <w:rPr>
                <w:rFonts w:ascii="Times New Roman" w:hAnsi="Times New Roman" w:cs="Times New Roman"/>
              </w:rPr>
            </w:pPr>
            <w:r w:rsidRPr="0093582B">
              <w:rPr>
                <w:rFonts w:ascii="Times New Roman" w:hAnsi="Times New Roman" w:cs="Times New Roman"/>
              </w:rPr>
              <w:t>93,6</w:t>
            </w:r>
          </w:p>
        </w:tc>
      </w:tr>
      <w:tr w:rsidR="00395F07" w:rsidRPr="0093582B" w:rsidTr="00395F07">
        <w:trPr>
          <w:trHeight w:val="489"/>
        </w:trPr>
        <w:tc>
          <w:tcPr>
            <w:tcW w:w="2122" w:type="dxa"/>
          </w:tcPr>
          <w:p w:rsidR="00395F07" w:rsidRPr="0093582B" w:rsidRDefault="00395F07" w:rsidP="006D673F">
            <w:pPr>
              <w:spacing w:line="276" w:lineRule="auto"/>
              <w:jc w:val="both"/>
              <w:rPr>
                <w:rFonts w:ascii="Times New Roman" w:hAnsi="Times New Roman" w:cs="Times New Roman"/>
                <w:lang w:val="en-US"/>
              </w:rPr>
            </w:pPr>
            <w:r w:rsidRPr="0093582B">
              <w:rPr>
                <w:rFonts w:ascii="Times New Roman" w:hAnsi="Times New Roman" w:cs="Times New Roman"/>
                <w:lang w:val="en-US"/>
              </w:rPr>
              <w:t>P-value</w:t>
            </w:r>
          </w:p>
        </w:tc>
        <w:tc>
          <w:tcPr>
            <w:tcW w:w="2409" w:type="dxa"/>
          </w:tcPr>
          <w:p w:rsidR="00395F07" w:rsidRPr="0093582B" w:rsidRDefault="00395F07" w:rsidP="0008766B">
            <w:pPr>
              <w:spacing w:line="360" w:lineRule="auto"/>
              <w:jc w:val="center"/>
              <w:rPr>
                <w:rFonts w:ascii="Times New Roman" w:hAnsi="Times New Roman" w:cs="Times New Roman"/>
                <w:lang w:val="en-US"/>
              </w:rPr>
            </w:pPr>
            <w:r w:rsidRPr="0093582B">
              <w:rPr>
                <w:rFonts w:ascii="Times New Roman" w:hAnsi="Times New Roman" w:cs="Times New Roman"/>
                <w:lang w:val="en-US"/>
              </w:rPr>
              <w:t>0</w:t>
            </w:r>
            <w:r w:rsidRPr="0093582B">
              <w:rPr>
                <w:rFonts w:ascii="Times New Roman" w:hAnsi="Times New Roman" w:cs="Times New Roman"/>
              </w:rPr>
              <w:t>,</w:t>
            </w:r>
            <w:r w:rsidRPr="0093582B">
              <w:rPr>
                <w:rFonts w:ascii="Times New Roman" w:hAnsi="Times New Roman" w:cs="Times New Roman"/>
                <w:lang w:val="en-US"/>
              </w:rPr>
              <w:t>002</w:t>
            </w:r>
          </w:p>
        </w:tc>
        <w:tc>
          <w:tcPr>
            <w:tcW w:w="2268" w:type="dxa"/>
          </w:tcPr>
          <w:p w:rsidR="00395F07" w:rsidRPr="0093582B" w:rsidRDefault="00377ACE" w:rsidP="0008766B">
            <w:pPr>
              <w:spacing w:line="360" w:lineRule="auto"/>
              <w:jc w:val="center"/>
              <w:rPr>
                <w:rFonts w:ascii="Times New Roman" w:hAnsi="Times New Roman" w:cs="Times New Roman"/>
              </w:rPr>
            </w:pPr>
            <w:r w:rsidRPr="0093582B">
              <w:rPr>
                <w:rFonts w:ascii="Times New Roman" w:hAnsi="Times New Roman" w:cs="Times New Roman"/>
              </w:rPr>
              <w:t>1</w:t>
            </w:r>
          </w:p>
        </w:tc>
        <w:tc>
          <w:tcPr>
            <w:tcW w:w="2127" w:type="dxa"/>
          </w:tcPr>
          <w:p w:rsidR="00395F07" w:rsidRPr="0093582B" w:rsidRDefault="00707B79" w:rsidP="0008766B">
            <w:pPr>
              <w:spacing w:line="360" w:lineRule="auto"/>
              <w:jc w:val="center"/>
              <w:rPr>
                <w:rFonts w:ascii="Times New Roman" w:hAnsi="Times New Roman" w:cs="Times New Roman"/>
                <w:lang w:val="en-US"/>
              </w:rPr>
            </w:pPr>
            <w:r w:rsidRPr="0093582B">
              <w:rPr>
                <w:rFonts w:ascii="Times New Roman" w:hAnsi="Times New Roman" w:cs="Times New Roman"/>
                <w:lang w:val="en-US"/>
              </w:rPr>
              <w:t>&lt;0,001</w:t>
            </w:r>
          </w:p>
        </w:tc>
      </w:tr>
    </w:tbl>
    <w:p w:rsidR="00E714E1" w:rsidRPr="0093582B" w:rsidRDefault="008735AD" w:rsidP="00274596">
      <w:pPr>
        <w:pStyle w:val="a9"/>
        <w:spacing w:before="240"/>
      </w:pPr>
      <w:r w:rsidRPr="0093582B">
        <w:t xml:space="preserve">Наблюдается статистически значимое отличие в сравнении </w:t>
      </w:r>
      <w:r w:rsidR="00377ACE" w:rsidRPr="0093582B">
        <w:t xml:space="preserve">эффективности </w:t>
      </w:r>
      <w:r w:rsidRPr="0093582B">
        <w:t xml:space="preserve">методов нейровизуализационных исследований </w:t>
      </w:r>
      <w:r w:rsidR="00377ACE" w:rsidRPr="0093582B">
        <w:t>(p=0.002</w:t>
      </w:r>
      <w:r w:rsidRPr="0093582B">
        <w:t>)</w:t>
      </w:r>
      <w:r w:rsidR="00377ACE" w:rsidRPr="0093582B">
        <w:t xml:space="preserve"> в диагностике гиппокампального склероза</w:t>
      </w:r>
      <w:r w:rsidRPr="0093582B">
        <w:t xml:space="preserve">. </w:t>
      </w:r>
      <w:r w:rsidR="00377ACE" w:rsidRPr="0093582B">
        <w:rPr>
          <w:rFonts w:cs="Times New Roman"/>
          <w:bCs/>
          <w:szCs w:val="28"/>
        </w:rPr>
        <w:t xml:space="preserve">Эти </w:t>
      </w:r>
      <w:r w:rsidRPr="0093582B">
        <w:rPr>
          <w:rFonts w:cs="Times New Roman"/>
          <w:bCs/>
          <w:szCs w:val="28"/>
        </w:rPr>
        <w:t>данные указывают на то, что визуализация патологи</w:t>
      </w:r>
      <w:r w:rsidR="00290979" w:rsidRPr="0093582B">
        <w:rPr>
          <w:rFonts w:cs="Times New Roman"/>
          <w:bCs/>
          <w:szCs w:val="28"/>
        </w:rPr>
        <w:t>ческих изменений</w:t>
      </w:r>
      <w:r w:rsidR="00377ACE" w:rsidRPr="0093582B">
        <w:rPr>
          <w:rFonts w:cs="Times New Roman"/>
          <w:bCs/>
          <w:szCs w:val="28"/>
        </w:rPr>
        <w:t xml:space="preserve"> в зоне гиппокампа</w:t>
      </w:r>
      <w:r w:rsidRPr="0093582B">
        <w:rPr>
          <w:rFonts w:cs="Times New Roman"/>
          <w:bCs/>
          <w:szCs w:val="28"/>
        </w:rPr>
        <w:t xml:space="preserve"> улучшилась в связи с проведением МРТ 3 Тесла.</w:t>
      </w:r>
      <w:r w:rsidR="00377ACE" w:rsidRPr="0093582B">
        <w:rPr>
          <w:rFonts w:cs="Times New Roman"/>
          <w:bCs/>
          <w:szCs w:val="28"/>
        </w:rPr>
        <w:t xml:space="preserve"> </w:t>
      </w:r>
      <w:r w:rsidR="004133DF" w:rsidRPr="0093582B">
        <w:rPr>
          <w:rFonts w:cs="Times New Roman"/>
          <w:bCs/>
          <w:szCs w:val="28"/>
        </w:rPr>
        <w:t xml:space="preserve">Эффективность МРТ 3 Тл </w:t>
      </w:r>
      <w:r w:rsidR="00707B79" w:rsidRPr="0093582B">
        <w:rPr>
          <w:rFonts w:cs="Times New Roman"/>
          <w:bCs/>
          <w:szCs w:val="28"/>
        </w:rPr>
        <w:t xml:space="preserve">составила </w:t>
      </w:r>
      <w:r w:rsidR="00711465" w:rsidRPr="0093582B">
        <w:rPr>
          <w:rFonts w:cs="Times New Roman"/>
          <w:bCs/>
          <w:szCs w:val="28"/>
        </w:rPr>
        <w:t>93,6%, что значительно выше эффективности 1,5 Тл МРТ (56,2%), р</w:t>
      </w:r>
      <w:r w:rsidR="00707B79" w:rsidRPr="0093582B">
        <w:rPr>
          <w:rFonts w:cs="Times New Roman"/>
          <w:bCs/>
          <w:szCs w:val="28"/>
        </w:rPr>
        <w:t>&lt;0,001.</w:t>
      </w:r>
      <w:r w:rsidR="00711465" w:rsidRPr="0093582B">
        <w:rPr>
          <w:rFonts w:cs="Times New Roman"/>
          <w:bCs/>
          <w:szCs w:val="28"/>
        </w:rPr>
        <w:t xml:space="preserve"> </w:t>
      </w:r>
      <w:r w:rsidR="00377ACE" w:rsidRPr="0093582B">
        <w:rPr>
          <w:rFonts w:cs="Times New Roman"/>
          <w:bCs/>
          <w:szCs w:val="28"/>
        </w:rPr>
        <w:t>Данные МРТ 1,5 и 3 Тесла в диагностике других структурных изменений (новообразования, кисты) в данной группе полностью совпадали, что говорит о возможности использования только одного из методов нейровизуализации для подтверждения подобной патологии.</w:t>
      </w:r>
      <w:r w:rsidRPr="0093582B">
        <w:rPr>
          <w:rFonts w:cs="Times New Roman"/>
          <w:bCs/>
          <w:szCs w:val="28"/>
        </w:rPr>
        <w:t xml:space="preserve"> </w:t>
      </w:r>
      <w:r w:rsidR="000E2207" w:rsidRPr="0093582B">
        <w:rPr>
          <w:rFonts w:cs="Times New Roman"/>
          <w:bCs/>
          <w:szCs w:val="28"/>
        </w:rPr>
        <w:t xml:space="preserve">Таким образом, в </w:t>
      </w:r>
      <w:r w:rsidRPr="0093582B">
        <w:rPr>
          <w:rFonts w:cs="Times New Roman"/>
          <w:bCs/>
          <w:szCs w:val="28"/>
        </w:rPr>
        <w:t>группе пациентов с различн</w:t>
      </w:r>
      <w:r w:rsidR="00290979" w:rsidRPr="0093582B">
        <w:rPr>
          <w:rFonts w:cs="Times New Roman"/>
          <w:bCs/>
          <w:szCs w:val="28"/>
        </w:rPr>
        <w:t>ой</w:t>
      </w:r>
      <w:r w:rsidRPr="0093582B">
        <w:rPr>
          <w:rFonts w:cs="Times New Roman"/>
          <w:bCs/>
          <w:szCs w:val="28"/>
        </w:rPr>
        <w:t xml:space="preserve"> структурн</w:t>
      </w:r>
      <w:r w:rsidR="00290979" w:rsidRPr="0093582B">
        <w:rPr>
          <w:rFonts w:cs="Times New Roman"/>
          <w:bCs/>
          <w:szCs w:val="28"/>
        </w:rPr>
        <w:t>ой</w:t>
      </w:r>
      <w:r w:rsidRPr="0093582B">
        <w:rPr>
          <w:rFonts w:cs="Times New Roman"/>
          <w:bCs/>
          <w:szCs w:val="28"/>
        </w:rPr>
        <w:t xml:space="preserve"> патологи</w:t>
      </w:r>
      <w:r w:rsidR="00290979" w:rsidRPr="0093582B">
        <w:rPr>
          <w:rFonts w:cs="Times New Roman"/>
          <w:bCs/>
          <w:szCs w:val="28"/>
        </w:rPr>
        <w:t>ей</w:t>
      </w:r>
      <w:r w:rsidR="000E2207" w:rsidRPr="0093582B">
        <w:rPr>
          <w:rFonts w:cs="Times New Roman"/>
          <w:bCs/>
          <w:szCs w:val="28"/>
        </w:rPr>
        <w:t xml:space="preserve"> </w:t>
      </w:r>
      <w:r w:rsidRPr="0093582B">
        <w:rPr>
          <w:rFonts w:cs="Times New Roman"/>
          <w:bCs/>
          <w:szCs w:val="28"/>
        </w:rPr>
        <w:t>провед</w:t>
      </w:r>
      <w:r w:rsidR="002603C7" w:rsidRPr="0093582B">
        <w:rPr>
          <w:rFonts w:cs="Times New Roman"/>
          <w:bCs/>
          <w:szCs w:val="28"/>
        </w:rPr>
        <w:t xml:space="preserve">ение </w:t>
      </w:r>
      <w:r w:rsidRPr="0093582B">
        <w:rPr>
          <w:rFonts w:cs="Times New Roman"/>
          <w:bCs/>
          <w:szCs w:val="28"/>
        </w:rPr>
        <w:t xml:space="preserve">МРТ 1,5 Тесла оказалось достаточно для окончательной постановки диагноза, однако для подтверждения гиппокампального склероза у большинства пациентов возникла необходимость в проведении визуализации в более высоком магнитном поле. ПЭТ-КТ в большинстве случаев информативно для оценки уровня метаболизма в </w:t>
      </w:r>
      <w:r w:rsidR="00AA779E" w:rsidRPr="0093582B">
        <w:rPr>
          <w:rFonts w:cs="Times New Roman"/>
          <w:bCs/>
          <w:szCs w:val="28"/>
        </w:rPr>
        <w:t>патологических зонах, а также описания границ изменений, однако данная информация не дает полного представления об этиологии структурных изменений.</w:t>
      </w:r>
    </w:p>
    <w:p w:rsidR="009C1741" w:rsidRPr="0093582B" w:rsidRDefault="009C1741" w:rsidP="00B15193">
      <w:pPr>
        <w:pStyle w:val="2"/>
      </w:pPr>
      <w:bookmarkStart w:id="23" w:name="_Toc104427541"/>
      <w:r w:rsidRPr="0093582B">
        <w:t>3.</w:t>
      </w:r>
      <w:r w:rsidR="00B15193" w:rsidRPr="0093582B">
        <w:t>5</w:t>
      </w:r>
      <w:r w:rsidR="00DD403B" w:rsidRPr="0093582B">
        <w:t>.</w:t>
      </w:r>
      <w:r w:rsidRPr="0093582B">
        <w:t xml:space="preserve"> Данные </w:t>
      </w:r>
      <w:r w:rsidR="00B15193" w:rsidRPr="0093582B">
        <w:t>функциональных методов исследования</w:t>
      </w:r>
      <w:bookmarkEnd w:id="23"/>
    </w:p>
    <w:p w:rsidR="00B15193" w:rsidRPr="0093582B" w:rsidRDefault="00B15193" w:rsidP="00B15193">
      <w:pPr>
        <w:pStyle w:val="a9"/>
      </w:pPr>
      <w:r w:rsidRPr="0093582B">
        <w:t xml:space="preserve">Всем пациентам было проведено видео-ЭЭГ мониторирование. При анализе заключений выделены наиболее характерные для эпилептической активности паттерны – комплекс острая медленная волна (КОМВ). Совпадение </w:t>
      </w:r>
      <w:r w:rsidRPr="0093582B">
        <w:lastRenderedPageBreak/>
        <w:t xml:space="preserve">локализации </w:t>
      </w:r>
      <w:r w:rsidR="00135DF4" w:rsidRPr="0093582B">
        <w:t xml:space="preserve">морфологического </w:t>
      </w:r>
      <w:r w:rsidRPr="0093582B">
        <w:t>очага</w:t>
      </w:r>
      <w:r w:rsidR="00135DF4" w:rsidRPr="0093582B">
        <w:t xml:space="preserve"> </w:t>
      </w:r>
      <w:r w:rsidRPr="0093582B">
        <w:t xml:space="preserve">и </w:t>
      </w:r>
      <w:r w:rsidR="00135DF4" w:rsidRPr="0093582B">
        <w:t xml:space="preserve">эпилептического фокуса по данным видео-ЭЭГ мониторинга </w:t>
      </w:r>
      <w:r w:rsidRPr="0093582B">
        <w:t>было выявлено у 33 (86,8%) пациентов, у 3 (7,9%) –</w:t>
      </w:r>
      <w:r w:rsidR="00135DF4" w:rsidRPr="0093582B">
        <w:t xml:space="preserve">не описано специфической эпиактивности, </w:t>
      </w:r>
      <w:r w:rsidRPr="0093582B">
        <w:t>у 2 (5,2%) –</w:t>
      </w:r>
      <w:r w:rsidR="00D428CF" w:rsidRPr="0093582B">
        <w:t xml:space="preserve"> сомнительный результат, назначено повторное исследование</w:t>
      </w:r>
      <w:r w:rsidR="00135DF4" w:rsidRPr="0093582B">
        <w:t>.</w:t>
      </w:r>
    </w:p>
    <w:p w:rsidR="00B15193" w:rsidRPr="0093582B" w:rsidRDefault="00BA73E7" w:rsidP="00274596">
      <w:pPr>
        <w:pStyle w:val="a9"/>
        <w:rPr>
          <w:bCs/>
        </w:rPr>
      </w:pPr>
      <w:r w:rsidRPr="0093582B">
        <w:rPr>
          <w:bCs/>
        </w:rPr>
        <w:t>Результаты ВЭМ представлены</w:t>
      </w:r>
      <w:r w:rsidR="00B15193" w:rsidRPr="0093582B">
        <w:rPr>
          <w:bCs/>
        </w:rPr>
        <w:t xml:space="preserve"> на рис.3.</w:t>
      </w:r>
    </w:p>
    <w:p w:rsidR="00135DF4" w:rsidRPr="0093582B" w:rsidRDefault="00D428CF" w:rsidP="00274596">
      <w:pPr>
        <w:pStyle w:val="a9"/>
      </w:pPr>
      <w:r w:rsidRPr="0093582B">
        <w:rPr>
          <w:noProof/>
        </w:rPr>
        <w:drawing>
          <wp:inline distT="0" distB="0" distL="0" distR="0" wp14:anchorId="5BD5E240" wp14:editId="375587F1">
            <wp:extent cx="5379720" cy="2590800"/>
            <wp:effectExtent l="0" t="0" r="1143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15193" w:rsidRPr="0093582B" w:rsidRDefault="00B15193" w:rsidP="004F6F07">
      <w:pPr>
        <w:jc w:val="center"/>
      </w:pPr>
      <w:r w:rsidRPr="0093582B">
        <w:t xml:space="preserve">Рис. 3 </w:t>
      </w:r>
      <w:r w:rsidR="00BA73E7" w:rsidRPr="0093582B">
        <w:t>Результаты видео-ЭЭГ мониторинга</w:t>
      </w:r>
    </w:p>
    <w:p w:rsidR="00B15193" w:rsidRPr="0093582B" w:rsidRDefault="00B15193" w:rsidP="00274596">
      <w:pPr>
        <w:pStyle w:val="a9"/>
        <w:spacing w:before="120"/>
      </w:pPr>
      <w:r w:rsidRPr="0093582B">
        <w:t xml:space="preserve">В большинстве случаев данные видео-ЭЭГ мониторинга соответствуют </w:t>
      </w:r>
      <w:r w:rsidR="004B0566" w:rsidRPr="0093582B">
        <w:t xml:space="preserve">морфологической </w:t>
      </w:r>
      <w:r w:rsidRPr="0093582B">
        <w:t>локализации очага, однако, в 13,1% случаев возникают трудности диаг</w:t>
      </w:r>
      <w:r w:rsidR="00BA73E7" w:rsidRPr="0093582B">
        <w:t>ностики</w:t>
      </w:r>
      <w:r w:rsidR="00611E17" w:rsidRPr="0093582B">
        <w:t xml:space="preserve"> и назначается повторное исследование</w:t>
      </w:r>
      <w:r w:rsidR="00BA73E7" w:rsidRPr="0093582B">
        <w:t>.</w:t>
      </w:r>
    </w:p>
    <w:p w:rsidR="00A7453E" w:rsidRPr="0093582B" w:rsidRDefault="002C21B1" w:rsidP="00BF18BD">
      <w:pPr>
        <w:pStyle w:val="a9"/>
      </w:pPr>
      <w:r w:rsidRPr="0093582B">
        <w:t xml:space="preserve">Ввиду низкой информативности рутинной ЭЭГ большинство пациентов данное исследование не проходили, а были направлены сразу на </w:t>
      </w:r>
      <w:r w:rsidR="0008766B" w:rsidRPr="0093582B">
        <w:t xml:space="preserve">длительный </w:t>
      </w:r>
      <w:r w:rsidRPr="0093582B">
        <w:t>ВЭМ</w:t>
      </w:r>
      <w:r w:rsidR="00506E29" w:rsidRPr="0093582B">
        <w:t xml:space="preserve"> </w:t>
      </w:r>
      <w:r w:rsidR="00711465" w:rsidRPr="0093582B">
        <w:t>(12-</w:t>
      </w:r>
      <w:r w:rsidR="0008766B" w:rsidRPr="0093582B">
        <w:t>часовой, суточный)</w:t>
      </w:r>
      <w:r w:rsidRPr="0093582B">
        <w:t>. Однако в истории болезни были описаны данные 7-ми пациентов, которым была выполнена запись ЭЭГ</w:t>
      </w:r>
      <w:r w:rsidR="0008766B" w:rsidRPr="0093582B">
        <w:t xml:space="preserve"> в течение 30 минут (2 пациента проходили более длительную запись – 4 часа)</w:t>
      </w:r>
      <w:r w:rsidRPr="0093582B">
        <w:t xml:space="preserve">, в заключениях </w:t>
      </w:r>
      <w:r w:rsidR="0008766B" w:rsidRPr="0093582B">
        <w:t xml:space="preserve">к </w:t>
      </w:r>
      <w:r w:rsidRPr="0093582B">
        <w:t>исследования</w:t>
      </w:r>
      <w:r w:rsidR="0008766B" w:rsidRPr="0093582B">
        <w:t>м</w:t>
      </w:r>
      <w:r w:rsidRPr="0093582B">
        <w:t xml:space="preserve"> специфической эпи-активности обнаружено не было.</w:t>
      </w:r>
      <w:r w:rsidR="0008766B" w:rsidRPr="0093582B">
        <w:t xml:space="preserve"> Эти данные согласуются с клиническими рекомендациями по ведению пациентов с эпилепсией, где отмечена низкая чувствительность рутинной ЭЭГ (20 - 55%) и рекомендован видео-ЭЭГ мониторинг для диагностики и определения тактики лечения пациентов с фармакорезистентными формами эпилепсии </w:t>
      </w:r>
      <w:r w:rsidR="0008766B" w:rsidRPr="0093582B">
        <w:fldChar w:fldCharType="begin" w:fldLock="1"/>
      </w:r>
      <w:r w:rsidR="003A1608" w:rsidRPr="0093582B">
        <w:instrText>ADDIN CSL_CITATION {"citationItems":[{"id":"ITEM-1","itemData":{"author":[{"dropping-particle":"","family":"Ассоциация нейрохирургов России","given":"","non-dropping-particle":"","parse-names":false,"suffix":""}],"id":"ITEM-1","issued":{"date-parts":[["2015"]]},"page":"20-22","title":"Клинические рекомендации по предоперационному обследованию и хирургическому лечению пациентов с фармакорезистентными формами эпилепсии: стандарты ведения больных для врачей.","type":"article-journal"},"uris":["http://www.mendeley.com/documents/?uuid=1b9c779b-1f7d-3d0c-9463-bdacc13cd630"]}],"mendeley":{"formattedCitation":"[8]","plainTextFormattedCitation":"[8]","previouslyFormattedCitation":"[8]"},"properties":{"noteIndex":0},"schema":"https://github.com/citation-style-language/schema/raw/master/csl-citation.json"}</w:instrText>
      </w:r>
      <w:r w:rsidR="0008766B" w:rsidRPr="0093582B">
        <w:fldChar w:fldCharType="separate"/>
      </w:r>
      <w:r w:rsidR="003A1608" w:rsidRPr="0093582B">
        <w:rPr>
          <w:noProof/>
        </w:rPr>
        <w:t>[8]</w:t>
      </w:r>
      <w:r w:rsidR="0008766B" w:rsidRPr="0093582B">
        <w:fldChar w:fldCharType="end"/>
      </w:r>
      <w:r w:rsidR="0008766B" w:rsidRPr="0093582B">
        <w:t>.</w:t>
      </w:r>
    </w:p>
    <w:p w:rsidR="00506E29" w:rsidRPr="0093582B" w:rsidRDefault="00506E29" w:rsidP="00506E29">
      <w:pPr>
        <w:pStyle w:val="2"/>
      </w:pPr>
      <w:bookmarkStart w:id="24" w:name="_Toc104427542"/>
      <w:r w:rsidRPr="0093582B">
        <w:lastRenderedPageBreak/>
        <w:t>3.6</w:t>
      </w:r>
      <w:r w:rsidR="00351946" w:rsidRPr="0093582B">
        <w:t>.</w:t>
      </w:r>
      <w:r w:rsidRPr="0093582B">
        <w:t xml:space="preserve"> Оценка </w:t>
      </w:r>
      <w:r w:rsidR="00EF4C8C" w:rsidRPr="0093582B">
        <w:t>когнитивных функций пациентов в постоперационном периоде</w:t>
      </w:r>
      <w:bookmarkEnd w:id="24"/>
    </w:p>
    <w:p w:rsidR="00AC04FC" w:rsidRPr="0093582B" w:rsidRDefault="00AC04FC" w:rsidP="00AC04FC">
      <w:pPr>
        <w:pStyle w:val="a9"/>
      </w:pPr>
      <w:r w:rsidRPr="0093582B">
        <w:t>Оценка когнитивных функций и качества жизни в постоперационном периоде были проведены у 11 пациентов</w:t>
      </w:r>
      <w:r w:rsidRPr="0093582B">
        <w:rPr>
          <w:sz w:val="22"/>
        </w:rPr>
        <w:t xml:space="preserve"> </w:t>
      </w:r>
      <w:r w:rsidRPr="0093582B">
        <w:t xml:space="preserve">в отдаленном постоперационном периоде (более 6 месяцев с момента операции), которые на момент выполнения выпускной квалификационной работы проходили обследование в стационаре. </w:t>
      </w:r>
    </w:p>
    <w:p w:rsidR="00AC04FC" w:rsidRPr="0093582B" w:rsidRDefault="00D171BE" w:rsidP="00AC04FC">
      <w:pPr>
        <w:pStyle w:val="a9"/>
      </w:pPr>
      <w:r w:rsidRPr="0093582B">
        <w:t>Средний возраст об</w:t>
      </w:r>
      <w:r w:rsidR="00AC04FC" w:rsidRPr="0093582B">
        <w:t xml:space="preserve">следуемых пациентов составил 36,9±11,1 </w:t>
      </w:r>
      <w:r w:rsidR="00DD403B" w:rsidRPr="0093582B">
        <w:t>год</w:t>
      </w:r>
      <w:r w:rsidR="00AC04FC" w:rsidRPr="0093582B">
        <w:t>. Среди них мужчин было 4 (36,4%), женщин – 7 (63,6%) человек.</w:t>
      </w:r>
    </w:p>
    <w:p w:rsidR="00D171BE" w:rsidRPr="0093582B" w:rsidRDefault="00AC04FC" w:rsidP="00AC04FC">
      <w:pPr>
        <w:pStyle w:val="a9"/>
      </w:pPr>
      <w:r w:rsidRPr="0093582B">
        <w:t xml:space="preserve">При оценке </w:t>
      </w:r>
      <w:r w:rsidR="00D171BE" w:rsidRPr="0093582B">
        <w:t>исходного</w:t>
      </w:r>
      <w:r w:rsidRPr="0093582B">
        <w:t xml:space="preserve"> неврологического статуса уч</w:t>
      </w:r>
      <w:r w:rsidR="004F6F07" w:rsidRPr="0093582B">
        <w:t>итывались</w:t>
      </w:r>
      <w:r w:rsidRPr="0093582B">
        <w:t xml:space="preserve"> жалобы пациентов на снижение </w:t>
      </w:r>
      <w:r w:rsidR="00B1473B" w:rsidRPr="0093582B">
        <w:t>когнитивных функций до операции</w:t>
      </w:r>
      <w:r w:rsidRPr="0093582B">
        <w:t xml:space="preserve"> </w:t>
      </w:r>
      <w:r w:rsidR="00B1473B" w:rsidRPr="0093582B">
        <w:t xml:space="preserve">- </w:t>
      </w:r>
      <w:r w:rsidRPr="0093582B">
        <w:t>их предъявляли 6 пациентов (54,5%). Жалобы и данные неврологического осмотра были представлены в виде фиксационной амнезии (снижение памяти на текущие события, снижение концентрации</w:t>
      </w:r>
      <w:r w:rsidR="00DD403B" w:rsidRPr="0093582B">
        <w:t xml:space="preserve"> внимания</w:t>
      </w:r>
      <w:r w:rsidRPr="0093582B">
        <w:t>), быстрой утомляемости при умственной работе, нарушений сна и снижения работоспособности.</w:t>
      </w:r>
    </w:p>
    <w:p w:rsidR="00707B79" w:rsidRPr="0093582B" w:rsidRDefault="00707B79" w:rsidP="00707B79">
      <w:pPr>
        <w:pStyle w:val="a9"/>
      </w:pPr>
      <w:r w:rsidRPr="0093582B">
        <w:t xml:space="preserve">В данной группе 5 (45,5%) пациентов до операции не имели изменений в неврологическом статусе, в то время как после операции у всех пациентов наблюдались неврологические нарушения. До операции 6 (54,5%) человек предъявляли жалобы на снижение когнитивных функций и у 1 (9,1%) пациента выявлены координаторные нарушения (нистагм). </w:t>
      </w:r>
    </w:p>
    <w:p w:rsidR="00941FA2" w:rsidRPr="0093582B" w:rsidRDefault="00707B79" w:rsidP="00707B79">
      <w:pPr>
        <w:pStyle w:val="a9"/>
      </w:pPr>
      <w:r w:rsidRPr="0093582B">
        <w:t>После операции все 11 (100%) пациентов имели объективные нарушения когнитивных функций, появились также гиперкинезы – у 1 (9,1%) пациента, нарушения функций черепных нервов – у 1 (9,1%) пациента и у 2 (18,2%) пациентов выявлен нистагм (координа</w:t>
      </w:r>
      <w:r w:rsidR="00C9379A" w:rsidRPr="0093582B">
        <w:t xml:space="preserve">торные нарушения). </w:t>
      </w:r>
      <w:r w:rsidR="00941FA2" w:rsidRPr="0093582B">
        <w:t xml:space="preserve"> </w:t>
      </w:r>
    </w:p>
    <w:p w:rsidR="00707B79" w:rsidRPr="0093582B" w:rsidRDefault="00941FA2" w:rsidP="00707B79">
      <w:pPr>
        <w:pStyle w:val="a9"/>
      </w:pPr>
      <w:r w:rsidRPr="0093582B">
        <w:t>На рисунке 4</w:t>
      </w:r>
      <w:r w:rsidR="00707B79" w:rsidRPr="0093582B">
        <w:t xml:space="preserve"> представлен</w:t>
      </w:r>
      <w:r w:rsidR="002E741A" w:rsidRPr="0093582B">
        <w:t xml:space="preserve"> сравнительный анализ </w:t>
      </w:r>
      <w:r w:rsidR="00707B79" w:rsidRPr="0093582B">
        <w:t>неврологического статуса у данных пациентов до и после операции.</w:t>
      </w:r>
    </w:p>
    <w:p w:rsidR="00707B79" w:rsidRPr="0093582B" w:rsidRDefault="00707B79" w:rsidP="00707B79">
      <w:pPr>
        <w:pStyle w:val="a9"/>
      </w:pPr>
      <w:r w:rsidRPr="0093582B">
        <w:rPr>
          <w:noProof/>
        </w:rPr>
        <w:lastRenderedPageBreak/>
        <w:drawing>
          <wp:inline distT="0" distB="0" distL="0" distR="0" wp14:anchorId="674D0875" wp14:editId="114A5D87">
            <wp:extent cx="5852160" cy="3276600"/>
            <wp:effectExtent l="0" t="0" r="1524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07B79" w:rsidRPr="0093582B" w:rsidRDefault="00941FA2" w:rsidP="004F6F07">
      <w:pPr>
        <w:jc w:val="center"/>
      </w:pPr>
      <w:r w:rsidRPr="0093582B">
        <w:t>Рис. 4</w:t>
      </w:r>
      <w:r w:rsidR="00B1473B" w:rsidRPr="0093582B">
        <w:t>.</w:t>
      </w:r>
      <w:r w:rsidR="00707B79" w:rsidRPr="0093582B">
        <w:t xml:space="preserve"> Оценка неврологического статуса у пациентов в до и после операции</w:t>
      </w:r>
    </w:p>
    <w:p w:rsidR="00707B79" w:rsidRPr="0093582B" w:rsidRDefault="00941FA2" w:rsidP="00EA200B">
      <w:pPr>
        <w:pStyle w:val="a9"/>
      </w:pPr>
      <w:r w:rsidRPr="0093582B">
        <w:t>О</w:t>
      </w:r>
      <w:r w:rsidR="00707B79" w:rsidRPr="0093582B">
        <w:t>бращает на себя внимание увеличение частоты неврологических нарушений в постоперационном периоде. Большая часть патологических изменений также, как и в дооперационном периоде затрагивае</w:t>
      </w:r>
      <w:r w:rsidR="00F66E58" w:rsidRPr="0093582B">
        <w:t>т когнитивные функции пациентов. Н</w:t>
      </w:r>
      <w:r w:rsidR="00707B79" w:rsidRPr="0093582B">
        <w:t xml:space="preserve">аблюдается увеличение доли пациентов с когнитивными нарушениями в 1,8 раз, </w:t>
      </w:r>
      <w:r w:rsidR="00707B79" w:rsidRPr="0093582B">
        <w:rPr>
          <w:lang w:val="en-US"/>
        </w:rPr>
        <w:t>p</w:t>
      </w:r>
      <w:r w:rsidR="00707B79" w:rsidRPr="0093582B">
        <w:t xml:space="preserve">-критерий для данного параметра сравнения составил 0,01, что говорит о статистически значимом отличии </w:t>
      </w:r>
      <w:r w:rsidR="00F66E58" w:rsidRPr="0093582B">
        <w:t xml:space="preserve">снижения </w:t>
      </w:r>
      <w:r w:rsidR="00707B79" w:rsidRPr="0093582B">
        <w:t>когнитивных</w:t>
      </w:r>
      <w:r w:rsidR="00F66E58" w:rsidRPr="0093582B">
        <w:t xml:space="preserve"> функций</w:t>
      </w:r>
      <w:r w:rsidR="00707B79" w:rsidRPr="0093582B">
        <w:t xml:space="preserve"> у групп до и после операции. Оперативное вмешательство чаще всего включало в себя одностороннюю резекцию височной доли и селективную амигдалогиппокампэктомию, то есть частичное удаление структур, отвечающих за </w:t>
      </w:r>
      <w:r w:rsidR="00EA200B" w:rsidRPr="0093582B">
        <w:t>формирование механизмов памяти.</w:t>
      </w:r>
    </w:p>
    <w:p w:rsidR="007E39CD" w:rsidRPr="0093582B" w:rsidRDefault="00506E29" w:rsidP="006B152D">
      <w:pPr>
        <w:pStyle w:val="3"/>
      </w:pPr>
      <w:bookmarkStart w:id="25" w:name="_Toc104427543"/>
      <w:r w:rsidRPr="0093582B">
        <w:t>3.6.1</w:t>
      </w:r>
      <w:r w:rsidR="00B1473B" w:rsidRPr="0093582B">
        <w:t>.</w:t>
      </w:r>
      <w:r w:rsidRPr="0093582B">
        <w:t xml:space="preserve"> Оценка когнитивных функций по Монреальской шкале</w:t>
      </w:r>
      <w:bookmarkEnd w:id="25"/>
    </w:p>
    <w:p w:rsidR="002F7A7C" w:rsidRPr="0093582B" w:rsidRDefault="002F7A7C" w:rsidP="002F7A7C">
      <w:pPr>
        <w:pStyle w:val="a9"/>
      </w:pPr>
      <w:r w:rsidRPr="0093582B">
        <w:t xml:space="preserve">Монреальская шкала оценки когнитивных функций (МоСа) представляет </w:t>
      </w:r>
      <w:r w:rsidR="004F394D" w:rsidRPr="0093582B">
        <w:t>собой</w:t>
      </w:r>
      <w:r w:rsidRPr="0093582B">
        <w:t xml:space="preserve"> опросник, включающий 30 вопросов</w:t>
      </w:r>
      <w:r w:rsidR="00977863">
        <w:t xml:space="preserve"> (</w:t>
      </w:r>
      <w:r w:rsidR="008E39D5">
        <w:t xml:space="preserve">см. </w:t>
      </w:r>
      <w:r w:rsidR="00977863">
        <w:t>Приложение 1)</w:t>
      </w:r>
      <w:r w:rsidRPr="0093582B">
        <w:t xml:space="preserve">. Проводится оценка нарушений в различных сферах: внимание и </w:t>
      </w:r>
      <w:r w:rsidR="004F394D" w:rsidRPr="0093582B">
        <w:t xml:space="preserve">его </w:t>
      </w:r>
      <w:r w:rsidRPr="0093582B">
        <w:t xml:space="preserve">концентрация, исполнительные функции, память, </w:t>
      </w:r>
      <w:r w:rsidR="00F66E58" w:rsidRPr="0093582B">
        <w:t>р</w:t>
      </w:r>
      <w:r w:rsidR="004F394D" w:rsidRPr="0093582B">
        <w:t>ечь,</w:t>
      </w:r>
      <w:r w:rsidRPr="0093582B">
        <w:t xml:space="preserve"> зрительно-конструктивные навыки, </w:t>
      </w:r>
      <w:r w:rsidRPr="0093582B">
        <w:lastRenderedPageBreak/>
        <w:t>абстрактное мышление, счет и ориентация. Максимально возможное количество баллов – 30. За норму принято 26 баллов и более. Интерпретация результатов теста не предусматривает градацию по тяжести нарушений в зависимости от набранного балла.</w:t>
      </w:r>
    </w:p>
    <w:p w:rsidR="002F7A7C" w:rsidRPr="0093582B" w:rsidRDefault="002F7A7C" w:rsidP="002F7A7C">
      <w:pPr>
        <w:pStyle w:val="a9"/>
      </w:pPr>
      <w:r w:rsidRPr="0093582B">
        <w:t>Средний балл пациентов по шкале МоСа составил 20,4</w:t>
      </w:r>
      <w:r w:rsidR="00AC04FC" w:rsidRPr="0093582B">
        <w:t>±</w:t>
      </w:r>
      <w:r w:rsidRPr="0093582B">
        <w:t xml:space="preserve">2,3 балла. </w:t>
      </w:r>
      <w:r w:rsidR="004F394D" w:rsidRPr="0093582B">
        <w:t>Из об</w:t>
      </w:r>
      <w:r w:rsidRPr="0093582B">
        <w:t>следуемых никто не набрал 26 баллов и более, что говорит о наличии когнитивных нарушений в данной группе.</w:t>
      </w:r>
    </w:p>
    <w:p w:rsidR="002F7A7C" w:rsidRPr="0093582B" w:rsidRDefault="00506E29" w:rsidP="002F7A7C">
      <w:pPr>
        <w:pStyle w:val="3"/>
      </w:pPr>
      <w:bookmarkStart w:id="26" w:name="_Toc104427544"/>
      <w:r w:rsidRPr="0093582B">
        <w:t>3.6.2</w:t>
      </w:r>
      <w:r w:rsidR="00E143AD">
        <w:t>.</w:t>
      </w:r>
      <w:r w:rsidRPr="0093582B">
        <w:t xml:space="preserve"> Оценка когнитивных функций по </w:t>
      </w:r>
      <w:r w:rsidR="00EF4C8C" w:rsidRPr="0093582B">
        <w:t>тесту</w:t>
      </w:r>
      <w:r w:rsidRPr="0093582B">
        <w:t xml:space="preserve"> </w:t>
      </w:r>
      <w:r w:rsidRPr="0093582B">
        <w:rPr>
          <w:lang w:val="en-US"/>
        </w:rPr>
        <w:t>MMSE</w:t>
      </w:r>
      <w:bookmarkEnd w:id="26"/>
    </w:p>
    <w:p w:rsidR="002F7A7C" w:rsidRPr="0093582B" w:rsidRDefault="002F7A7C" w:rsidP="002F7A7C">
      <w:pPr>
        <w:pStyle w:val="a9"/>
      </w:pPr>
      <w:r w:rsidRPr="0093582B">
        <w:t xml:space="preserve">Шкала </w:t>
      </w:r>
      <w:r w:rsidRPr="0093582B">
        <w:rPr>
          <w:lang w:val="en-US"/>
        </w:rPr>
        <w:t>MMSE</w:t>
      </w:r>
      <w:r w:rsidRPr="0093582B">
        <w:t xml:space="preserve"> была создана как скриниговый инструмент для выявления деменции</w:t>
      </w:r>
      <w:r w:rsidR="008E39D5">
        <w:t xml:space="preserve"> </w:t>
      </w:r>
      <w:r w:rsidR="008E39D5" w:rsidRPr="008E39D5">
        <w:t>(см. Приложение 2)</w:t>
      </w:r>
      <w:r w:rsidRPr="0093582B">
        <w:t>. Шкала оценивает такие когнитивные функции как: ориентацию в месте и времени, кратковременную память, устный счёт, внимание, речь, восприятие, узнавание, способность к письму, чтению, рисованию, восприятию логических конструкций, выполнению последовательных действий. Тест состоит из 9 частей. За правильное выполнение каждого пункта начисляются баллы (максимум 30 баллов). Вопросы задаются устно, одновременно оценивается реакция на обращённую речь, возможные сложности в усвоении устных инструкций</w:t>
      </w:r>
      <w:r w:rsidR="008E39D5">
        <w:t>.</w:t>
      </w:r>
    </w:p>
    <w:p w:rsidR="002F7A7C" w:rsidRPr="0093582B" w:rsidRDefault="002F7A7C" w:rsidP="00FC32EC">
      <w:pPr>
        <w:pStyle w:val="a9"/>
      </w:pPr>
      <w:r w:rsidRPr="0093582B">
        <w:t xml:space="preserve">Интерпретация результатов включает в себя оценку набранных баллов: </w:t>
      </w:r>
      <w:r w:rsidR="00FC32EC" w:rsidRPr="0093582B">
        <w:t>28 – 30 баллов – нет нарушений когнитивных функций;</w:t>
      </w:r>
      <w:r w:rsidR="00347780" w:rsidRPr="0093582B">
        <w:t xml:space="preserve"> </w:t>
      </w:r>
      <w:r w:rsidR="00FC32EC" w:rsidRPr="0093582B">
        <w:t>24 – 27 баллов – преддементные когнитивные нарушения; 20 – 23 балла – деменция легкой степени выраженности; 11 – 19 баллов – деменция умеренной степени выраженности; 0 – 10 баллов – тяжелая деменция.</w:t>
      </w:r>
    </w:p>
    <w:p w:rsidR="002F7A7C" w:rsidRPr="0093582B" w:rsidRDefault="002F7A7C" w:rsidP="002F7A7C">
      <w:pPr>
        <w:pStyle w:val="a9"/>
      </w:pPr>
      <w:r w:rsidRPr="0093582B">
        <w:t>Среди 11 обследуемых пациентов были получены следующие результаты: у 2(18,2%)</w:t>
      </w:r>
      <w:r w:rsidR="00347780" w:rsidRPr="0093582B">
        <w:t xml:space="preserve"> нет нарушений когнитивных функций</w:t>
      </w:r>
      <w:r w:rsidRPr="0093582B">
        <w:t xml:space="preserve">, у 5(45,5%) пациентов – </w:t>
      </w:r>
      <w:r w:rsidR="00347780" w:rsidRPr="0093582B">
        <w:t>преддементные когнитивные нарушения</w:t>
      </w:r>
      <w:r w:rsidRPr="0093582B">
        <w:t>, у 4(36,4%) пациентов – легкая деменция.</w:t>
      </w:r>
    </w:p>
    <w:p w:rsidR="00EA200B" w:rsidRPr="0093582B" w:rsidRDefault="00EA200B">
      <w:pPr>
        <w:rPr>
          <w:sz w:val="28"/>
        </w:rPr>
      </w:pPr>
      <w:r w:rsidRPr="0093582B">
        <w:br w:type="page"/>
      </w:r>
    </w:p>
    <w:p w:rsidR="009A2C55" w:rsidRPr="0093582B" w:rsidRDefault="002F7A7C" w:rsidP="002F7A7C">
      <w:pPr>
        <w:pStyle w:val="a9"/>
      </w:pPr>
      <w:r w:rsidRPr="0093582B">
        <w:lastRenderedPageBreak/>
        <w:t xml:space="preserve">Результаты тестирования по шкале </w:t>
      </w:r>
      <w:r w:rsidRPr="0093582B">
        <w:rPr>
          <w:lang w:val="en-US"/>
        </w:rPr>
        <w:t>MMSE</w:t>
      </w:r>
      <w:r w:rsidR="00DD5F29">
        <w:t xml:space="preserve"> представлены на рисунке 5</w:t>
      </w:r>
      <w:r w:rsidRPr="0093582B">
        <w:t>.</w:t>
      </w:r>
    </w:p>
    <w:p w:rsidR="002F7A7C" w:rsidRPr="0093582B" w:rsidRDefault="002F7A7C" w:rsidP="002F7A7C">
      <w:pPr>
        <w:pStyle w:val="a9"/>
      </w:pPr>
      <w:r w:rsidRPr="0093582B">
        <w:rPr>
          <w:noProof/>
        </w:rPr>
        <w:drawing>
          <wp:inline distT="0" distB="0" distL="0" distR="0" wp14:anchorId="6CF2C288" wp14:editId="381DC7FA">
            <wp:extent cx="4625340" cy="2651760"/>
            <wp:effectExtent l="0" t="0" r="381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32EC" w:rsidRPr="0093582B" w:rsidRDefault="00DD5F29" w:rsidP="00EA200B">
      <w:pPr>
        <w:jc w:val="center"/>
        <w:rPr>
          <w:szCs w:val="24"/>
        </w:rPr>
      </w:pPr>
      <w:r>
        <w:rPr>
          <w:szCs w:val="24"/>
        </w:rPr>
        <w:t>Рис. 5</w:t>
      </w:r>
      <w:r w:rsidR="00082CFD" w:rsidRPr="0093582B">
        <w:rPr>
          <w:szCs w:val="24"/>
        </w:rPr>
        <w:t>.</w:t>
      </w:r>
      <w:r w:rsidR="00FC32EC" w:rsidRPr="0093582B">
        <w:rPr>
          <w:szCs w:val="24"/>
        </w:rPr>
        <w:t xml:space="preserve"> Результаты </w:t>
      </w:r>
      <w:r w:rsidR="00082CFD" w:rsidRPr="0093582B">
        <w:rPr>
          <w:szCs w:val="24"/>
        </w:rPr>
        <w:t xml:space="preserve">тестирования по </w:t>
      </w:r>
      <w:r w:rsidR="00FC32EC" w:rsidRPr="0093582B">
        <w:rPr>
          <w:szCs w:val="24"/>
        </w:rPr>
        <w:t>шкал</w:t>
      </w:r>
      <w:r w:rsidR="00082CFD" w:rsidRPr="0093582B">
        <w:rPr>
          <w:szCs w:val="24"/>
        </w:rPr>
        <w:t>е</w:t>
      </w:r>
      <w:r w:rsidR="00FC32EC" w:rsidRPr="0093582B">
        <w:rPr>
          <w:szCs w:val="24"/>
        </w:rPr>
        <w:t xml:space="preserve"> </w:t>
      </w:r>
      <w:r w:rsidR="00FC32EC" w:rsidRPr="0093582B">
        <w:rPr>
          <w:szCs w:val="24"/>
          <w:lang w:val="en-US"/>
        </w:rPr>
        <w:t>MMSE</w:t>
      </w:r>
      <w:r w:rsidR="00082CFD" w:rsidRPr="0093582B">
        <w:rPr>
          <w:szCs w:val="24"/>
        </w:rPr>
        <w:t xml:space="preserve"> </w:t>
      </w:r>
      <w:r w:rsidR="00FC32EC" w:rsidRPr="0093582B">
        <w:rPr>
          <w:szCs w:val="24"/>
        </w:rPr>
        <w:t>пациентов в постоперационном периоде</w:t>
      </w:r>
    </w:p>
    <w:p w:rsidR="002F7A7C" w:rsidRPr="0093582B" w:rsidRDefault="00AE55E2" w:rsidP="00347780">
      <w:pPr>
        <w:pStyle w:val="a9"/>
      </w:pPr>
      <w:r w:rsidRPr="0093582B">
        <w:t>Р</w:t>
      </w:r>
      <w:r w:rsidR="00FC32EC" w:rsidRPr="0093582B">
        <w:t>езультат</w:t>
      </w:r>
      <w:r w:rsidRPr="0093582B">
        <w:t>ы</w:t>
      </w:r>
      <w:r w:rsidR="00FC32EC" w:rsidRPr="0093582B">
        <w:t xml:space="preserve"> тестирования </w:t>
      </w:r>
      <w:r w:rsidRPr="0093582B">
        <w:t>указывают на</w:t>
      </w:r>
      <w:r w:rsidR="00FC32EC" w:rsidRPr="0093582B">
        <w:t xml:space="preserve"> снижение когнитивных функций разной степени выраженности</w:t>
      </w:r>
      <w:r w:rsidRPr="0093582B">
        <w:t xml:space="preserve"> у подавляющего большинства</w:t>
      </w:r>
      <w:r w:rsidR="00082CFD" w:rsidRPr="0093582B">
        <w:t xml:space="preserve"> больных</w:t>
      </w:r>
      <w:r w:rsidRPr="0093582B">
        <w:t xml:space="preserve">. Два </w:t>
      </w:r>
      <w:r w:rsidR="00347780" w:rsidRPr="0093582B">
        <w:t>пациента набрали 28 баллов</w:t>
      </w:r>
      <w:r w:rsidRPr="0093582B">
        <w:t xml:space="preserve"> - по данной шкале это </w:t>
      </w:r>
      <w:r w:rsidR="00347780" w:rsidRPr="0093582B">
        <w:t xml:space="preserve">значение </w:t>
      </w:r>
      <w:r w:rsidRPr="0093582B">
        <w:t>соответствует норме</w:t>
      </w:r>
      <w:r w:rsidR="001009F3" w:rsidRPr="0093582B">
        <w:t xml:space="preserve">. </w:t>
      </w:r>
      <w:r w:rsidR="00347780" w:rsidRPr="0093582B">
        <w:t>Следует отметить, что чувствительность теста довольно низка и требует динамической оценки с интервалом в несколько месяцев.</w:t>
      </w:r>
    </w:p>
    <w:p w:rsidR="007E39CD" w:rsidRPr="0093582B" w:rsidRDefault="00506E29" w:rsidP="006B152D">
      <w:pPr>
        <w:pStyle w:val="3"/>
      </w:pPr>
      <w:bookmarkStart w:id="27" w:name="_Toc104427545"/>
      <w:r w:rsidRPr="0093582B">
        <w:t>3.6.3</w:t>
      </w:r>
      <w:r w:rsidR="002F3CDB" w:rsidRPr="0093582B">
        <w:t>.</w:t>
      </w:r>
      <w:r w:rsidRPr="0093582B">
        <w:t xml:space="preserve"> </w:t>
      </w:r>
      <w:r w:rsidR="00EF4C8C" w:rsidRPr="0093582B">
        <w:t>Оценка результатов тестирования по батарее лобной дисфункции</w:t>
      </w:r>
      <w:bookmarkEnd w:id="27"/>
    </w:p>
    <w:p w:rsidR="00347780" w:rsidRPr="0093582B" w:rsidRDefault="00347780" w:rsidP="00347780">
      <w:pPr>
        <w:pStyle w:val="a9"/>
      </w:pPr>
      <w:r w:rsidRPr="0093582B">
        <w:t>Опрос пациентов по батарее тестов лобной дисфункции используется как дополнительный метод диагностики когнитивных нарушений, методика эффективна для скрининга деменций с преимущественным поражением лобных долей или подкорковых церебральных структур</w:t>
      </w:r>
      <w:r w:rsidR="008E39D5">
        <w:t xml:space="preserve"> </w:t>
      </w:r>
      <w:r w:rsidR="008E39D5" w:rsidRPr="008E39D5">
        <w:t>(см. П</w:t>
      </w:r>
      <w:r w:rsidR="008E39D5">
        <w:t>риложение 3</w:t>
      </w:r>
      <w:r w:rsidR="008E39D5" w:rsidRPr="008E39D5">
        <w:t>)</w:t>
      </w:r>
      <w:r w:rsidRPr="0093582B">
        <w:t xml:space="preserve">. </w:t>
      </w:r>
      <w:r w:rsidR="00FD005C" w:rsidRPr="0093582B">
        <w:t>В случае лобной деменции шкала MMSE обладает более низкой чувствительностью по сравнению с данной методикой.</w:t>
      </w:r>
    </w:p>
    <w:p w:rsidR="00FD005C" w:rsidRPr="0093582B" w:rsidRDefault="00AC04FC" w:rsidP="00FD005C">
      <w:pPr>
        <w:pStyle w:val="a9"/>
        <w:rPr>
          <w:rFonts w:eastAsia="Times New Roman"/>
        </w:rPr>
      </w:pPr>
      <w:r w:rsidRPr="0093582B">
        <w:t>Батарея лобной д</w:t>
      </w:r>
      <w:r w:rsidR="00FD005C" w:rsidRPr="0093582B">
        <w:t>исфункции представляет ряд заданий</w:t>
      </w:r>
      <w:r w:rsidR="00FD005C" w:rsidRPr="0093582B">
        <w:rPr>
          <w:rFonts w:eastAsia="Times New Roman"/>
        </w:rPr>
        <w:t>, позволяющих выявить нарушения мышления, анализа, обобщения, выбора, беглости речи, внимания, праксиса, реакции внимания. Максимальное значение – 18 баллов</w:t>
      </w:r>
      <w:r w:rsidR="002F3CDB" w:rsidRPr="0093582B">
        <w:rPr>
          <w:rFonts w:eastAsia="Times New Roman"/>
        </w:rPr>
        <w:t>,</w:t>
      </w:r>
      <w:r w:rsidR="00FD005C" w:rsidRPr="0093582B">
        <w:rPr>
          <w:rFonts w:eastAsia="Times New Roman"/>
        </w:rPr>
        <w:t xml:space="preserve"> соответству</w:t>
      </w:r>
      <w:r w:rsidR="002F3CDB" w:rsidRPr="0093582B">
        <w:rPr>
          <w:rFonts w:eastAsia="Times New Roman"/>
        </w:rPr>
        <w:t>ющее</w:t>
      </w:r>
      <w:r w:rsidR="00FD005C" w:rsidRPr="0093582B">
        <w:rPr>
          <w:rFonts w:eastAsia="Times New Roman"/>
        </w:rPr>
        <w:t xml:space="preserve"> норме, 16-17</w:t>
      </w:r>
      <w:r w:rsidR="00D02A7A" w:rsidRPr="0093582B">
        <w:rPr>
          <w:rFonts w:eastAsia="Times New Roman"/>
        </w:rPr>
        <w:t xml:space="preserve"> баллов</w:t>
      </w:r>
      <w:r w:rsidR="001009F3" w:rsidRPr="0093582B">
        <w:rPr>
          <w:rFonts w:eastAsia="Times New Roman"/>
        </w:rPr>
        <w:t xml:space="preserve"> </w:t>
      </w:r>
      <w:r w:rsidR="002F3CDB" w:rsidRPr="0093582B">
        <w:rPr>
          <w:rFonts w:eastAsia="Times New Roman"/>
        </w:rPr>
        <w:t xml:space="preserve">соответствует </w:t>
      </w:r>
      <w:r w:rsidR="00FD005C" w:rsidRPr="0093582B">
        <w:rPr>
          <w:rFonts w:eastAsia="Times New Roman"/>
        </w:rPr>
        <w:t xml:space="preserve">легким когнитивным </w:t>
      </w:r>
      <w:r w:rsidR="00FD005C" w:rsidRPr="0093582B">
        <w:rPr>
          <w:rFonts w:eastAsia="Times New Roman"/>
        </w:rPr>
        <w:lastRenderedPageBreak/>
        <w:t xml:space="preserve">расстройствам, 12-15 </w:t>
      </w:r>
      <w:r w:rsidR="00D02A7A" w:rsidRPr="0093582B">
        <w:rPr>
          <w:rFonts w:eastAsia="Times New Roman"/>
        </w:rPr>
        <w:t xml:space="preserve">баллов </w:t>
      </w:r>
      <w:r w:rsidR="00FD005C" w:rsidRPr="0093582B">
        <w:rPr>
          <w:rFonts w:eastAsia="Times New Roman"/>
        </w:rPr>
        <w:t xml:space="preserve">– умеренной лобной дисфункции в отсутствие деменции, 11 </w:t>
      </w:r>
      <w:r w:rsidR="00D02A7A" w:rsidRPr="0093582B">
        <w:rPr>
          <w:rFonts w:eastAsia="Times New Roman"/>
        </w:rPr>
        <w:t>баллов и ниже характерны для деменции</w:t>
      </w:r>
      <w:r w:rsidR="00FD005C" w:rsidRPr="0093582B">
        <w:rPr>
          <w:rFonts w:eastAsia="Times New Roman"/>
        </w:rPr>
        <w:t xml:space="preserve"> лобного типа.</w:t>
      </w:r>
    </w:p>
    <w:p w:rsidR="00FD005C" w:rsidRPr="0093582B" w:rsidRDefault="00D02A7A" w:rsidP="00FD005C">
      <w:pPr>
        <w:pStyle w:val="a9"/>
      </w:pPr>
      <w:r w:rsidRPr="0093582B">
        <w:t>У обследуемых пациентов получены следующие результаты: 1 (9,1%) пациент набрал максимальное количество баллов, 10 (90,9%) пациентов имеют умеренную лобную дисфункцию.</w:t>
      </w:r>
    </w:p>
    <w:p w:rsidR="00FD005C" w:rsidRPr="0093582B" w:rsidRDefault="00D02A7A" w:rsidP="00347780">
      <w:pPr>
        <w:pStyle w:val="a9"/>
      </w:pPr>
      <w:r w:rsidRPr="0093582B">
        <w:t>Результаты батареи лобной дисфункции дополняют предыдущие тестирования, исходя из чего можно сделать вывод о том, что у большинства пациентов имеется диффузный характер поражения структур мозга, отвечающих за когнитивные функции, несмотря на локальное хирургическое вмешательство в височной доле и в зоне гиппокампа.</w:t>
      </w:r>
    </w:p>
    <w:p w:rsidR="00EF4C8C" w:rsidRPr="0093582B" w:rsidRDefault="00EF4C8C" w:rsidP="006B152D">
      <w:pPr>
        <w:pStyle w:val="3"/>
      </w:pPr>
      <w:bookmarkStart w:id="28" w:name="_Toc104427546"/>
      <w:r w:rsidRPr="0093582B">
        <w:t>3.6.4</w:t>
      </w:r>
      <w:r w:rsidR="002F3CDB" w:rsidRPr="0093582B">
        <w:t>.</w:t>
      </w:r>
      <w:r w:rsidRPr="0093582B">
        <w:t xml:space="preserve"> </w:t>
      </w:r>
      <w:r w:rsidR="002F3CDB" w:rsidRPr="0093582B">
        <w:t xml:space="preserve">Результаты </w:t>
      </w:r>
      <w:r w:rsidR="00552DFB" w:rsidRPr="0093582B">
        <w:t>об</w:t>
      </w:r>
      <w:r w:rsidR="002F3CDB" w:rsidRPr="0093582B">
        <w:t>следования</w:t>
      </w:r>
      <w:r w:rsidR="00552DFB" w:rsidRPr="0093582B">
        <w:t xml:space="preserve"> пациентов</w:t>
      </w:r>
      <w:r w:rsidR="002F3CDB" w:rsidRPr="0093582B">
        <w:t xml:space="preserve"> с помощью таблиц</w:t>
      </w:r>
      <w:r w:rsidRPr="0093582B">
        <w:t xml:space="preserve"> Шульте</w:t>
      </w:r>
      <w:bookmarkEnd w:id="28"/>
    </w:p>
    <w:p w:rsidR="00AC04FC" w:rsidRPr="0093582B" w:rsidRDefault="00AC04FC" w:rsidP="00AC04FC">
      <w:pPr>
        <w:pStyle w:val="a9"/>
      </w:pPr>
      <w:r w:rsidRPr="0093582B">
        <w:t xml:space="preserve">Таблицы Шульте представляют </w:t>
      </w:r>
      <w:r w:rsidR="002F3CDB" w:rsidRPr="0093582B">
        <w:t>собой</w:t>
      </w:r>
      <w:r w:rsidRPr="0093582B">
        <w:t xml:space="preserve"> таблицы 5:5 элементов со случайно расположенным</w:t>
      </w:r>
      <w:r w:rsidR="00552DFB" w:rsidRPr="0093582B">
        <w:t>и числами от 1 до 25.</w:t>
      </w:r>
      <w:r w:rsidRPr="0093582B">
        <w:t xml:space="preserve"> </w:t>
      </w:r>
      <w:r w:rsidR="00552DFB" w:rsidRPr="0093582B">
        <w:t>П</w:t>
      </w:r>
      <w:r w:rsidR="000F5C6F" w:rsidRPr="0093582B">
        <w:t xml:space="preserve">ациенту предлагается </w:t>
      </w:r>
      <w:r w:rsidR="00552DFB" w:rsidRPr="0093582B">
        <w:t xml:space="preserve">показать и назвать все числа по порядку с </w:t>
      </w:r>
      <w:r w:rsidR="000F5C6F" w:rsidRPr="0093582B">
        <w:t>одновременно</w:t>
      </w:r>
      <w:r w:rsidR="00552DFB" w:rsidRPr="0093582B">
        <w:t>й фиксацией исследующим</w:t>
      </w:r>
      <w:r w:rsidR="000F5C6F" w:rsidRPr="0093582B">
        <w:t xml:space="preserve"> </w:t>
      </w:r>
      <w:r w:rsidR="00552DFB" w:rsidRPr="0093582B">
        <w:t>за</w:t>
      </w:r>
      <w:r w:rsidR="000F5C6F" w:rsidRPr="0093582B">
        <w:t>траченно</w:t>
      </w:r>
      <w:r w:rsidR="00552DFB" w:rsidRPr="0093582B">
        <w:t>го</w:t>
      </w:r>
      <w:r w:rsidR="000F5C6F" w:rsidRPr="0093582B">
        <w:t xml:space="preserve"> врем</w:t>
      </w:r>
      <w:r w:rsidR="00552DFB" w:rsidRPr="0093582B">
        <w:t>ени</w:t>
      </w:r>
      <w:r w:rsidR="000F5C6F" w:rsidRPr="0093582B">
        <w:t xml:space="preserve"> на выполнение теста. Диагностика проводится 5 раз подряд, с разными таблицами</w:t>
      </w:r>
      <w:r w:rsidR="008E39D5">
        <w:t xml:space="preserve"> </w:t>
      </w:r>
      <w:r w:rsidR="008E39D5" w:rsidRPr="008E39D5">
        <w:t>(см. П</w:t>
      </w:r>
      <w:r w:rsidR="008E39D5">
        <w:t>риложение 4</w:t>
      </w:r>
      <w:r w:rsidR="008E39D5" w:rsidRPr="008E39D5">
        <w:t>)</w:t>
      </w:r>
      <w:r w:rsidR="000F5C6F" w:rsidRPr="0093582B">
        <w:t>. Тест используют для определения устойчивости внимания и динамики работоспособности.</w:t>
      </w:r>
    </w:p>
    <w:p w:rsidR="000F5C6F" w:rsidRPr="0093582B" w:rsidRDefault="003D512E" w:rsidP="003D512E">
      <w:pPr>
        <w:pStyle w:val="a9"/>
      </w:pPr>
      <w:r w:rsidRPr="0093582B">
        <w:t xml:space="preserve"> </w:t>
      </w:r>
      <w:r w:rsidR="000F5C6F" w:rsidRPr="0093582B">
        <w:t xml:space="preserve">При обработке результатов рассчитываются следующие показатели: </w:t>
      </w:r>
    </w:p>
    <w:p w:rsidR="000F5C6F" w:rsidRPr="0093582B" w:rsidRDefault="003D512E" w:rsidP="000F5C6F">
      <w:pPr>
        <w:pStyle w:val="a9"/>
        <w:numPr>
          <w:ilvl w:val="0"/>
          <w:numId w:val="16"/>
        </w:numPr>
      </w:pPr>
      <w:r w:rsidRPr="0093582B">
        <w:t>Э</w:t>
      </w:r>
      <w:r w:rsidR="000F5C6F" w:rsidRPr="0093582B">
        <w:t xml:space="preserve">ффективность работы (ЭР в норме – до 30 секунд) по формуле: </w:t>
      </w:r>
    </w:p>
    <w:p w:rsidR="000F5C6F" w:rsidRPr="0093582B" w:rsidRDefault="000F5C6F" w:rsidP="000F5C6F">
      <w:pPr>
        <w:pStyle w:val="a9"/>
        <w:ind w:left="1069" w:firstLine="0"/>
      </w:pPr>
      <w:r w:rsidRPr="0093582B">
        <w:t>ЭР = (Т1+Т2+Т3+Т4+Т5)/5</w:t>
      </w:r>
    </w:p>
    <w:p w:rsidR="000F5C6F" w:rsidRPr="0093582B" w:rsidRDefault="000F5C6F" w:rsidP="000F5C6F">
      <w:pPr>
        <w:pStyle w:val="a9"/>
        <w:ind w:left="1069" w:firstLine="0"/>
      </w:pPr>
      <w:r w:rsidRPr="0093582B">
        <w:t>Т</w:t>
      </w:r>
      <w:r w:rsidRPr="0093582B">
        <w:rPr>
          <w:lang w:val="en-US"/>
        </w:rPr>
        <w:t>i</w:t>
      </w:r>
      <w:r w:rsidRPr="0093582B">
        <w:t xml:space="preserve"> – время работы с </w:t>
      </w:r>
      <w:r w:rsidRPr="0093582B">
        <w:rPr>
          <w:lang w:val="en-US"/>
        </w:rPr>
        <w:t>i</w:t>
      </w:r>
      <w:r w:rsidRPr="0093582B">
        <w:t xml:space="preserve"> таблицей, 5 – количество рассмотренных таблиц</w:t>
      </w:r>
    </w:p>
    <w:p w:rsidR="000F5C6F" w:rsidRPr="0093582B" w:rsidRDefault="003D512E" w:rsidP="003D512E">
      <w:pPr>
        <w:pStyle w:val="a9"/>
        <w:numPr>
          <w:ilvl w:val="0"/>
          <w:numId w:val="16"/>
        </w:numPr>
      </w:pPr>
      <w:r w:rsidRPr="0093582B">
        <w:t>Степень врабатываемости (СР в норме &lt;1) по формуле:</w:t>
      </w:r>
    </w:p>
    <w:p w:rsidR="003D512E" w:rsidRPr="0093582B" w:rsidRDefault="003D512E" w:rsidP="003D512E">
      <w:pPr>
        <w:pStyle w:val="a9"/>
        <w:ind w:left="1069" w:firstLine="0"/>
      </w:pPr>
      <w:r w:rsidRPr="0093582B">
        <w:t>СР = Т1/ЭР</w:t>
      </w:r>
    </w:p>
    <w:p w:rsidR="003D512E" w:rsidRPr="0093582B" w:rsidRDefault="003D512E" w:rsidP="003D512E">
      <w:pPr>
        <w:pStyle w:val="a9"/>
        <w:numPr>
          <w:ilvl w:val="0"/>
          <w:numId w:val="16"/>
        </w:numPr>
      </w:pPr>
      <w:r w:rsidRPr="0093582B">
        <w:t>Психическая устойчивость (ПУ в норме &lt;1) по формуле:</w:t>
      </w:r>
    </w:p>
    <w:p w:rsidR="003D512E" w:rsidRPr="0093582B" w:rsidRDefault="003D512E" w:rsidP="003D512E">
      <w:pPr>
        <w:pStyle w:val="a9"/>
        <w:ind w:left="1069" w:firstLine="0"/>
      </w:pPr>
      <w:r w:rsidRPr="0093582B">
        <w:t>ПУ = Т4/ЭР</w:t>
      </w:r>
    </w:p>
    <w:p w:rsidR="00A35986" w:rsidRPr="0093582B" w:rsidRDefault="00A35986" w:rsidP="00DE63B3">
      <w:pPr>
        <w:pStyle w:val="a9"/>
      </w:pPr>
      <w:r w:rsidRPr="0093582B">
        <w:lastRenderedPageBreak/>
        <w:t>По результатам тестирования эффективность работы в норме у 3 (27,3%) пациентов, степень врабатываемости – у 7(63,6%) пациентов, психическая устойчивость – у 4 (36,3%) пациентов.</w:t>
      </w:r>
    </w:p>
    <w:p w:rsidR="003D512E" w:rsidRPr="0093582B" w:rsidRDefault="003D512E" w:rsidP="00DE63B3">
      <w:pPr>
        <w:pStyle w:val="a9"/>
      </w:pPr>
      <w:r w:rsidRPr="0093582B">
        <w:t xml:space="preserve">Результаты </w:t>
      </w:r>
      <w:r w:rsidR="00DE63B3" w:rsidRPr="0093582B">
        <w:t>обследуемых пациенто</w:t>
      </w:r>
      <w:r w:rsidR="00DD5F29">
        <w:t>в представлены на рисунке 6</w:t>
      </w:r>
      <w:r w:rsidR="00DE63B3" w:rsidRPr="0093582B">
        <w:t xml:space="preserve">. </w:t>
      </w:r>
    </w:p>
    <w:p w:rsidR="00DE63B3" w:rsidRPr="0093582B" w:rsidRDefault="00DE63B3" w:rsidP="00DE63B3">
      <w:pPr>
        <w:pStyle w:val="a9"/>
      </w:pPr>
      <w:r w:rsidRPr="0093582B">
        <w:rPr>
          <w:noProof/>
        </w:rPr>
        <w:drawing>
          <wp:inline distT="0" distB="0" distL="0" distR="0" wp14:anchorId="698DA34D" wp14:editId="79BEA6DF">
            <wp:extent cx="5295900" cy="2872740"/>
            <wp:effectExtent l="0" t="0" r="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35986" w:rsidRPr="0093582B" w:rsidRDefault="00DD5F29" w:rsidP="004F6F07">
      <w:pPr>
        <w:jc w:val="center"/>
      </w:pPr>
      <w:r>
        <w:t>Рис. 6.</w:t>
      </w:r>
      <w:r w:rsidR="00A35986" w:rsidRPr="0093582B">
        <w:t xml:space="preserve"> Результаты выполнения </w:t>
      </w:r>
      <w:r w:rsidR="00552DFB" w:rsidRPr="0093582B">
        <w:t xml:space="preserve">заданий по </w:t>
      </w:r>
      <w:r w:rsidR="00A35986" w:rsidRPr="0093582B">
        <w:t>таблиц</w:t>
      </w:r>
      <w:r w:rsidR="00552DFB" w:rsidRPr="0093582B">
        <w:t>ам</w:t>
      </w:r>
      <w:r w:rsidR="00A35986" w:rsidRPr="0093582B">
        <w:t xml:space="preserve"> Шульте</w:t>
      </w:r>
    </w:p>
    <w:p w:rsidR="00A35986" w:rsidRPr="0093582B" w:rsidRDefault="00A35986" w:rsidP="00A35986">
      <w:pPr>
        <w:pStyle w:val="a9"/>
      </w:pPr>
      <w:r w:rsidRPr="0093582B">
        <w:t xml:space="preserve">Исходя из полученных данных в целом наблюдается тенденция к низкой эффективности работы у пациентов в постоперационном периоде, при выполнении </w:t>
      </w:r>
      <w:r w:rsidR="00552DFB" w:rsidRPr="0093582B">
        <w:t xml:space="preserve">заданий по </w:t>
      </w:r>
      <w:r w:rsidRPr="0093582B">
        <w:t>таблиц</w:t>
      </w:r>
      <w:r w:rsidR="00552DFB" w:rsidRPr="0093582B">
        <w:t>ам</w:t>
      </w:r>
      <w:r w:rsidRPr="0093582B">
        <w:t xml:space="preserve"> присутствовала заторможенность и сл</w:t>
      </w:r>
      <w:r w:rsidR="00103350" w:rsidRPr="0093582B">
        <w:t>ожность бегло оценивать таблицы. Также большинство пациентов имели низкий уровень психической устойчивости, что говорит о неспособности к длительной концентрации на конкретной задаче. Однако, с</w:t>
      </w:r>
      <w:r w:rsidRPr="0093582B">
        <w:t xml:space="preserve">тоит отметить, что несмотря в основном </w:t>
      </w:r>
      <w:r w:rsidR="00805406" w:rsidRPr="0093582B">
        <w:t xml:space="preserve">на </w:t>
      </w:r>
      <w:r w:rsidRPr="0093582B">
        <w:t>низкие показатели эффективности работы и психической устойчивости, у большинства обследуемых пациентов наблюдается нормальный уровень врабатываемости, то есть</w:t>
      </w:r>
      <w:r w:rsidR="00103350" w:rsidRPr="0093582B">
        <w:t>,</w:t>
      </w:r>
      <w:r w:rsidRPr="0093582B">
        <w:t xml:space="preserve"> имеется сохранная способность быстро включаться в работу.</w:t>
      </w:r>
      <w:r w:rsidR="00103350" w:rsidRPr="0093582B">
        <w:t xml:space="preserve"> Также примечательно то, что всего у 1 (9,1%) пациента все показатели были в норме.</w:t>
      </w:r>
    </w:p>
    <w:p w:rsidR="00EF4C8C" w:rsidRPr="0093582B" w:rsidRDefault="00EF4C8C" w:rsidP="00EF4C8C">
      <w:pPr>
        <w:pStyle w:val="2"/>
      </w:pPr>
      <w:bookmarkStart w:id="29" w:name="_Toc104427547"/>
      <w:r w:rsidRPr="0093582B">
        <w:lastRenderedPageBreak/>
        <w:t>3.7</w:t>
      </w:r>
      <w:r w:rsidR="00805406" w:rsidRPr="0093582B">
        <w:t>.</w:t>
      </w:r>
      <w:r w:rsidRPr="0093582B">
        <w:t xml:space="preserve"> Оценка качества жизни пациентов в постоперационном периоде</w:t>
      </w:r>
      <w:bookmarkEnd w:id="29"/>
    </w:p>
    <w:p w:rsidR="00103350" w:rsidRPr="0093582B" w:rsidRDefault="00103350" w:rsidP="00103350">
      <w:pPr>
        <w:pStyle w:val="a9"/>
      </w:pPr>
      <w:r w:rsidRPr="0093582B">
        <w:t xml:space="preserve">Оценка качества жизни проводилась у 11 пациентов </w:t>
      </w:r>
      <w:r w:rsidR="00AA0D28" w:rsidRPr="0093582B">
        <w:t xml:space="preserve">с учетом данных </w:t>
      </w:r>
      <w:r w:rsidRPr="0093582B">
        <w:t>госпитальной шкал</w:t>
      </w:r>
      <w:r w:rsidR="00AA0D28" w:rsidRPr="0093582B">
        <w:t>ы</w:t>
      </w:r>
      <w:r w:rsidRPr="0093582B">
        <w:t xml:space="preserve"> тревоги и депрессии, </w:t>
      </w:r>
      <w:r w:rsidR="00AA0D28" w:rsidRPr="0093582B">
        <w:t>опросника</w:t>
      </w:r>
      <w:r w:rsidRPr="0093582B">
        <w:t xml:space="preserve"> </w:t>
      </w:r>
      <w:r w:rsidRPr="0093582B">
        <w:rPr>
          <w:lang w:val="en-US"/>
        </w:rPr>
        <w:t>SF</w:t>
      </w:r>
      <w:r w:rsidRPr="0093582B">
        <w:t>-36, а также было проведено сравнение частоты и типов приступов до и после операции.</w:t>
      </w:r>
    </w:p>
    <w:p w:rsidR="00EF4C8C" w:rsidRPr="0093582B" w:rsidRDefault="00EF4C8C" w:rsidP="006B152D">
      <w:pPr>
        <w:pStyle w:val="3"/>
      </w:pPr>
      <w:bookmarkStart w:id="30" w:name="_Toc104427548"/>
      <w:r w:rsidRPr="0093582B">
        <w:t>3.7.1</w:t>
      </w:r>
      <w:r w:rsidR="00805406" w:rsidRPr="0093582B">
        <w:t>.</w:t>
      </w:r>
      <w:r w:rsidRPr="0093582B">
        <w:t xml:space="preserve"> Оценка уровня тревоги и депрессии у пациентов</w:t>
      </w:r>
      <w:bookmarkEnd w:id="30"/>
      <w:r w:rsidRPr="0093582B">
        <w:t xml:space="preserve"> </w:t>
      </w:r>
    </w:p>
    <w:p w:rsidR="00103350" w:rsidRPr="0093582B" w:rsidRDefault="00417AC9" w:rsidP="00417AC9">
      <w:pPr>
        <w:pStyle w:val="a9"/>
      </w:pPr>
      <w:r w:rsidRPr="0093582B">
        <w:t>Госпитальная шкала тревоги и депрессии</w:t>
      </w:r>
      <w:r w:rsidR="00872D8F" w:rsidRPr="0093582B">
        <w:rPr>
          <w:sz w:val="22"/>
        </w:rPr>
        <w:t xml:space="preserve"> (</w:t>
      </w:r>
      <w:r w:rsidR="00872D8F" w:rsidRPr="0093582B">
        <w:rPr>
          <w:lang w:val="en-US"/>
        </w:rPr>
        <w:t>HADS</w:t>
      </w:r>
      <w:r w:rsidR="00872D8F" w:rsidRPr="0093582B">
        <w:t>)</w:t>
      </w:r>
      <w:r w:rsidRPr="0093582B">
        <w:t xml:space="preserve"> разработана для первичного выявления данных расстройств у пациентов в условиях общемедицинской практики</w:t>
      </w:r>
      <w:r w:rsidR="000C370C">
        <w:t xml:space="preserve"> </w:t>
      </w:r>
      <w:r w:rsidR="000C370C" w:rsidRPr="000C370C">
        <w:t>(см. П</w:t>
      </w:r>
      <w:r w:rsidR="000C370C">
        <w:t>риложение 5</w:t>
      </w:r>
      <w:r w:rsidR="000C370C" w:rsidRPr="000C370C">
        <w:t>).</w:t>
      </w:r>
      <w:bookmarkStart w:id="31" w:name="_GoBack"/>
      <w:bookmarkEnd w:id="31"/>
      <w:r w:rsidRPr="0093582B">
        <w:t xml:space="preserve"> Пациент самостоятельно отмечает варианты ответа, которые соответствовали его состоянию в течение последних 7 дней. Тест состоит из двух частей по 7 вопросов на оценку тревоги и депрессии соответственно, их оценка производится отдельно друг от друга. Результат 0-7 баллов интерпретируется как отсутствие достоверных симптомов тревоги или депрессии, 8-10 баллов – субклинически выраженная тревога/депрессия, 11 баллов и более – клинически выраженная тревога/депрессия</w:t>
      </w:r>
      <w:r w:rsidR="000C370C">
        <w:t>.</w:t>
      </w:r>
    </w:p>
    <w:p w:rsidR="00417AC9" w:rsidRPr="0093582B" w:rsidRDefault="00872D8F" w:rsidP="00417AC9">
      <w:pPr>
        <w:pStyle w:val="a9"/>
      </w:pPr>
      <w:r w:rsidRPr="0093582B">
        <w:t>Среди обследуемых нарушения эмоциональн</w:t>
      </w:r>
      <w:r w:rsidR="00CC4DC0" w:rsidRPr="0093582B">
        <w:t>ой сферы были выявлены у 7 (63,6</w:t>
      </w:r>
      <w:r w:rsidRPr="0093582B">
        <w:t>%) пациентов, среди них у 1 (14,2%) пациента – изолированная субклиническая тревога, у 2 (28,6%) пациентов – выраженная тревога, у 1 (14,2%) пациента – субклиническая депрессия, у 2 (28,6%) пациентов – выраженная депрессия, а также 1 (14,2%) пациент имел клинически выраженную тревогу и депрессию.</w:t>
      </w:r>
    </w:p>
    <w:p w:rsidR="00872D8F" w:rsidRPr="0093582B" w:rsidRDefault="00872D8F" w:rsidP="00417AC9">
      <w:pPr>
        <w:pStyle w:val="a9"/>
      </w:pPr>
      <w:r w:rsidRPr="0093582B">
        <w:t xml:space="preserve">Данные результаты говорят о высокой коморбидности эпилепсии с такими расстройствами как тревога и депрессия. Следует отметить, что </w:t>
      </w:r>
      <w:r w:rsidRPr="0093582B">
        <w:rPr>
          <w:lang w:val="en-US"/>
        </w:rPr>
        <w:t>HADS</w:t>
      </w:r>
      <w:r w:rsidRPr="0093582B">
        <w:t xml:space="preserve"> является</w:t>
      </w:r>
      <w:r w:rsidR="002C6D70" w:rsidRPr="0093582B">
        <w:t xml:space="preserve"> упрощенным инструментом первичной диагностики данных расстройств, для углубленной оценки психического статуса необходимо проводить тестирование по более развернутым опросникам, а также рекомендовать пациентам с </w:t>
      </w:r>
      <w:r w:rsidR="002C6D70" w:rsidRPr="0093582B">
        <w:lastRenderedPageBreak/>
        <w:t>клиническими и субклиническими признаками тревоги и депрессии дополнительную консультацию психиатра.</w:t>
      </w:r>
    </w:p>
    <w:p w:rsidR="00EF4C8C" w:rsidRPr="0093582B" w:rsidRDefault="00EF4C8C" w:rsidP="006B152D">
      <w:pPr>
        <w:pStyle w:val="3"/>
      </w:pPr>
      <w:bookmarkStart w:id="32" w:name="_Toc104427549"/>
      <w:r w:rsidRPr="0093582B">
        <w:t>3.7.2</w:t>
      </w:r>
      <w:r w:rsidR="00AA0D28" w:rsidRPr="0093582B">
        <w:t>.</w:t>
      </w:r>
      <w:r w:rsidRPr="0093582B">
        <w:t xml:space="preserve"> Оценка качества жизни у пациентов по опроснику </w:t>
      </w:r>
      <w:r w:rsidRPr="0093582B">
        <w:rPr>
          <w:lang w:val="en-US"/>
        </w:rPr>
        <w:t>SF</w:t>
      </w:r>
      <w:r w:rsidRPr="0093582B">
        <w:t>-36</w:t>
      </w:r>
      <w:bookmarkEnd w:id="32"/>
    </w:p>
    <w:p w:rsidR="002C6D70" w:rsidRPr="0093582B" w:rsidRDefault="002C6D70" w:rsidP="0078142B">
      <w:pPr>
        <w:pStyle w:val="a9"/>
      </w:pPr>
      <w:r w:rsidRPr="0093582B">
        <w:t xml:space="preserve">Опросник </w:t>
      </w:r>
      <w:r w:rsidRPr="0093582B">
        <w:rPr>
          <w:lang w:val="en-US"/>
        </w:rPr>
        <w:t>SF</w:t>
      </w:r>
      <w:r w:rsidRPr="0093582B">
        <w:t>-36 представляет анкету из 36 пунктов, которые сгруппированы в восемь шкал: физическое функционирование, ролевая деятельность, телесная боль, общее здоровье, жизнеспособность, социальное функционирование, эмоциональное состояние и психическое здоровье</w:t>
      </w:r>
      <w:r w:rsidR="008E39D5">
        <w:t xml:space="preserve"> </w:t>
      </w:r>
      <w:r w:rsidR="008E39D5" w:rsidRPr="008E39D5">
        <w:t>(см. П</w:t>
      </w:r>
      <w:r w:rsidR="008E39D5">
        <w:t>риложение 6</w:t>
      </w:r>
      <w:r w:rsidR="008E39D5" w:rsidRPr="008E39D5">
        <w:t>)</w:t>
      </w:r>
      <w:r w:rsidRPr="0093582B">
        <w:t>. Показатели каждой шкалы варьируют между 0 и 100, где 100 представляет полное здоровье, все шкалы формируют два показателя: психическое и физическое здоровье.</w:t>
      </w:r>
      <w:r w:rsidR="0078142B" w:rsidRPr="0093582B">
        <w:t xml:space="preserve"> Физический компонент здоровья (Physicalhealth – PH) включает в себя критерии: − физическое функционирование (</w:t>
      </w:r>
      <w:r w:rsidR="0078142B" w:rsidRPr="0093582B">
        <w:rPr>
          <w:lang w:val="en-US"/>
        </w:rPr>
        <w:t>PF</w:t>
      </w:r>
      <w:r w:rsidR="0078142B" w:rsidRPr="0093582B">
        <w:t>); ролевое функционирование, обусловленное физическим состоянием (</w:t>
      </w:r>
      <w:r w:rsidR="0078142B" w:rsidRPr="0093582B">
        <w:rPr>
          <w:lang w:val="en-US"/>
        </w:rPr>
        <w:t>RP</w:t>
      </w:r>
      <w:r w:rsidR="0078142B" w:rsidRPr="0093582B">
        <w:t>); интенсивность боли (</w:t>
      </w:r>
      <w:r w:rsidR="0078142B" w:rsidRPr="0093582B">
        <w:rPr>
          <w:lang w:val="en-US"/>
        </w:rPr>
        <w:t>BP</w:t>
      </w:r>
      <w:r w:rsidR="0078142B" w:rsidRPr="0093582B">
        <w:t>); общее состояние здоровья (</w:t>
      </w:r>
      <w:r w:rsidR="0078142B" w:rsidRPr="0093582B">
        <w:rPr>
          <w:lang w:val="en-US"/>
        </w:rPr>
        <w:t>GH</w:t>
      </w:r>
      <w:r w:rsidR="0078142B" w:rsidRPr="0093582B">
        <w:t>). Психологический компонент здоровья (MentalHealth – MH) составляют: психическое здоровье (</w:t>
      </w:r>
      <w:r w:rsidR="0078142B" w:rsidRPr="0093582B">
        <w:rPr>
          <w:lang w:val="en-US"/>
        </w:rPr>
        <w:t>MH</w:t>
      </w:r>
      <w:r w:rsidR="0078142B" w:rsidRPr="0093582B">
        <w:t>); ролевое функционирование, обусловленное эмоциональным состоянием (</w:t>
      </w:r>
      <w:r w:rsidR="0078142B" w:rsidRPr="0093582B">
        <w:rPr>
          <w:lang w:val="en-US"/>
        </w:rPr>
        <w:t>RE</w:t>
      </w:r>
      <w:r w:rsidR="0078142B" w:rsidRPr="0093582B">
        <w:t>); социальное функционирование (</w:t>
      </w:r>
      <w:r w:rsidR="0078142B" w:rsidRPr="0093582B">
        <w:rPr>
          <w:lang w:val="en-US"/>
        </w:rPr>
        <w:t>SF</w:t>
      </w:r>
      <w:r w:rsidR="0078142B" w:rsidRPr="0093582B">
        <w:t>); жизненная активность (</w:t>
      </w:r>
      <w:r w:rsidR="0078142B" w:rsidRPr="0093582B">
        <w:rPr>
          <w:lang w:val="en-US"/>
        </w:rPr>
        <w:t>VT</w:t>
      </w:r>
      <w:r w:rsidR="0078142B" w:rsidRPr="0093582B">
        <w:t>).</w:t>
      </w:r>
    </w:p>
    <w:p w:rsidR="0078142B" w:rsidRPr="0093582B" w:rsidRDefault="0078142B" w:rsidP="0078142B">
      <w:pPr>
        <w:pStyle w:val="a9"/>
      </w:pPr>
      <w:r w:rsidRPr="0093582B">
        <w:t>Для оценки уровня жизни 11 пациентов были разделены на 2 группы: правосторонняя локализация структурного очага – 5 человек и левосторон</w:t>
      </w:r>
      <w:r w:rsidR="009468CD" w:rsidRPr="0093582B">
        <w:t>н</w:t>
      </w:r>
      <w:r w:rsidRPr="0093582B">
        <w:t xml:space="preserve">яя – 6 человек. При оценке результатов тестирования использовался непараметрический </w:t>
      </w:r>
      <w:r w:rsidRPr="0093582B">
        <w:rPr>
          <w:lang w:val="en-US"/>
        </w:rPr>
        <w:t>U</w:t>
      </w:r>
      <w:r w:rsidRPr="0093582B">
        <w:t>-критерий Манна-Уитни для каждого показателя</w:t>
      </w:r>
      <w:r w:rsidR="00FC6F7B" w:rsidRPr="0093582B">
        <w:t xml:space="preserve"> здоровья</w:t>
      </w:r>
      <w:r w:rsidR="00B80B35" w:rsidRPr="0093582B">
        <w:t>, среднее арифметическое значения показателей в группе и стандартное отклонение</w:t>
      </w:r>
      <w:r w:rsidR="00FC6F7B" w:rsidRPr="0093582B">
        <w:t>.</w:t>
      </w:r>
      <w:r w:rsidR="00BB284B" w:rsidRPr="0093582B">
        <w:t xml:space="preserve"> Д</w:t>
      </w:r>
      <w:r w:rsidR="001009F3" w:rsidRPr="0093582B">
        <w:t xml:space="preserve">ля каждого параметра определен уровень </w:t>
      </w:r>
      <w:r w:rsidR="00BB284B" w:rsidRPr="0093582B">
        <w:t>значимости (</w:t>
      </w:r>
      <w:r w:rsidR="00BB284B" w:rsidRPr="0093582B">
        <w:rPr>
          <w:lang w:val="en-US"/>
        </w:rPr>
        <w:t>p</w:t>
      </w:r>
      <w:r w:rsidR="00BB284B" w:rsidRPr="0093582B">
        <w:t>-</w:t>
      </w:r>
      <w:r w:rsidR="00BB284B" w:rsidRPr="0093582B">
        <w:rPr>
          <w:lang w:val="en-US"/>
        </w:rPr>
        <w:t>value</w:t>
      </w:r>
      <w:r w:rsidR="00BB284B" w:rsidRPr="0093582B">
        <w:t>).</w:t>
      </w:r>
    </w:p>
    <w:p w:rsidR="00EA200B" w:rsidRPr="0093582B" w:rsidRDefault="00FC6F7B" w:rsidP="0078142B">
      <w:pPr>
        <w:pStyle w:val="a9"/>
      </w:pPr>
      <w:r w:rsidRPr="0093582B">
        <w:t xml:space="preserve">Полученные результаты представлены </w:t>
      </w:r>
      <w:r w:rsidR="00AD4091" w:rsidRPr="0093582B">
        <w:t xml:space="preserve">в таблице </w:t>
      </w:r>
      <w:r w:rsidRPr="0093582B">
        <w:t>6.</w:t>
      </w:r>
    </w:p>
    <w:p w:rsidR="00EA200B" w:rsidRPr="0093582B" w:rsidRDefault="00EA200B">
      <w:pPr>
        <w:rPr>
          <w:sz w:val="28"/>
        </w:rPr>
      </w:pPr>
      <w:r w:rsidRPr="0093582B">
        <w:br w:type="page"/>
      </w:r>
    </w:p>
    <w:p w:rsidR="00FC6F7B" w:rsidRPr="0093582B" w:rsidRDefault="00FC6F7B" w:rsidP="0078142B">
      <w:pPr>
        <w:pStyle w:val="a9"/>
      </w:pPr>
    </w:p>
    <w:p w:rsidR="00B80B35" w:rsidRPr="0093582B" w:rsidRDefault="00B80B35" w:rsidP="00B80B35">
      <w:pPr>
        <w:jc w:val="right"/>
      </w:pPr>
      <w:r w:rsidRPr="0093582B">
        <w:t xml:space="preserve">Таблица 6. Результаты опросника </w:t>
      </w:r>
      <w:r w:rsidRPr="0093582B">
        <w:rPr>
          <w:lang w:val="en-US"/>
        </w:rPr>
        <w:t>SF</w:t>
      </w:r>
      <w:r w:rsidRPr="0093582B">
        <w:t>-36 у пациентов с право- и левосторонней локализацией очага</w:t>
      </w:r>
    </w:p>
    <w:tbl>
      <w:tblPr>
        <w:tblStyle w:val="ae"/>
        <w:tblW w:w="0" w:type="auto"/>
        <w:tblLook w:val="04A0" w:firstRow="1" w:lastRow="0" w:firstColumn="1" w:lastColumn="0" w:noHBand="0" w:noVBand="1"/>
      </w:tblPr>
      <w:tblGrid>
        <w:gridCol w:w="2689"/>
        <w:gridCol w:w="2412"/>
        <w:gridCol w:w="2443"/>
        <w:gridCol w:w="2135"/>
      </w:tblGrid>
      <w:tr w:rsidR="00F66E58" w:rsidRPr="0093582B" w:rsidTr="00F66E58">
        <w:trPr>
          <w:trHeight w:val="302"/>
        </w:trPr>
        <w:tc>
          <w:tcPr>
            <w:tcW w:w="2689" w:type="dxa"/>
            <w:noWrap/>
            <w:hideMark/>
          </w:tcPr>
          <w:p w:rsidR="00F66E58" w:rsidRPr="0093582B" w:rsidRDefault="00F66E58" w:rsidP="00F66E58">
            <w:pPr>
              <w:jc w:val="center"/>
            </w:pPr>
          </w:p>
        </w:tc>
        <w:tc>
          <w:tcPr>
            <w:tcW w:w="2412" w:type="dxa"/>
            <w:noWrap/>
            <w:hideMark/>
          </w:tcPr>
          <w:p w:rsidR="00F66E58" w:rsidRPr="0093582B" w:rsidRDefault="00F66E58" w:rsidP="00F66E58">
            <w:pPr>
              <w:jc w:val="center"/>
            </w:pPr>
            <w:r w:rsidRPr="0093582B">
              <w:t>Правосторонний очаг</w:t>
            </w:r>
          </w:p>
        </w:tc>
        <w:tc>
          <w:tcPr>
            <w:tcW w:w="2443" w:type="dxa"/>
            <w:noWrap/>
            <w:hideMark/>
          </w:tcPr>
          <w:p w:rsidR="00F66E58" w:rsidRPr="0093582B" w:rsidRDefault="00F66E58" w:rsidP="00F66E58">
            <w:pPr>
              <w:jc w:val="center"/>
            </w:pPr>
            <w:r w:rsidRPr="0093582B">
              <w:t>Левосторонний очаг</w:t>
            </w:r>
          </w:p>
        </w:tc>
        <w:tc>
          <w:tcPr>
            <w:tcW w:w="2135" w:type="dxa"/>
          </w:tcPr>
          <w:p w:rsidR="00F66E58" w:rsidRPr="0093582B" w:rsidRDefault="00F66E58" w:rsidP="00F66E58">
            <w:pPr>
              <w:jc w:val="center"/>
              <w:rPr>
                <w:lang w:val="en-US"/>
              </w:rPr>
            </w:pPr>
            <w:r w:rsidRPr="0093582B">
              <w:rPr>
                <w:lang w:val="en-US"/>
              </w:rPr>
              <w:t>P-value</w:t>
            </w:r>
          </w:p>
        </w:tc>
      </w:tr>
      <w:tr w:rsidR="00F66E58" w:rsidRPr="0093582B" w:rsidTr="00F66E58">
        <w:trPr>
          <w:trHeight w:val="302"/>
        </w:trPr>
        <w:tc>
          <w:tcPr>
            <w:tcW w:w="2689" w:type="dxa"/>
            <w:hideMark/>
          </w:tcPr>
          <w:p w:rsidR="00F66E58" w:rsidRPr="0093582B" w:rsidRDefault="00F66E58" w:rsidP="00F66E58">
            <w:pPr>
              <w:jc w:val="center"/>
              <w:rPr>
                <w:bCs/>
              </w:rPr>
            </w:pPr>
            <w:r w:rsidRPr="0093582B">
              <w:rPr>
                <w:bCs/>
              </w:rPr>
              <w:t>PF</w:t>
            </w:r>
          </w:p>
        </w:tc>
        <w:tc>
          <w:tcPr>
            <w:tcW w:w="2412" w:type="dxa"/>
            <w:noWrap/>
            <w:hideMark/>
          </w:tcPr>
          <w:p w:rsidR="00F66E58" w:rsidRPr="0093582B" w:rsidRDefault="00F66E58" w:rsidP="00F66E58">
            <w:pPr>
              <w:jc w:val="center"/>
            </w:pPr>
            <w:r w:rsidRPr="0093582B">
              <w:t>90±6</w:t>
            </w:r>
          </w:p>
        </w:tc>
        <w:tc>
          <w:tcPr>
            <w:tcW w:w="2443" w:type="dxa"/>
            <w:noWrap/>
            <w:hideMark/>
          </w:tcPr>
          <w:p w:rsidR="00F66E58" w:rsidRPr="0093582B" w:rsidRDefault="00F66E58" w:rsidP="00F66E58">
            <w:pPr>
              <w:jc w:val="center"/>
            </w:pPr>
            <w:r w:rsidRPr="0093582B">
              <w:t>75,8±28</w:t>
            </w:r>
          </w:p>
        </w:tc>
        <w:tc>
          <w:tcPr>
            <w:tcW w:w="2135" w:type="dxa"/>
          </w:tcPr>
          <w:p w:rsidR="00F66E58" w:rsidRPr="0093582B" w:rsidRDefault="00F66E58" w:rsidP="00F66E58">
            <w:pPr>
              <w:jc w:val="center"/>
            </w:pPr>
            <w:r w:rsidRPr="0093582B">
              <w:t>1</w:t>
            </w:r>
          </w:p>
        </w:tc>
      </w:tr>
      <w:tr w:rsidR="00F66E58" w:rsidRPr="0093582B" w:rsidTr="00F66E58">
        <w:trPr>
          <w:trHeight w:val="302"/>
        </w:trPr>
        <w:tc>
          <w:tcPr>
            <w:tcW w:w="2689" w:type="dxa"/>
            <w:hideMark/>
          </w:tcPr>
          <w:p w:rsidR="00F66E58" w:rsidRPr="0093582B" w:rsidRDefault="00F66E58" w:rsidP="00F66E58">
            <w:pPr>
              <w:jc w:val="center"/>
              <w:rPr>
                <w:bCs/>
              </w:rPr>
            </w:pPr>
            <w:r w:rsidRPr="0093582B">
              <w:rPr>
                <w:bCs/>
              </w:rPr>
              <w:t>RP*</w:t>
            </w:r>
          </w:p>
        </w:tc>
        <w:tc>
          <w:tcPr>
            <w:tcW w:w="2412" w:type="dxa"/>
            <w:noWrap/>
            <w:hideMark/>
          </w:tcPr>
          <w:p w:rsidR="00F66E58" w:rsidRPr="0093582B" w:rsidRDefault="00F66E58" w:rsidP="00F66E58">
            <w:pPr>
              <w:jc w:val="center"/>
            </w:pPr>
            <w:r w:rsidRPr="0093582B">
              <w:t>90±13</w:t>
            </w:r>
          </w:p>
        </w:tc>
        <w:tc>
          <w:tcPr>
            <w:tcW w:w="2443" w:type="dxa"/>
            <w:noWrap/>
            <w:hideMark/>
          </w:tcPr>
          <w:p w:rsidR="00F66E58" w:rsidRPr="0093582B" w:rsidRDefault="00F66E58" w:rsidP="00F66E58">
            <w:pPr>
              <w:jc w:val="center"/>
            </w:pPr>
            <w:r w:rsidRPr="0093582B">
              <w:t>33,3±38</w:t>
            </w:r>
          </w:p>
        </w:tc>
        <w:tc>
          <w:tcPr>
            <w:tcW w:w="2135" w:type="dxa"/>
          </w:tcPr>
          <w:p w:rsidR="00F66E58" w:rsidRPr="0093582B" w:rsidRDefault="00F66E58" w:rsidP="00F66E58">
            <w:pPr>
              <w:jc w:val="center"/>
            </w:pPr>
            <w:r w:rsidRPr="0093582B">
              <w:t>0,01</w:t>
            </w:r>
          </w:p>
        </w:tc>
      </w:tr>
      <w:tr w:rsidR="00F66E58" w:rsidRPr="0093582B" w:rsidTr="00F66E58">
        <w:trPr>
          <w:trHeight w:val="302"/>
        </w:trPr>
        <w:tc>
          <w:tcPr>
            <w:tcW w:w="2689" w:type="dxa"/>
            <w:hideMark/>
          </w:tcPr>
          <w:p w:rsidR="00F66E58" w:rsidRPr="0093582B" w:rsidRDefault="00F66E58" w:rsidP="00F66E58">
            <w:pPr>
              <w:jc w:val="center"/>
              <w:rPr>
                <w:bCs/>
              </w:rPr>
            </w:pPr>
            <w:r w:rsidRPr="0093582B">
              <w:rPr>
                <w:bCs/>
              </w:rPr>
              <w:t>BP</w:t>
            </w:r>
          </w:p>
        </w:tc>
        <w:tc>
          <w:tcPr>
            <w:tcW w:w="2412" w:type="dxa"/>
            <w:noWrap/>
            <w:hideMark/>
          </w:tcPr>
          <w:p w:rsidR="00F66E58" w:rsidRPr="0093582B" w:rsidRDefault="00F66E58" w:rsidP="00F66E58">
            <w:pPr>
              <w:jc w:val="center"/>
            </w:pPr>
            <w:r w:rsidRPr="0093582B">
              <w:t>84±17</w:t>
            </w:r>
          </w:p>
        </w:tc>
        <w:tc>
          <w:tcPr>
            <w:tcW w:w="2443" w:type="dxa"/>
            <w:noWrap/>
            <w:hideMark/>
          </w:tcPr>
          <w:p w:rsidR="00F66E58" w:rsidRPr="0093582B" w:rsidRDefault="00F66E58" w:rsidP="00F66E58">
            <w:pPr>
              <w:jc w:val="center"/>
            </w:pPr>
            <w:r w:rsidRPr="0093582B">
              <w:t>61,7±39</w:t>
            </w:r>
          </w:p>
        </w:tc>
        <w:tc>
          <w:tcPr>
            <w:tcW w:w="2135" w:type="dxa"/>
          </w:tcPr>
          <w:p w:rsidR="00F66E58" w:rsidRPr="0093582B" w:rsidRDefault="00F66E58" w:rsidP="00F66E58">
            <w:pPr>
              <w:jc w:val="center"/>
            </w:pPr>
            <w:r w:rsidRPr="0093582B">
              <w:t>0,3</w:t>
            </w:r>
          </w:p>
        </w:tc>
      </w:tr>
      <w:tr w:rsidR="00F66E58" w:rsidRPr="0093582B" w:rsidTr="00F66E58">
        <w:trPr>
          <w:trHeight w:val="302"/>
        </w:trPr>
        <w:tc>
          <w:tcPr>
            <w:tcW w:w="2689" w:type="dxa"/>
            <w:hideMark/>
          </w:tcPr>
          <w:p w:rsidR="00F66E58" w:rsidRPr="0093582B" w:rsidRDefault="00F66E58" w:rsidP="00F66E58">
            <w:pPr>
              <w:jc w:val="center"/>
              <w:rPr>
                <w:bCs/>
              </w:rPr>
            </w:pPr>
            <w:r w:rsidRPr="0093582B">
              <w:rPr>
                <w:bCs/>
              </w:rPr>
              <w:t>GH</w:t>
            </w:r>
          </w:p>
        </w:tc>
        <w:tc>
          <w:tcPr>
            <w:tcW w:w="2412" w:type="dxa"/>
            <w:noWrap/>
            <w:hideMark/>
          </w:tcPr>
          <w:p w:rsidR="00F66E58" w:rsidRPr="0093582B" w:rsidRDefault="00F66E58" w:rsidP="00F66E58">
            <w:pPr>
              <w:jc w:val="center"/>
            </w:pPr>
            <w:r w:rsidRPr="0093582B">
              <w:t>75,2±30</w:t>
            </w:r>
          </w:p>
        </w:tc>
        <w:tc>
          <w:tcPr>
            <w:tcW w:w="2443" w:type="dxa"/>
            <w:noWrap/>
            <w:hideMark/>
          </w:tcPr>
          <w:p w:rsidR="00F66E58" w:rsidRPr="0093582B" w:rsidRDefault="00F66E58" w:rsidP="00F66E58">
            <w:pPr>
              <w:jc w:val="center"/>
            </w:pPr>
            <w:r w:rsidRPr="0093582B">
              <w:t>62,7±18</w:t>
            </w:r>
          </w:p>
        </w:tc>
        <w:tc>
          <w:tcPr>
            <w:tcW w:w="2135" w:type="dxa"/>
          </w:tcPr>
          <w:p w:rsidR="00F66E58" w:rsidRPr="0093582B" w:rsidRDefault="00F66E58" w:rsidP="00F66E58">
            <w:pPr>
              <w:jc w:val="center"/>
            </w:pPr>
            <w:r w:rsidRPr="0093582B">
              <w:t>0,2</w:t>
            </w:r>
          </w:p>
        </w:tc>
      </w:tr>
      <w:tr w:rsidR="00F66E58" w:rsidRPr="0093582B" w:rsidTr="00F66E58">
        <w:trPr>
          <w:trHeight w:val="302"/>
        </w:trPr>
        <w:tc>
          <w:tcPr>
            <w:tcW w:w="2689" w:type="dxa"/>
            <w:hideMark/>
          </w:tcPr>
          <w:p w:rsidR="00F66E58" w:rsidRPr="0093582B" w:rsidRDefault="00F66E58" w:rsidP="00F66E58">
            <w:pPr>
              <w:jc w:val="center"/>
              <w:rPr>
                <w:bCs/>
              </w:rPr>
            </w:pPr>
            <w:r w:rsidRPr="0093582B">
              <w:rPr>
                <w:bCs/>
              </w:rPr>
              <w:t>VT*</w:t>
            </w:r>
          </w:p>
        </w:tc>
        <w:tc>
          <w:tcPr>
            <w:tcW w:w="2412" w:type="dxa"/>
            <w:noWrap/>
            <w:hideMark/>
          </w:tcPr>
          <w:p w:rsidR="00F66E58" w:rsidRPr="0093582B" w:rsidRDefault="00F66E58" w:rsidP="00F66E58">
            <w:pPr>
              <w:jc w:val="center"/>
            </w:pPr>
            <w:r w:rsidRPr="0093582B">
              <w:t>77±22</w:t>
            </w:r>
          </w:p>
        </w:tc>
        <w:tc>
          <w:tcPr>
            <w:tcW w:w="2443" w:type="dxa"/>
            <w:noWrap/>
            <w:hideMark/>
          </w:tcPr>
          <w:p w:rsidR="00F66E58" w:rsidRPr="0093582B" w:rsidRDefault="00F66E58" w:rsidP="00F66E58">
            <w:pPr>
              <w:jc w:val="center"/>
            </w:pPr>
            <w:r w:rsidRPr="0093582B">
              <w:t>50,3±16</w:t>
            </w:r>
          </w:p>
        </w:tc>
        <w:tc>
          <w:tcPr>
            <w:tcW w:w="2135" w:type="dxa"/>
          </w:tcPr>
          <w:p w:rsidR="00F66E58" w:rsidRPr="0093582B" w:rsidRDefault="00F66E58" w:rsidP="00F66E58">
            <w:pPr>
              <w:jc w:val="center"/>
            </w:pPr>
            <w:r w:rsidRPr="0093582B">
              <w:t>0,05</w:t>
            </w:r>
          </w:p>
        </w:tc>
      </w:tr>
      <w:tr w:rsidR="00F66E58" w:rsidRPr="0093582B" w:rsidTr="00F66E58">
        <w:trPr>
          <w:trHeight w:val="302"/>
        </w:trPr>
        <w:tc>
          <w:tcPr>
            <w:tcW w:w="2689" w:type="dxa"/>
            <w:hideMark/>
          </w:tcPr>
          <w:p w:rsidR="00F66E58" w:rsidRPr="0093582B" w:rsidRDefault="00F66E58" w:rsidP="00F66E58">
            <w:pPr>
              <w:jc w:val="center"/>
              <w:rPr>
                <w:bCs/>
              </w:rPr>
            </w:pPr>
            <w:r w:rsidRPr="0093582B">
              <w:rPr>
                <w:bCs/>
              </w:rPr>
              <w:t>SF</w:t>
            </w:r>
          </w:p>
        </w:tc>
        <w:tc>
          <w:tcPr>
            <w:tcW w:w="2412" w:type="dxa"/>
            <w:noWrap/>
            <w:hideMark/>
          </w:tcPr>
          <w:p w:rsidR="00F66E58" w:rsidRPr="0093582B" w:rsidRDefault="00F66E58" w:rsidP="00F66E58">
            <w:pPr>
              <w:jc w:val="center"/>
            </w:pPr>
            <w:r w:rsidRPr="0093582B">
              <w:t>89,6±16</w:t>
            </w:r>
          </w:p>
        </w:tc>
        <w:tc>
          <w:tcPr>
            <w:tcW w:w="2443" w:type="dxa"/>
            <w:noWrap/>
            <w:hideMark/>
          </w:tcPr>
          <w:p w:rsidR="00F66E58" w:rsidRPr="0093582B" w:rsidRDefault="00F66E58" w:rsidP="00F66E58">
            <w:pPr>
              <w:jc w:val="center"/>
            </w:pPr>
            <w:r w:rsidRPr="0093582B">
              <w:t>64,5±39</w:t>
            </w:r>
          </w:p>
        </w:tc>
        <w:tc>
          <w:tcPr>
            <w:tcW w:w="2135" w:type="dxa"/>
          </w:tcPr>
          <w:p w:rsidR="00F66E58" w:rsidRPr="0093582B" w:rsidRDefault="00F66E58" w:rsidP="00F66E58">
            <w:pPr>
              <w:jc w:val="center"/>
            </w:pPr>
            <w:r w:rsidRPr="0093582B">
              <w:t>0,2</w:t>
            </w:r>
          </w:p>
        </w:tc>
      </w:tr>
      <w:tr w:rsidR="00F66E58" w:rsidRPr="0093582B" w:rsidTr="00F66E58">
        <w:trPr>
          <w:trHeight w:val="302"/>
        </w:trPr>
        <w:tc>
          <w:tcPr>
            <w:tcW w:w="2689" w:type="dxa"/>
            <w:hideMark/>
          </w:tcPr>
          <w:p w:rsidR="00F66E58" w:rsidRPr="0093582B" w:rsidRDefault="00F66E58" w:rsidP="00F66E58">
            <w:pPr>
              <w:jc w:val="center"/>
              <w:rPr>
                <w:bCs/>
              </w:rPr>
            </w:pPr>
            <w:r w:rsidRPr="0093582B">
              <w:rPr>
                <w:bCs/>
              </w:rPr>
              <w:t>RE*</w:t>
            </w:r>
          </w:p>
        </w:tc>
        <w:tc>
          <w:tcPr>
            <w:tcW w:w="2412" w:type="dxa"/>
            <w:noWrap/>
            <w:hideMark/>
          </w:tcPr>
          <w:p w:rsidR="00F66E58" w:rsidRPr="0093582B" w:rsidRDefault="00F66E58" w:rsidP="00F66E58">
            <w:pPr>
              <w:jc w:val="center"/>
            </w:pPr>
            <w:r w:rsidRPr="0093582B">
              <w:t>86,6±30</w:t>
            </w:r>
          </w:p>
        </w:tc>
        <w:tc>
          <w:tcPr>
            <w:tcW w:w="2443" w:type="dxa"/>
            <w:noWrap/>
            <w:hideMark/>
          </w:tcPr>
          <w:p w:rsidR="00F66E58" w:rsidRPr="0093582B" w:rsidRDefault="00F66E58" w:rsidP="00F66E58">
            <w:pPr>
              <w:jc w:val="center"/>
            </w:pPr>
            <w:r w:rsidRPr="0093582B">
              <w:t>27,7±39</w:t>
            </w:r>
          </w:p>
        </w:tc>
        <w:tc>
          <w:tcPr>
            <w:tcW w:w="2135" w:type="dxa"/>
          </w:tcPr>
          <w:p w:rsidR="00F66E58" w:rsidRPr="0093582B" w:rsidRDefault="00F66E58" w:rsidP="00F66E58">
            <w:pPr>
              <w:jc w:val="center"/>
            </w:pPr>
            <w:r w:rsidRPr="0093582B">
              <w:t>0,03</w:t>
            </w:r>
          </w:p>
        </w:tc>
      </w:tr>
      <w:tr w:rsidR="00F66E58" w:rsidRPr="0093582B" w:rsidTr="00F66E58">
        <w:trPr>
          <w:trHeight w:val="302"/>
        </w:trPr>
        <w:tc>
          <w:tcPr>
            <w:tcW w:w="2689" w:type="dxa"/>
            <w:hideMark/>
          </w:tcPr>
          <w:p w:rsidR="00F66E58" w:rsidRPr="0093582B" w:rsidRDefault="00F66E58" w:rsidP="00F66E58">
            <w:pPr>
              <w:jc w:val="center"/>
              <w:rPr>
                <w:bCs/>
              </w:rPr>
            </w:pPr>
            <w:r w:rsidRPr="0093582B">
              <w:rPr>
                <w:bCs/>
              </w:rPr>
              <w:t>MH</w:t>
            </w:r>
          </w:p>
        </w:tc>
        <w:tc>
          <w:tcPr>
            <w:tcW w:w="2412" w:type="dxa"/>
            <w:noWrap/>
            <w:hideMark/>
          </w:tcPr>
          <w:p w:rsidR="00F66E58" w:rsidRPr="0093582B" w:rsidRDefault="00F66E58" w:rsidP="00F66E58">
            <w:pPr>
              <w:jc w:val="center"/>
            </w:pPr>
            <w:r w:rsidRPr="0093582B">
              <w:t>75,2±24</w:t>
            </w:r>
          </w:p>
        </w:tc>
        <w:tc>
          <w:tcPr>
            <w:tcW w:w="2443" w:type="dxa"/>
            <w:noWrap/>
            <w:hideMark/>
          </w:tcPr>
          <w:p w:rsidR="00F66E58" w:rsidRPr="0093582B" w:rsidRDefault="00F66E58" w:rsidP="00F66E58">
            <w:pPr>
              <w:jc w:val="center"/>
            </w:pPr>
            <w:r w:rsidRPr="0093582B">
              <w:t>51,3±24</w:t>
            </w:r>
          </w:p>
        </w:tc>
        <w:tc>
          <w:tcPr>
            <w:tcW w:w="2135" w:type="dxa"/>
          </w:tcPr>
          <w:p w:rsidR="00F66E58" w:rsidRPr="0093582B" w:rsidRDefault="00F66E58" w:rsidP="00F66E58">
            <w:pPr>
              <w:jc w:val="center"/>
            </w:pPr>
            <w:r w:rsidRPr="0093582B">
              <w:t>0,1</w:t>
            </w:r>
          </w:p>
        </w:tc>
      </w:tr>
      <w:tr w:rsidR="00F66E58" w:rsidRPr="0093582B" w:rsidTr="00F66E58">
        <w:trPr>
          <w:trHeight w:val="302"/>
        </w:trPr>
        <w:tc>
          <w:tcPr>
            <w:tcW w:w="2689" w:type="dxa"/>
            <w:hideMark/>
          </w:tcPr>
          <w:p w:rsidR="00F66E58" w:rsidRPr="0093582B" w:rsidRDefault="00F66E58" w:rsidP="00F66E58">
            <w:pPr>
              <w:jc w:val="center"/>
              <w:rPr>
                <w:b/>
                <w:bCs/>
              </w:rPr>
            </w:pPr>
            <w:r w:rsidRPr="0093582B">
              <w:rPr>
                <w:b/>
                <w:bCs/>
              </w:rPr>
              <w:t>Физический компонент</w:t>
            </w:r>
          </w:p>
        </w:tc>
        <w:tc>
          <w:tcPr>
            <w:tcW w:w="2412" w:type="dxa"/>
            <w:noWrap/>
            <w:hideMark/>
          </w:tcPr>
          <w:p w:rsidR="00F66E58" w:rsidRPr="0093582B" w:rsidRDefault="00F66E58" w:rsidP="00F66E58">
            <w:pPr>
              <w:jc w:val="center"/>
              <w:rPr>
                <w:b/>
                <w:bCs/>
              </w:rPr>
            </w:pPr>
            <w:r w:rsidRPr="0093582B">
              <w:rPr>
                <w:b/>
                <w:bCs/>
              </w:rPr>
              <w:t>52,8±2,5</w:t>
            </w:r>
          </w:p>
        </w:tc>
        <w:tc>
          <w:tcPr>
            <w:tcW w:w="2443" w:type="dxa"/>
            <w:noWrap/>
            <w:hideMark/>
          </w:tcPr>
          <w:p w:rsidR="00F66E58" w:rsidRPr="0093582B" w:rsidRDefault="00F66E58" w:rsidP="00F66E58">
            <w:pPr>
              <w:jc w:val="center"/>
              <w:rPr>
                <w:b/>
                <w:bCs/>
              </w:rPr>
            </w:pPr>
            <w:r w:rsidRPr="0093582B">
              <w:rPr>
                <w:b/>
                <w:bCs/>
              </w:rPr>
              <w:t>45,8±13</w:t>
            </w:r>
          </w:p>
        </w:tc>
        <w:tc>
          <w:tcPr>
            <w:tcW w:w="2135" w:type="dxa"/>
          </w:tcPr>
          <w:p w:rsidR="00F66E58" w:rsidRPr="0093582B" w:rsidRDefault="00F66E58" w:rsidP="00F66E58">
            <w:pPr>
              <w:jc w:val="center"/>
              <w:rPr>
                <w:b/>
                <w:bCs/>
              </w:rPr>
            </w:pPr>
            <w:r w:rsidRPr="0093582B">
              <w:rPr>
                <w:b/>
                <w:bCs/>
              </w:rPr>
              <w:t>1</w:t>
            </w:r>
          </w:p>
        </w:tc>
      </w:tr>
      <w:tr w:rsidR="00F66E58" w:rsidRPr="0093582B" w:rsidTr="00F66E58">
        <w:trPr>
          <w:trHeight w:val="302"/>
        </w:trPr>
        <w:tc>
          <w:tcPr>
            <w:tcW w:w="2689" w:type="dxa"/>
            <w:hideMark/>
          </w:tcPr>
          <w:p w:rsidR="00F66E58" w:rsidRPr="0093582B" w:rsidRDefault="00F66E58" w:rsidP="00F66E58">
            <w:pPr>
              <w:jc w:val="center"/>
              <w:rPr>
                <w:b/>
                <w:bCs/>
              </w:rPr>
            </w:pPr>
            <w:r w:rsidRPr="0093582B">
              <w:rPr>
                <w:b/>
                <w:bCs/>
              </w:rPr>
              <w:t>Психический компонент</w:t>
            </w:r>
          </w:p>
        </w:tc>
        <w:tc>
          <w:tcPr>
            <w:tcW w:w="2412" w:type="dxa"/>
            <w:noWrap/>
            <w:hideMark/>
          </w:tcPr>
          <w:p w:rsidR="00F66E58" w:rsidRPr="0093582B" w:rsidRDefault="00F66E58" w:rsidP="00F66E58">
            <w:pPr>
              <w:jc w:val="center"/>
              <w:rPr>
                <w:b/>
                <w:bCs/>
              </w:rPr>
            </w:pPr>
            <w:r w:rsidRPr="0093582B">
              <w:rPr>
                <w:b/>
                <w:bCs/>
              </w:rPr>
              <w:t>52±13</w:t>
            </w:r>
          </w:p>
        </w:tc>
        <w:tc>
          <w:tcPr>
            <w:tcW w:w="2443" w:type="dxa"/>
            <w:noWrap/>
            <w:hideMark/>
          </w:tcPr>
          <w:p w:rsidR="00F66E58" w:rsidRPr="0093582B" w:rsidRDefault="00F66E58" w:rsidP="00F66E58">
            <w:pPr>
              <w:jc w:val="center"/>
              <w:rPr>
                <w:b/>
                <w:bCs/>
              </w:rPr>
            </w:pPr>
            <w:r w:rsidRPr="0093582B">
              <w:rPr>
                <w:b/>
                <w:bCs/>
              </w:rPr>
              <w:t>36±15</w:t>
            </w:r>
          </w:p>
        </w:tc>
        <w:tc>
          <w:tcPr>
            <w:tcW w:w="2135" w:type="dxa"/>
          </w:tcPr>
          <w:p w:rsidR="00F66E58" w:rsidRPr="0093582B" w:rsidRDefault="00F66E58" w:rsidP="00F66E58">
            <w:pPr>
              <w:jc w:val="center"/>
              <w:rPr>
                <w:b/>
                <w:bCs/>
              </w:rPr>
            </w:pPr>
            <w:r w:rsidRPr="0093582B">
              <w:rPr>
                <w:b/>
                <w:bCs/>
                <w:lang w:val="en-US"/>
              </w:rPr>
              <w:t>0</w:t>
            </w:r>
            <w:r w:rsidRPr="0093582B">
              <w:rPr>
                <w:b/>
                <w:bCs/>
              </w:rPr>
              <w:t>,1</w:t>
            </w:r>
          </w:p>
        </w:tc>
      </w:tr>
    </w:tbl>
    <w:p w:rsidR="00F66E58" w:rsidRPr="0093582B" w:rsidRDefault="00EA200B" w:rsidP="00F66E58">
      <w:r w:rsidRPr="0093582B">
        <w:t>Примечание</w:t>
      </w:r>
      <w:r w:rsidRPr="0093582B">
        <w:rPr>
          <w:lang w:val="en-US"/>
        </w:rPr>
        <w:t>:</w:t>
      </w:r>
      <w:r w:rsidRPr="0093582B">
        <w:t xml:space="preserve"> </w:t>
      </w:r>
      <w:r w:rsidR="00F66E58" w:rsidRPr="0093582B">
        <w:t>*</w:t>
      </w:r>
      <w:r w:rsidR="00F66E58" w:rsidRPr="0093582B">
        <w:rPr>
          <w:lang w:val="en-US"/>
        </w:rPr>
        <w:t xml:space="preserve"> p</w:t>
      </w:r>
      <w:r w:rsidRPr="0093582B">
        <w:t xml:space="preserve"> </w:t>
      </w:r>
      <w:r w:rsidR="00F66E58" w:rsidRPr="0093582B">
        <w:rPr>
          <w:lang w:val="en-US"/>
        </w:rPr>
        <w:t>&lt;0,05</w:t>
      </w:r>
    </w:p>
    <w:p w:rsidR="00AD4091" w:rsidRPr="0093582B" w:rsidRDefault="00B80B35" w:rsidP="0078142B">
      <w:pPr>
        <w:pStyle w:val="a9"/>
      </w:pPr>
      <w:r w:rsidRPr="0093582B">
        <w:t>Также для наглядной интерпретац</w:t>
      </w:r>
      <w:r w:rsidR="001009F3" w:rsidRPr="0093582B">
        <w:t>ии результатов данные пациентов</w:t>
      </w:r>
      <w:r w:rsidRPr="0093582B">
        <w:t xml:space="preserve"> двух групп показаны в </w:t>
      </w:r>
      <w:r w:rsidR="00DD5F29">
        <w:t>формате гистограммы на рисунке 7</w:t>
      </w:r>
      <w:r w:rsidRPr="0093582B">
        <w:t>.</w:t>
      </w:r>
    </w:p>
    <w:p w:rsidR="00F66E58" w:rsidRPr="0093582B" w:rsidRDefault="00F66E58" w:rsidP="00AD4091">
      <w:r w:rsidRPr="0093582B">
        <w:rPr>
          <w:noProof/>
        </w:rPr>
        <w:drawing>
          <wp:inline distT="0" distB="0" distL="0" distR="0" wp14:anchorId="2214BA6A" wp14:editId="104042A9">
            <wp:extent cx="6477000" cy="2872740"/>
            <wp:effectExtent l="0" t="0" r="0"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B284B" w:rsidRPr="00DD5F29" w:rsidRDefault="009468CD" w:rsidP="009E5650">
      <w:pPr>
        <w:spacing w:line="240" w:lineRule="auto"/>
      </w:pPr>
      <w:r w:rsidRPr="0093582B">
        <w:t>Примечание</w:t>
      </w:r>
      <w:r w:rsidRPr="00DD5F29">
        <w:t xml:space="preserve">: </w:t>
      </w:r>
      <w:r w:rsidR="00BB284B" w:rsidRPr="00DD5F29">
        <w:t xml:space="preserve">* </w:t>
      </w:r>
      <w:r w:rsidR="00BB284B" w:rsidRPr="0093582B">
        <w:rPr>
          <w:lang w:val="en-US"/>
        </w:rPr>
        <w:t>p</w:t>
      </w:r>
      <w:r w:rsidR="00EA200B" w:rsidRPr="00DD5F29">
        <w:t xml:space="preserve"> </w:t>
      </w:r>
      <w:r w:rsidR="00BB284B" w:rsidRPr="00DD5F29">
        <w:t>&lt;0,05</w:t>
      </w:r>
      <w:r w:rsidRPr="00DD5F29">
        <w:t>;</w:t>
      </w:r>
      <w:r w:rsidR="00EA200B" w:rsidRPr="00DD5F29">
        <w:t xml:space="preserve"> </w:t>
      </w:r>
      <w:r w:rsidR="00EA200B" w:rsidRPr="0093582B">
        <w:rPr>
          <w:lang w:val="en-US"/>
        </w:rPr>
        <w:t>PH</w:t>
      </w:r>
      <w:r w:rsidR="00EA200B" w:rsidRPr="00DD5F29">
        <w:t xml:space="preserve"> – </w:t>
      </w:r>
      <w:r w:rsidR="00EA200B" w:rsidRPr="0093582B">
        <w:rPr>
          <w:lang w:val="en-US"/>
        </w:rPr>
        <w:t>Physical</w:t>
      </w:r>
      <w:r w:rsidR="00EA200B" w:rsidRPr="00DD5F29">
        <w:t xml:space="preserve"> </w:t>
      </w:r>
      <w:r w:rsidR="00EA200B" w:rsidRPr="0093582B">
        <w:rPr>
          <w:lang w:val="en-US"/>
        </w:rPr>
        <w:t>Health</w:t>
      </w:r>
      <w:r w:rsidR="00EA200B" w:rsidRPr="00DD5F29">
        <w:t xml:space="preserve">; </w:t>
      </w:r>
      <w:r w:rsidR="00EA200B" w:rsidRPr="0093582B">
        <w:rPr>
          <w:lang w:val="en-US"/>
        </w:rPr>
        <w:t>RP</w:t>
      </w:r>
      <w:r w:rsidR="00EA200B" w:rsidRPr="00DD5F29">
        <w:t xml:space="preserve"> – </w:t>
      </w:r>
      <w:r w:rsidR="00EA200B" w:rsidRPr="0093582B">
        <w:rPr>
          <w:lang w:val="en-US"/>
        </w:rPr>
        <w:t>Role</w:t>
      </w:r>
      <w:r w:rsidR="00EA200B" w:rsidRPr="00DD5F29">
        <w:t>-</w:t>
      </w:r>
      <w:r w:rsidR="00EA200B" w:rsidRPr="0093582B">
        <w:rPr>
          <w:lang w:val="en-US"/>
        </w:rPr>
        <w:t>Physical</w:t>
      </w:r>
      <w:r w:rsidR="009E5650" w:rsidRPr="00DD5F29">
        <w:t xml:space="preserve"> </w:t>
      </w:r>
      <w:r w:rsidR="009E5650" w:rsidRPr="0093582B">
        <w:rPr>
          <w:lang w:val="en-US"/>
        </w:rPr>
        <w:t>functioning</w:t>
      </w:r>
      <w:r w:rsidR="009E5650" w:rsidRPr="00DD5F29">
        <w:t xml:space="preserve">; </w:t>
      </w:r>
      <w:r w:rsidR="009E5650" w:rsidRPr="0093582B">
        <w:rPr>
          <w:lang w:val="en-US"/>
        </w:rPr>
        <w:t>BP</w:t>
      </w:r>
      <w:r w:rsidR="009E5650" w:rsidRPr="00DD5F29">
        <w:t xml:space="preserve"> – </w:t>
      </w:r>
      <w:r w:rsidR="009E5650" w:rsidRPr="0093582B">
        <w:rPr>
          <w:lang w:val="en-US"/>
        </w:rPr>
        <w:t>Bodily</w:t>
      </w:r>
      <w:r w:rsidR="009E5650" w:rsidRPr="00DD5F29">
        <w:t xml:space="preserve"> </w:t>
      </w:r>
      <w:r w:rsidR="009E5650" w:rsidRPr="0093582B">
        <w:rPr>
          <w:lang w:val="en-US"/>
        </w:rPr>
        <w:t>Pain</w:t>
      </w:r>
      <w:r w:rsidR="009E5650" w:rsidRPr="00DD5F29">
        <w:t>;</w:t>
      </w:r>
      <w:r w:rsidR="00EA200B" w:rsidRPr="00DD5F29">
        <w:t xml:space="preserve"> </w:t>
      </w:r>
      <w:r w:rsidR="00EA200B" w:rsidRPr="0093582B">
        <w:rPr>
          <w:lang w:val="en-US"/>
        </w:rPr>
        <w:t>GH</w:t>
      </w:r>
      <w:r w:rsidR="00EA200B" w:rsidRPr="00DD5F29">
        <w:t xml:space="preserve"> – </w:t>
      </w:r>
      <w:r w:rsidR="00EA200B" w:rsidRPr="0093582B">
        <w:rPr>
          <w:lang w:val="en-US"/>
        </w:rPr>
        <w:t>General</w:t>
      </w:r>
      <w:r w:rsidR="00EA200B" w:rsidRPr="00DD5F29">
        <w:t xml:space="preserve"> </w:t>
      </w:r>
      <w:r w:rsidR="00EA200B" w:rsidRPr="0093582B">
        <w:rPr>
          <w:lang w:val="en-US"/>
        </w:rPr>
        <w:t>Health</w:t>
      </w:r>
      <w:r w:rsidR="00EA200B" w:rsidRPr="00DD5F29">
        <w:t xml:space="preserve">; </w:t>
      </w:r>
      <w:r w:rsidR="00EA200B" w:rsidRPr="0093582B">
        <w:rPr>
          <w:lang w:val="en-US"/>
        </w:rPr>
        <w:t>VT</w:t>
      </w:r>
      <w:r w:rsidR="00EA200B" w:rsidRPr="00DD5F29">
        <w:t xml:space="preserve"> – </w:t>
      </w:r>
      <w:r w:rsidR="00EA200B" w:rsidRPr="0093582B">
        <w:rPr>
          <w:lang w:val="en-US"/>
        </w:rPr>
        <w:t>Vitality</w:t>
      </w:r>
      <w:r w:rsidR="00EA200B" w:rsidRPr="00DD5F29">
        <w:t xml:space="preserve">; </w:t>
      </w:r>
      <w:r w:rsidR="00EA200B" w:rsidRPr="0093582B">
        <w:rPr>
          <w:lang w:val="en-US"/>
        </w:rPr>
        <w:t>SF</w:t>
      </w:r>
      <w:r w:rsidR="00EA200B" w:rsidRPr="00DD5F29">
        <w:t xml:space="preserve"> – </w:t>
      </w:r>
      <w:r w:rsidR="00EA200B" w:rsidRPr="0093582B">
        <w:rPr>
          <w:lang w:val="en-US"/>
        </w:rPr>
        <w:t>Social</w:t>
      </w:r>
      <w:r w:rsidR="00EA200B" w:rsidRPr="00DD5F29">
        <w:t xml:space="preserve"> </w:t>
      </w:r>
      <w:r w:rsidR="00EA200B" w:rsidRPr="0093582B">
        <w:rPr>
          <w:lang w:val="en-US"/>
        </w:rPr>
        <w:t>functioning</w:t>
      </w:r>
      <w:r w:rsidR="00EA200B" w:rsidRPr="00DD5F29">
        <w:t xml:space="preserve">; </w:t>
      </w:r>
      <w:r w:rsidR="00EA200B" w:rsidRPr="0093582B">
        <w:rPr>
          <w:lang w:val="en-US"/>
        </w:rPr>
        <w:t>RE</w:t>
      </w:r>
      <w:r w:rsidR="00EA200B" w:rsidRPr="00DD5F29">
        <w:t xml:space="preserve"> – </w:t>
      </w:r>
      <w:r w:rsidR="00EA200B" w:rsidRPr="0093582B">
        <w:rPr>
          <w:lang w:val="en-US"/>
        </w:rPr>
        <w:t>Role</w:t>
      </w:r>
      <w:r w:rsidR="00EA200B" w:rsidRPr="00DD5F29">
        <w:t>-</w:t>
      </w:r>
      <w:r w:rsidR="00EA200B" w:rsidRPr="0093582B">
        <w:rPr>
          <w:lang w:val="en-US"/>
        </w:rPr>
        <w:t>Emotional</w:t>
      </w:r>
      <w:r w:rsidR="00EA200B" w:rsidRPr="00DD5F29">
        <w:t xml:space="preserve">; </w:t>
      </w:r>
      <w:r w:rsidR="00EA200B" w:rsidRPr="0093582B">
        <w:rPr>
          <w:lang w:val="en-US"/>
        </w:rPr>
        <w:t>MH</w:t>
      </w:r>
      <w:r w:rsidR="00EA200B" w:rsidRPr="00DD5F29">
        <w:t xml:space="preserve"> – </w:t>
      </w:r>
      <w:r w:rsidR="00EA200B" w:rsidRPr="0093582B">
        <w:rPr>
          <w:lang w:val="en-US"/>
        </w:rPr>
        <w:t>Mental</w:t>
      </w:r>
      <w:r w:rsidR="00EA200B" w:rsidRPr="00DD5F29">
        <w:t xml:space="preserve"> </w:t>
      </w:r>
      <w:r w:rsidR="00EA200B" w:rsidRPr="0093582B">
        <w:rPr>
          <w:lang w:val="en-US"/>
        </w:rPr>
        <w:t>Health</w:t>
      </w:r>
      <w:r w:rsidR="00EA200B" w:rsidRPr="00DD5F29">
        <w:t xml:space="preserve">; </w:t>
      </w:r>
      <w:r w:rsidR="00EA200B" w:rsidRPr="0093582B">
        <w:rPr>
          <w:lang w:val="en-US"/>
        </w:rPr>
        <w:t>PF</w:t>
      </w:r>
      <w:r w:rsidR="00EA200B" w:rsidRPr="00DD5F29">
        <w:t xml:space="preserve"> – </w:t>
      </w:r>
      <w:r w:rsidR="00EA200B" w:rsidRPr="0093582B">
        <w:rPr>
          <w:lang w:val="en-US"/>
        </w:rPr>
        <w:t>Physical</w:t>
      </w:r>
      <w:r w:rsidR="00EA200B" w:rsidRPr="00DD5F29">
        <w:t xml:space="preserve"> </w:t>
      </w:r>
      <w:r w:rsidR="00EA200B" w:rsidRPr="0093582B">
        <w:rPr>
          <w:lang w:val="en-US"/>
        </w:rPr>
        <w:t>Functioning</w:t>
      </w:r>
      <w:r w:rsidR="004F6F07" w:rsidRPr="00DD5F29">
        <w:t xml:space="preserve">; </w:t>
      </w:r>
      <w:r w:rsidR="004F6F07" w:rsidRPr="0093582B">
        <w:t>ФИЗ</w:t>
      </w:r>
      <w:r w:rsidR="004F6F07" w:rsidRPr="00DD5F29">
        <w:t xml:space="preserve"> – </w:t>
      </w:r>
      <w:r w:rsidR="004F6F07" w:rsidRPr="0093582B">
        <w:t>физический</w:t>
      </w:r>
      <w:r w:rsidR="004F6F07" w:rsidRPr="00DD5F29">
        <w:t xml:space="preserve"> </w:t>
      </w:r>
      <w:r w:rsidR="004F6F07" w:rsidRPr="0093582B">
        <w:t>компонент</w:t>
      </w:r>
      <w:r w:rsidR="00DD5F29" w:rsidRPr="00DD5F29">
        <w:t xml:space="preserve"> </w:t>
      </w:r>
      <w:r w:rsidR="00DD5F29">
        <w:t>здоровья</w:t>
      </w:r>
      <w:r w:rsidR="004F6F07" w:rsidRPr="00DD5F29">
        <w:t xml:space="preserve">; </w:t>
      </w:r>
      <w:r w:rsidR="00DD5F29">
        <w:tab/>
      </w:r>
      <w:r w:rsidR="00DD5F29">
        <w:tab/>
        <w:t xml:space="preserve">         П</w:t>
      </w:r>
      <w:r w:rsidR="004F6F07" w:rsidRPr="0093582B">
        <w:t>СИХ</w:t>
      </w:r>
      <w:r w:rsidR="00DD5F29">
        <w:t xml:space="preserve"> </w:t>
      </w:r>
      <w:r w:rsidR="00DD5F29" w:rsidRPr="00DD5F29">
        <w:t xml:space="preserve">– </w:t>
      </w:r>
      <w:r w:rsidR="009E5650" w:rsidRPr="0093582B">
        <w:t>психологический</w:t>
      </w:r>
      <w:r w:rsidR="009E5650" w:rsidRPr="00DD5F29">
        <w:t xml:space="preserve"> </w:t>
      </w:r>
      <w:r w:rsidR="009E5650" w:rsidRPr="0093582B">
        <w:t>компонент</w:t>
      </w:r>
      <w:r w:rsidR="00DD5F29">
        <w:t xml:space="preserve"> здоровья</w:t>
      </w:r>
    </w:p>
    <w:p w:rsidR="00F66E58" w:rsidRPr="0093582B" w:rsidRDefault="00F66E58" w:rsidP="00AD4091">
      <w:r w:rsidRPr="0093582B">
        <w:t>Рис</w:t>
      </w:r>
      <w:r w:rsidR="00DD5F29" w:rsidRPr="00DD5F29">
        <w:t>.7</w:t>
      </w:r>
      <w:r w:rsidRPr="00DD5F29">
        <w:t xml:space="preserve">. </w:t>
      </w:r>
      <w:r w:rsidRPr="0093582B">
        <w:t xml:space="preserve">Результаты </w:t>
      </w:r>
      <w:r w:rsidR="00805406" w:rsidRPr="0093582B">
        <w:t xml:space="preserve">тестирования по </w:t>
      </w:r>
      <w:r w:rsidR="004F6F07" w:rsidRPr="0093582B">
        <w:t>опроснику</w:t>
      </w:r>
      <w:r w:rsidRPr="0093582B">
        <w:t xml:space="preserve"> </w:t>
      </w:r>
      <w:r w:rsidRPr="0093582B">
        <w:rPr>
          <w:lang w:val="en-US"/>
        </w:rPr>
        <w:t>SF</w:t>
      </w:r>
      <w:r w:rsidRPr="0093582B">
        <w:t>-36 у пациентов с право- и левосторонней локализацией очага</w:t>
      </w:r>
    </w:p>
    <w:p w:rsidR="002C6D70" w:rsidRPr="0093582B" w:rsidRDefault="00BB284B" w:rsidP="00475F72">
      <w:pPr>
        <w:pStyle w:val="a9"/>
      </w:pPr>
      <w:r w:rsidRPr="0093582B">
        <w:lastRenderedPageBreak/>
        <w:t>Р-критерий для большинства сравниваемых параметров был больше 0,05</w:t>
      </w:r>
      <w:r w:rsidR="00B80B35" w:rsidRPr="0093582B">
        <w:t xml:space="preserve">, что соответствует зоне незначимости в сравниваемых выборках. Однако наблюдается общая тенденция к более высокому качеству жизни среди пациентов с правосторонней локализацией очага. Наибольшая разница наблюдается по </w:t>
      </w:r>
      <w:r w:rsidR="00475F72" w:rsidRPr="0093582B">
        <w:t xml:space="preserve">нескольким </w:t>
      </w:r>
      <w:r w:rsidR="00B80B35" w:rsidRPr="0093582B">
        <w:t>параметрам</w:t>
      </w:r>
      <w:r w:rsidR="00475F72" w:rsidRPr="0093582B">
        <w:t>.</w:t>
      </w:r>
      <w:r w:rsidR="00B80B35" w:rsidRPr="0093582B">
        <w:t xml:space="preserve"> </w:t>
      </w:r>
      <w:r w:rsidRPr="0093582B">
        <w:t xml:space="preserve">В зоне значимости отличий оказались такие параметры как </w:t>
      </w:r>
      <w:r w:rsidRPr="0093582B">
        <w:rPr>
          <w:lang w:val="en-US"/>
        </w:rPr>
        <w:t>RP</w:t>
      </w:r>
      <w:r w:rsidRPr="0093582B">
        <w:t xml:space="preserve">, </w:t>
      </w:r>
      <w:r w:rsidRPr="0093582B">
        <w:rPr>
          <w:lang w:val="en-US"/>
        </w:rPr>
        <w:t>VT</w:t>
      </w:r>
      <w:r w:rsidRPr="0093582B">
        <w:t xml:space="preserve"> и </w:t>
      </w:r>
      <w:r w:rsidRPr="0093582B">
        <w:rPr>
          <w:lang w:val="en-US"/>
        </w:rPr>
        <w:t>RE</w:t>
      </w:r>
      <w:r w:rsidRPr="0093582B">
        <w:t xml:space="preserve">. </w:t>
      </w:r>
      <w:r w:rsidR="00475F72" w:rsidRPr="0093582B">
        <w:t>Р</w:t>
      </w:r>
      <w:r w:rsidR="00B80B35" w:rsidRPr="0093582B">
        <w:t>олевое функционирование</w:t>
      </w:r>
      <w:r w:rsidR="00475F72" w:rsidRPr="0093582B">
        <w:t xml:space="preserve">, </w:t>
      </w:r>
      <w:r w:rsidR="00B80B35" w:rsidRPr="0093582B">
        <w:t>обусловленное физическим состоянием</w:t>
      </w:r>
      <w:r w:rsidR="00475F72" w:rsidRPr="0093582B">
        <w:t xml:space="preserve"> (</w:t>
      </w:r>
      <w:r w:rsidR="00475F72" w:rsidRPr="0093582B">
        <w:rPr>
          <w:lang w:val="en-US"/>
        </w:rPr>
        <w:t>RP</w:t>
      </w:r>
      <w:r w:rsidR="00475F72" w:rsidRPr="0093582B">
        <w:t xml:space="preserve">) - у пациентов с правосторонней локализацией очага уровень жизни по данному показателю </w:t>
      </w:r>
      <w:r w:rsidR="00B80B35" w:rsidRPr="0093582B">
        <w:t>более чем в 3 раза</w:t>
      </w:r>
      <w:r w:rsidR="00475F72" w:rsidRPr="0093582B">
        <w:t xml:space="preserve"> превышает </w:t>
      </w:r>
      <w:r w:rsidR="00BC6E5B" w:rsidRPr="0093582B">
        <w:t>пациентов с левосторонним очагом</w:t>
      </w:r>
      <w:r w:rsidR="00475F72" w:rsidRPr="0093582B">
        <w:t>. Данный критерий иллюстрирует насколько физическое состояние огра</w:t>
      </w:r>
      <w:r w:rsidRPr="0093582B">
        <w:t>ничивает пациентов в выполнении</w:t>
      </w:r>
      <w:r w:rsidR="00475F72" w:rsidRPr="0093582B">
        <w:t xml:space="preserve"> своих рутинных задач (работа, ежедневные обязанности)</w:t>
      </w:r>
      <w:r w:rsidR="00BC6E5B" w:rsidRPr="0093582B">
        <w:t>, чем выше критерий, тем выше качество жизни</w:t>
      </w:r>
      <w:r w:rsidR="00475F72" w:rsidRPr="0093582B">
        <w:t>. Также есть разница в показателе</w:t>
      </w:r>
      <w:r w:rsidR="00B9290A" w:rsidRPr="0093582B">
        <w:t xml:space="preserve"> </w:t>
      </w:r>
      <w:r w:rsidR="00B9290A" w:rsidRPr="0093582B">
        <w:rPr>
          <w:lang w:val="en-US"/>
        </w:rPr>
        <w:t>RE</w:t>
      </w:r>
      <w:r w:rsidR="00B9290A" w:rsidRPr="0093582B">
        <w:t xml:space="preserve"> - </w:t>
      </w:r>
      <w:r w:rsidR="00475F72" w:rsidRPr="0093582B">
        <w:t xml:space="preserve"> ролевого функционирования, обусловленного эмоциональным состоянием (в 3 раза больше </w:t>
      </w:r>
      <w:r w:rsidR="00017C3E" w:rsidRPr="0093582B">
        <w:t>при</w:t>
      </w:r>
      <w:r w:rsidR="00475F72" w:rsidRPr="0093582B">
        <w:t xml:space="preserve"> правосторонних</w:t>
      </w:r>
      <w:r w:rsidR="00BC6E5B" w:rsidRPr="0093582B">
        <w:t xml:space="preserve"> локализаци</w:t>
      </w:r>
      <w:r w:rsidR="00017C3E" w:rsidRPr="0093582B">
        <w:t>ях</w:t>
      </w:r>
      <w:r w:rsidR="00475F72" w:rsidRPr="0093582B">
        <w:t>), данный критерий оценивает тоже</w:t>
      </w:r>
      <w:r w:rsidR="00017C3E" w:rsidRPr="0093582B">
        <w:t>,</w:t>
      </w:r>
      <w:r w:rsidR="00475F72" w:rsidRPr="0093582B">
        <w:t xml:space="preserve"> что и </w:t>
      </w:r>
      <w:r w:rsidR="00475F72" w:rsidRPr="0093582B">
        <w:rPr>
          <w:lang w:val="en-US"/>
        </w:rPr>
        <w:t>RP</w:t>
      </w:r>
      <w:r w:rsidR="00475F72" w:rsidRPr="0093582B">
        <w:t>, только в зависимости от эмоционального состояния.</w:t>
      </w:r>
      <w:r w:rsidR="00B9290A" w:rsidRPr="0093582B">
        <w:t xml:space="preserve"> </w:t>
      </w:r>
      <w:r w:rsidR="00C9379A" w:rsidRPr="0093582B">
        <w:t>Жизненная активность (</w:t>
      </w:r>
      <w:r w:rsidR="00C9379A" w:rsidRPr="0093582B">
        <w:rPr>
          <w:lang w:val="en-US"/>
        </w:rPr>
        <w:t>VT</w:t>
      </w:r>
      <w:r w:rsidR="00C9379A" w:rsidRPr="0093582B">
        <w:t xml:space="preserve">) также преобладает </w:t>
      </w:r>
      <w:r w:rsidR="00EA200B" w:rsidRPr="0093582B">
        <w:t xml:space="preserve">у лиц с </w:t>
      </w:r>
      <w:r w:rsidR="00C9379A" w:rsidRPr="0093582B">
        <w:t>правосторонн</w:t>
      </w:r>
      <w:r w:rsidR="00017C3E" w:rsidRPr="0093582B">
        <w:t>ей</w:t>
      </w:r>
      <w:r w:rsidR="00C9379A" w:rsidRPr="0093582B">
        <w:t xml:space="preserve"> локализаци</w:t>
      </w:r>
      <w:r w:rsidR="00017C3E" w:rsidRPr="0093582B">
        <w:t>е</w:t>
      </w:r>
      <w:r w:rsidR="00C9379A" w:rsidRPr="0093582B">
        <w:t>й</w:t>
      </w:r>
      <w:r w:rsidR="00017C3E" w:rsidRPr="0093582B">
        <w:t xml:space="preserve"> очага.</w:t>
      </w:r>
      <w:r w:rsidR="00C9379A" w:rsidRPr="0093582B">
        <w:t xml:space="preserve"> </w:t>
      </w:r>
      <w:r w:rsidR="00017C3E" w:rsidRPr="0093582B">
        <w:t>З</w:t>
      </w:r>
      <w:r w:rsidR="00C9379A" w:rsidRPr="0093582B">
        <w:t xml:space="preserve">начения данного параметра иллюстрируют состояние пациентов как полное сил и энергии или, напротив, обессиленное. Низкие баллы свидетельствуют об утомлении пациента, </w:t>
      </w:r>
      <w:r w:rsidR="001009F3" w:rsidRPr="0093582B">
        <w:t xml:space="preserve">снижении жизненной активности. </w:t>
      </w:r>
      <w:r w:rsidR="00017C3E" w:rsidRPr="0093582B">
        <w:t>С</w:t>
      </w:r>
      <w:r w:rsidR="00B9290A" w:rsidRPr="0093582B">
        <w:t>тоит отметить, что суммарный психологический компонент здоровья у пациентов с правосторонней локализацией очага выше в 1,4 раза, чем у пациентов с левосторонними структурными изменениями.</w:t>
      </w:r>
    </w:p>
    <w:p w:rsidR="009A2C55" w:rsidRPr="0093582B" w:rsidRDefault="009A2C55" w:rsidP="009A2C55">
      <w:pPr>
        <w:pStyle w:val="2"/>
      </w:pPr>
      <w:bookmarkStart w:id="33" w:name="_Toc104427550"/>
      <w:r w:rsidRPr="0093582B">
        <w:t>3.7.3</w:t>
      </w:r>
      <w:r w:rsidR="00017C3E" w:rsidRPr="0093582B">
        <w:t>.</w:t>
      </w:r>
      <w:r w:rsidRPr="0093582B">
        <w:t xml:space="preserve"> Частота и типы приступов у пациентов в постоперационном периоде</w:t>
      </w:r>
      <w:bookmarkEnd w:id="33"/>
    </w:p>
    <w:p w:rsidR="00506E29" w:rsidRPr="0093582B" w:rsidRDefault="00B9290A" w:rsidP="00A33418">
      <w:pPr>
        <w:pStyle w:val="a9"/>
      </w:pPr>
      <w:r w:rsidRPr="0093582B">
        <w:t>У обследуемых пациентов до операции были описаны следующие типы приступов: фокальный с эволюцией в билатеральный тонико-клонический (БТК) – у 9</w:t>
      </w:r>
      <w:r w:rsidR="00A33418" w:rsidRPr="0093582B">
        <w:t xml:space="preserve"> (81,2%)</w:t>
      </w:r>
      <w:r w:rsidRPr="0093582B">
        <w:t xml:space="preserve"> пациентов, фокальный с нарушением сознания у 11</w:t>
      </w:r>
      <w:r w:rsidR="00A33418" w:rsidRPr="0093582B">
        <w:t xml:space="preserve"> (100%)</w:t>
      </w:r>
      <w:r w:rsidRPr="0093582B">
        <w:t xml:space="preserve"> пациентов, фокальный с сохранным сознанием – у 3</w:t>
      </w:r>
      <w:r w:rsidR="00A33418" w:rsidRPr="0093582B">
        <w:t xml:space="preserve"> (27,3%)</w:t>
      </w:r>
      <w:r w:rsidRPr="0093582B">
        <w:t xml:space="preserve"> пациентов, а также у 1</w:t>
      </w:r>
      <w:r w:rsidR="00A33418" w:rsidRPr="0093582B">
        <w:t xml:space="preserve"> (9,1%)</w:t>
      </w:r>
      <w:r w:rsidRPr="0093582B">
        <w:t xml:space="preserve"> пациента приступы осложнялись эпилептическим статусом.</w:t>
      </w:r>
      <w:r w:rsidR="00A33418" w:rsidRPr="0093582B">
        <w:t xml:space="preserve"> В </w:t>
      </w:r>
      <w:r w:rsidR="00A33418" w:rsidRPr="0093582B">
        <w:lastRenderedPageBreak/>
        <w:t>отдаленном постоперационном периоде у 9</w:t>
      </w:r>
      <w:r w:rsidR="00AE4EF7" w:rsidRPr="0093582B">
        <w:t xml:space="preserve"> (81,2</w:t>
      </w:r>
      <w:r w:rsidR="007514D0" w:rsidRPr="0093582B">
        <w:t>%</w:t>
      </w:r>
      <w:r w:rsidR="00AE4EF7" w:rsidRPr="0093582B">
        <w:t>)</w:t>
      </w:r>
      <w:r w:rsidR="00A33418" w:rsidRPr="0093582B">
        <w:t xml:space="preserve"> пациентов зафиксирована ремиссия, у 1 (9,1%) пациента сохраняются фокальные приступы с эволюцией в билатеральный тонико-клонический (БТК)</w:t>
      </w:r>
      <w:r w:rsidR="001009F3" w:rsidRPr="0093582B">
        <w:t>, у 1 (9,1%) пациента</w:t>
      </w:r>
      <w:r w:rsidR="00B90F0E" w:rsidRPr="0093582B">
        <w:t xml:space="preserve"> -</w:t>
      </w:r>
      <w:r w:rsidR="00A33418" w:rsidRPr="0093582B">
        <w:t xml:space="preserve"> фокальные приступы с сохранным сознанием. Типы приступо</w:t>
      </w:r>
      <w:r w:rsidR="001009F3" w:rsidRPr="0093582B">
        <w:t>в пациентов до и после операции</w:t>
      </w:r>
      <w:r w:rsidR="00B90F0E" w:rsidRPr="0093582B">
        <w:t xml:space="preserve"> представлены</w:t>
      </w:r>
      <w:r w:rsidR="00A33418" w:rsidRPr="0093582B">
        <w:t xml:space="preserve"> в таблице 7.</w:t>
      </w:r>
    </w:p>
    <w:p w:rsidR="00A33418" w:rsidRPr="0093582B" w:rsidRDefault="00A33418" w:rsidP="00E143AD">
      <w:pPr>
        <w:jc w:val="right"/>
      </w:pPr>
      <w:r w:rsidRPr="0093582B">
        <w:t>Таблица 7. Типы приступов пациентов до и после операции</w:t>
      </w:r>
    </w:p>
    <w:tbl>
      <w:tblPr>
        <w:tblStyle w:val="12"/>
        <w:tblW w:w="9918" w:type="dxa"/>
        <w:tblLayout w:type="fixed"/>
        <w:tblLook w:val="04A0" w:firstRow="1" w:lastRow="0" w:firstColumn="1" w:lastColumn="0" w:noHBand="0" w:noVBand="1"/>
      </w:tblPr>
      <w:tblGrid>
        <w:gridCol w:w="2547"/>
        <w:gridCol w:w="1630"/>
        <w:gridCol w:w="1918"/>
        <w:gridCol w:w="1838"/>
        <w:gridCol w:w="1985"/>
      </w:tblGrid>
      <w:tr w:rsidR="00B9290A" w:rsidRPr="0093582B" w:rsidTr="00AE4EF7">
        <w:trPr>
          <w:trHeight w:val="1340"/>
        </w:trPr>
        <w:tc>
          <w:tcPr>
            <w:tcW w:w="2547" w:type="dxa"/>
            <w:tcBorders>
              <w:tr2bl w:val="single" w:sz="4" w:space="0" w:color="auto"/>
            </w:tcBorders>
          </w:tcPr>
          <w:p w:rsidR="00B9290A" w:rsidRPr="0093582B" w:rsidRDefault="00B9290A" w:rsidP="005204E2">
            <w:pPr>
              <w:jc w:val="both"/>
              <w:rPr>
                <w:rFonts w:ascii="Times New Roman" w:hAnsi="Times New Roman" w:cs="Times New Roman"/>
              </w:rPr>
            </w:pPr>
            <w:r w:rsidRPr="0093582B">
              <w:rPr>
                <w:rFonts w:ascii="Times New Roman" w:hAnsi="Times New Roman" w:cs="Times New Roman"/>
              </w:rPr>
              <w:t>Вид</w:t>
            </w:r>
          </w:p>
          <w:p w:rsidR="00B9290A" w:rsidRPr="0093582B" w:rsidRDefault="00B9290A" w:rsidP="005204E2">
            <w:pPr>
              <w:rPr>
                <w:rFonts w:ascii="Times New Roman" w:hAnsi="Times New Roman" w:cs="Times New Roman"/>
              </w:rPr>
            </w:pPr>
            <w:r w:rsidRPr="0093582B">
              <w:rPr>
                <w:rFonts w:ascii="Times New Roman" w:hAnsi="Times New Roman" w:cs="Times New Roman"/>
              </w:rPr>
              <w:t>приступа</w:t>
            </w:r>
          </w:p>
          <w:p w:rsidR="00B9290A" w:rsidRPr="0093582B" w:rsidRDefault="00B9290A" w:rsidP="005204E2">
            <w:pPr>
              <w:spacing w:line="360" w:lineRule="auto"/>
              <w:jc w:val="right"/>
              <w:rPr>
                <w:rFonts w:ascii="Times New Roman" w:hAnsi="Times New Roman" w:cs="Times New Roman"/>
              </w:rPr>
            </w:pPr>
            <w:r w:rsidRPr="0093582B">
              <w:rPr>
                <w:rFonts w:ascii="Times New Roman" w:hAnsi="Times New Roman" w:cs="Times New Roman"/>
              </w:rPr>
              <w:t xml:space="preserve">                         Группа</w:t>
            </w:r>
          </w:p>
        </w:tc>
        <w:tc>
          <w:tcPr>
            <w:tcW w:w="1630" w:type="dxa"/>
          </w:tcPr>
          <w:p w:rsidR="00B9290A" w:rsidRPr="0093582B" w:rsidRDefault="00B9290A" w:rsidP="005204E2">
            <w:pPr>
              <w:jc w:val="center"/>
              <w:rPr>
                <w:rFonts w:ascii="Times New Roman" w:hAnsi="Times New Roman" w:cs="Times New Roman"/>
              </w:rPr>
            </w:pPr>
            <w:r w:rsidRPr="0093582B">
              <w:rPr>
                <w:rFonts w:ascii="Times New Roman" w:hAnsi="Times New Roman" w:cs="Times New Roman"/>
              </w:rPr>
              <w:t>Фокальный приступ с эволюцией в БТК</w:t>
            </w:r>
          </w:p>
        </w:tc>
        <w:tc>
          <w:tcPr>
            <w:tcW w:w="1918" w:type="dxa"/>
          </w:tcPr>
          <w:p w:rsidR="00B9290A" w:rsidRPr="0093582B" w:rsidRDefault="00B9290A" w:rsidP="005204E2">
            <w:pPr>
              <w:jc w:val="center"/>
              <w:rPr>
                <w:rFonts w:ascii="Times New Roman" w:hAnsi="Times New Roman" w:cs="Times New Roman"/>
              </w:rPr>
            </w:pPr>
            <w:r w:rsidRPr="0093582B">
              <w:rPr>
                <w:rFonts w:ascii="Times New Roman" w:hAnsi="Times New Roman" w:cs="Times New Roman"/>
              </w:rPr>
              <w:t>Фокальный приступ с нарушением осознанности</w:t>
            </w:r>
          </w:p>
        </w:tc>
        <w:tc>
          <w:tcPr>
            <w:tcW w:w="1838" w:type="dxa"/>
          </w:tcPr>
          <w:p w:rsidR="00B9290A" w:rsidRPr="0093582B" w:rsidRDefault="00B9290A" w:rsidP="005204E2">
            <w:pPr>
              <w:jc w:val="center"/>
              <w:rPr>
                <w:rFonts w:ascii="Times New Roman" w:hAnsi="Times New Roman" w:cs="Times New Roman"/>
              </w:rPr>
            </w:pPr>
            <w:r w:rsidRPr="0093582B">
              <w:rPr>
                <w:rFonts w:ascii="Times New Roman" w:hAnsi="Times New Roman" w:cs="Times New Roman"/>
              </w:rPr>
              <w:t>Фокальный приступ с сохранной осознанностью</w:t>
            </w:r>
          </w:p>
        </w:tc>
        <w:tc>
          <w:tcPr>
            <w:tcW w:w="1985" w:type="dxa"/>
          </w:tcPr>
          <w:p w:rsidR="00B9290A" w:rsidRPr="0093582B" w:rsidRDefault="00B9290A" w:rsidP="005204E2">
            <w:pPr>
              <w:jc w:val="center"/>
              <w:rPr>
                <w:rFonts w:ascii="Times New Roman" w:hAnsi="Times New Roman" w:cs="Times New Roman"/>
              </w:rPr>
            </w:pPr>
            <w:r w:rsidRPr="0093582B">
              <w:rPr>
                <w:rFonts w:ascii="Times New Roman" w:hAnsi="Times New Roman" w:cs="Times New Roman"/>
              </w:rPr>
              <w:t>Эпилептический статус</w:t>
            </w:r>
          </w:p>
        </w:tc>
      </w:tr>
      <w:tr w:rsidR="00B9290A" w:rsidRPr="0093582B" w:rsidTr="00AE4EF7">
        <w:trPr>
          <w:trHeight w:val="625"/>
        </w:trPr>
        <w:tc>
          <w:tcPr>
            <w:tcW w:w="2547" w:type="dxa"/>
          </w:tcPr>
          <w:p w:rsidR="00B9290A" w:rsidRPr="0093582B" w:rsidRDefault="00B9290A" w:rsidP="00B9290A">
            <w:pPr>
              <w:spacing w:line="276" w:lineRule="auto"/>
              <w:jc w:val="both"/>
              <w:rPr>
                <w:rFonts w:ascii="Times New Roman" w:hAnsi="Times New Roman" w:cs="Times New Roman"/>
              </w:rPr>
            </w:pPr>
            <w:r w:rsidRPr="0093582B">
              <w:rPr>
                <w:rFonts w:ascii="Times New Roman" w:hAnsi="Times New Roman" w:cs="Times New Roman"/>
              </w:rPr>
              <w:t>До операции, % (</w:t>
            </w:r>
            <w:r w:rsidRPr="0093582B">
              <w:rPr>
                <w:rFonts w:ascii="Times New Roman" w:hAnsi="Times New Roman" w:cs="Times New Roman"/>
                <w:lang w:val="en-US"/>
              </w:rPr>
              <w:t>n</w:t>
            </w:r>
            <w:r w:rsidRPr="0093582B">
              <w:rPr>
                <w:rFonts w:ascii="Times New Roman" w:hAnsi="Times New Roman" w:cs="Times New Roman"/>
              </w:rPr>
              <w:t>)</w:t>
            </w:r>
          </w:p>
        </w:tc>
        <w:tc>
          <w:tcPr>
            <w:tcW w:w="1630" w:type="dxa"/>
          </w:tcPr>
          <w:p w:rsidR="00B9290A" w:rsidRPr="0093582B" w:rsidRDefault="00B9290A" w:rsidP="005204E2">
            <w:pPr>
              <w:spacing w:line="360" w:lineRule="auto"/>
              <w:jc w:val="center"/>
              <w:rPr>
                <w:rFonts w:ascii="Times New Roman" w:hAnsi="Times New Roman" w:cs="Times New Roman"/>
              </w:rPr>
            </w:pPr>
            <w:r w:rsidRPr="0093582B">
              <w:rPr>
                <w:rFonts w:ascii="Times New Roman" w:hAnsi="Times New Roman" w:cs="Times New Roman"/>
              </w:rPr>
              <w:t xml:space="preserve">  81,2 (9)</w:t>
            </w:r>
          </w:p>
        </w:tc>
        <w:tc>
          <w:tcPr>
            <w:tcW w:w="1918" w:type="dxa"/>
          </w:tcPr>
          <w:p w:rsidR="00B9290A" w:rsidRPr="0093582B" w:rsidRDefault="00B9290A" w:rsidP="005204E2">
            <w:pPr>
              <w:spacing w:line="360" w:lineRule="auto"/>
              <w:jc w:val="center"/>
              <w:rPr>
                <w:rFonts w:ascii="Times New Roman" w:hAnsi="Times New Roman" w:cs="Times New Roman"/>
              </w:rPr>
            </w:pPr>
            <w:r w:rsidRPr="0093582B">
              <w:rPr>
                <w:rFonts w:ascii="Times New Roman" w:hAnsi="Times New Roman" w:cs="Times New Roman"/>
              </w:rPr>
              <w:t>100 (11)</w:t>
            </w:r>
          </w:p>
        </w:tc>
        <w:tc>
          <w:tcPr>
            <w:tcW w:w="1838" w:type="dxa"/>
          </w:tcPr>
          <w:p w:rsidR="00B9290A" w:rsidRPr="0093582B" w:rsidRDefault="00B9290A" w:rsidP="005204E2">
            <w:pPr>
              <w:spacing w:line="360" w:lineRule="auto"/>
              <w:jc w:val="center"/>
              <w:rPr>
                <w:rFonts w:ascii="Times New Roman" w:hAnsi="Times New Roman" w:cs="Times New Roman"/>
              </w:rPr>
            </w:pPr>
            <w:r w:rsidRPr="0093582B">
              <w:rPr>
                <w:rFonts w:ascii="Times New Roman" w:hAnsi="Times New Roman" w:cs="Times New Roman"/>
              </w:rPr>
              <w:t>27,3 (3)</w:t>
            </w:r>
          </w:p>
        </w:tc>
        <w:tc>
          <w:tcPr>
            <w:tcW w:w="1985" w:type="dxa"/>
          </w:tcPr>
          <w:p w:rsidR="00B9290A" w:rsidRPr="0093582B" w:rsidRDefault="00A33418" w:rsidP="005204E2">
            <w:pPr>
              <w:spacing w:line="360" w:lineRule="auto"/>
              <w:jc w:val="center"/>
              <w:rPr>
                <w:rFonts w:ascii="Times New Roman" w:hAnsi="Times New Roman" w:cs="Times New Roman"/>
              </w:rPr>
            </w:pPr>
            <w:r w:rsidRPr="0093582B">
              <w:rPr>
                <w:rFonts w:ascii="Times New Roman" w:hAnsi="Times New Roman" w:cs="Times New Roman"/>
              </w:rPr>
              <w:t xml:space="preserve">9,1 </w:t>
            </w:r>
            <w:r w:rsidR="00B9290A" w:rsidRPr="0093582B">
              <w:rPr>
                <w:rFonts w:ascii="Times New Roman" w:hAnsi="Times New Roman" w:cs="Times New Roman"/>
              </w:rPr>
              <w:t>(1)</w:t>
            </w:r>
          </w:p>
        </w:tc>
      </w:tr>
      <w:tr w:rsidR="00B9290A" w:rsidRPr="0093582B" w:rsidTr="00AE4EF7">
        <w:trPr>
          <w:trHeight w:val="791"/>
        </w:trPr>
        <w:tc>
          <w:tcPr>
            <w:tcW w:w="2547" w:type="dxa"/>
          </w:tcPr>
          <w:p w:rsidR="00B9290A" w:rsidRPr="0093582B" w:rsidRDefault="00B9290A" w:rsidP="00B9290A">
            <w:pPr>
              <w:spacing w:line="276" w:lineRule="auto"/>
              <w:jc w:val="both"/>
              <w:rPr>
                <w:rFonts w:ascii="Times New Roman" w:hAnsi="Times New Roman" w:cs="Times New Roman"/>
              </w:rPr>
            </w:pPr>
            <w:r w:rsidRPr="0093582B">
              <w:rPr>
                <w:rFonts w:ascii="Times New Roman" w:hAnsi="Times New Roman" w:cs="Times New Roman"/>
              </w:rPr>
              <w:t>После операции, % (</w:t>
            </w:r>
            <w:r w:rsidRPr="0093582B">
              <w:rPr>
                <w:rFonts w:ascii="Times New Roman" w:hAnsi="Times New Roman" w:cs="Times New Roman"/>
                <w:lang w:val="en-US"/>
              </w:rPr>
              <w:t>n</w:t>
            </w:r>
            <w:r w:rsidRPr="0093582B">
              <w:rPr>
                <w:rFonts w:ascii="Times New Roman" w:hAnsi="Times New Roman" w:cs="Times New Roman"/>
              </w:rPr>
              <w:t>)</w:t>
            </w:r>
          </w:p>
        </w:tc>
        <w:tc>
          <w:tcPr>
            <w:tcW w:w="1630" w:type="dxa"/>
          </w:tcPr>
          <w:p w:rsidR="00B9290A" w:rsidRPr="0093582B" w:rsidRDefault="00A33418" w:rsidP="005204E2">
            <w:pPr>
              <w:spacing w:line="360" w:lineRule="auto"/>
              <w:jc w:val="center"/>
              <w:rPr>
                <w:rFonts w:ascii="Times New Roman" w:hAnsi="Times New Roman" w:cs="Times New Roman"/>
              </w:rPr>
            </w:pPr>
            <w:r w:rsidRPr="0093582B">
              <w:rPr>
                <w:rFonts w:ascii="Times New Roman" w:hAnsi="Times New Roman" w:cs="Times New Roman"/>
              </w:rPr>
              <w:t>9,1</w:t>
            </w:r>
            <w:r w:rsidR="00B9290A" w:rsidRPr="0093582B">
              <w:rPr>
                <w:rFonts w:ascii="Times New Roman" w:hAnsi="Times New Roman" w:cs="Times New Roman"/>
              </w:rPr>
              <w:t xml:space="preserve"> (18)</w:t>
            </w:r>
          </w:p>
        </w:tc>
        <w:tc>
          <w:tcPr>
            <w:tcW w:w="1918" w:type="dxa"/>
          </w:tcPr>
          <w:p w:rsidR="00B9290A" w:rsidRPr="0093582B" w:rsidRDefault="00A33418" w:rsidP="005204E2">
            <w:pPr>
              <w:spacing w:line="360" w:lineRule="auto"/>
              <w:jc w:val="center"/>
              <w:rPr>
                <w:rFonts w:ascii="Times New Roman" w:hAnsi="Times New Roman" w:cs="Times New Roman"/>
              </w:rPr>
            </w:pPr>
            <w:r w:rsidRPr="0093582B">
              <w:rPr>
                <w:rFonts w:ascii="Times New Roman" w:hAnsi="Times New Roman" w:cs="Times New Roman"/>
              </w:rPr>
              <w:t>0 (0</w:t>
            </w:r>
            <w:r w:rsidR="00B9290A" w:rsidRPr="0093582B">
              <w:rPr>
                <w:rFonts w:ascii="Times New Roman" w:hAnsi="Times New Roman" w:cs="Times New Roman"/>
              </w:rPr>
              <w:t>)</w:t>
            </w:r>
          </w:p>
        </w:tc>
        <w:tc>
          <w:tcPr>
            <w:tcW w:w="1838" w:type="dxa"/>
          </w:tcPr>
          <w:p w:rsidR="00B9290A" w:rsidRPr="0093582B" w:rsidRDefault="00A33418" w:rsidP="005204E2">
            <w:pPr>
              <w:spacing w:line="360" w:lineRule="auto"/>
              <w:jc w:val="center"/>
              <w:rPr>
                <w:rFonts w:ascii="Times New Roman" w:hAnsi="Times New Roman" w:cs="Times New Roman"/>
              </w:rPr>
            </w:pPr>
            <w:r w:rsidRPr="0093582B">
              <w:rPr>
                <w:rFonts w:ascii="Times New Roman" w:hAnsi="Times New Roman" w:cs="Times New Roman"/>
              </w:rPr>
              <w:t>9,1 (1</w:t>
            </w:r>
            <w:r w:rsidR="00B9290A" w:rsidRPr="0093582B">
              <w:rPr>
                <w:rFonts w:ascii="Times New Roman" w:hAnsi="Times New Roman" w:cs="Times New Roman"/>
              </w:rPr>
              <w:t>)</w:t>
            </w:r>
          </w:p>
        </w:tc>
        <w:tc>
          <w:tcPr>
            <w:tcW w:w="1985" w:type="dxa"/>
          </w:tcPr>
          <w:p w:rsidR="00B9290A" w:rsidRPr="0093582B" w:rsidRDefault="00A33418" w:rsidP="005204E2">
            <w:pPr>
              <w:spacing w:line="360" w:lineRule="auto"/>
              <w:jc w:val="center"/>
              <w:rPr>
                <w:rFonts w:ascii="Times New Roman" w:hAnsi="Times New Roman" w:cs="Times New Roman"/>
              </w:rPr>
            </w:pPr>
            <w:r w:rsidRPr="0093582B">
              <w:rPr>
                <w:rFonts w:ascii="Times New Roman" w:hAnsi="Times New Roman" w:cs="Times New Roman"/>
              </w:rPr>
              <w:t>0 (0</w:t>
            </w:r>
            <w:r w:rsidR="00B9290A" w:rsidRPr="0093582B">
              <w:rPr>
                <w:rFonts w:ascii="Times New Roman" w:hAnsi="Times New Roman" w:cs="Times New Roman"/>
              </w:rPr>
              <w:t>)</w:t>
            </w:r>
          </w:p>
        </w:tc>
      </w:tr>
      <w:tr w:rsidR="00B9290A" w:rsidRPr="0093582B" w:rsidTr="00AE4EF7">
        <w:trPr>
          <w:trHeight w:val="240"/>
        </w:trPr>
        <w:tc>
          <w:tcPr>
            <w:tcW w:w="2547" w:type="dxa"/>
          </w:tcPr>
          <w:p w:rsidR="00B9290A" w:rsidRPr="0093582B" w:rsidRDefault="00B9290A" w:rsidP="00C9379A">
            <w:pPr>
              <w:spacing w:line="276" w:lineRule="auto"/>
              <w:jc w:val="center"/>
              <w:rPr>
                <w:rFonts w:ascii="Times New Roman" w:hAnsi="Times New Roman" w:cs="Times New Roman"/>
              </w:rPr>
            </w:pPr>
            <w:r w:rsidRPr="0093582B">
              <w:rPr>
                <w:rFonts w:ascii="Times New Roman" w:hAnsi="Times New Roman" w:cs="Times New Roman"/>
              </w:rPr>
              <w:t>Р-value</w:t>
            </w:r>
          </w:p>
        </w:tc>
        <w:tc>
          <w:tcPr>
            <w:tcW w:w="1630" w:type="dxa"/>
          </w:tcPr>
          <w:p w:rsidR="00B9290A" w:rsidRPr="0093582B" w:rsidRDefault="00A33418" w:rsidP="005204E2">
            <w:pPr>
              <w:spacing w:line="360" w:lineRule="auto"/>
              <w:jc w:val="center"/>
              <w:rPr>
                <w:rFonts w:ascii="Times New Roman" w:hAnsi="Times New Roman" w:cs="Times New Roman"/>
              </w:rPr>
            </w:pPr>
            <w:r w:rsidRPr="0093582B">
              <w:rPr>
                <w:rFonts w:ascii="Times New Roman" w:hAnsi="Times New Roman" w:cs="Times New Roman"/>
              </w:rPr>
              <w:t>0.002</w:t>
            </w:r>
          </w:p>
        </w:tc>
        <w:tc>
          <w:tcPr>
            <w:tcW w:w="1918" w:type="dxa"/>
          </w:tcPr>
          <w:p w:rsidR="00B9290A" w:rsidRPr="0093582B" w:rsidRDefault="00A33418" w:rsidP="005204E2">
            <w:pPr>
              <w:spacing w:line="360" w:lineRule="auto"/>
              <w:jc w:val="center"/>
              <w:rPr>
                <w:rFonts w:ascii="Times New Roman" w:hAnsi="Times New Roman" w:cs="Times New Roman"/>
              </w:rPr>
            </w:pPr>
            <w:r w:rsidRPr="0093582B">
              <w:rPr>
                <w:rFonts w:ascii="Times New Roman" w:hAnsi="Times New Roman" w:cs="Times New Roman"/>
                <w:lang w:val="en-US"/>
              </w:rPr>
              <w:t>&lt;0</w:t>
            </w:r>
            <w:r w:rsidRPr="0093582B">
              <w:rPr>
                <w:rFonts w:ascii="Times New Roman" w:hAnsi="Times New Roman" w:cs="Times New Roman"/>
              </w:rPr>
              <w:t>.001</w:t>
            </w:r>
          </w:p>
        </w:tc>
        <w:tc>
          <w:tcPr>
            <w:tcW w:w="1838" w:type="dxa"/>
          </w:tcPr>
          <w:p w:rsidR="00B9290A" w:rsidRPr="0093582B" w:rsidRDefault="00A33418" w:rsidP="005204E2">
            <w:pPr>
              <w:spacing w:line="360" w:lineRule="auto"/>
              <w:jc w:val="center"/>
              <w:rPr>
                <w:rFonts w:ascii="Times New Roman" w:hAnsi="Times New Roman" w:cs="Times New Roman"/>
              </w:rPr>
            </w:pPr>
            <w:r w:rsidRPr="0093582B">
              <w:rPr>
                <w:rFonts w:ascii="Times New Roman" w:hAnsi="Times New Roman" w:cs="Times New Roman"/>
              </w:rPr>
              <w:t>0.</w:t>
            </w:r>
            <w:r w:rsidR="00AE4EF7" w:rsidRPr="0093582B">
              <w:rPr>
                <w:rFonts w:ascii="Times New Roman" w:hAnsi="Times New Roman" w:cs="Times New Roman"/>
              </w:rPr>
              <w:t>315</w:t>
            </w:r>
          </w:p>
        </w:tc>
        <w:tc>
          <w:tcPr>
            <w:tcW w:w="1985" w:type="dxa"/>
          </w:tcPr>
          <w:p w:rsidR="00B9290A" w:rsidRPr="0093582B" w:rsidRDefault="00AE4EF7" w:rsidP="005204E2">
            <w:pPr>
              <w:spacing w:line="360" w:lineRule="auto"/>
              <w:jc w:val="center"/>
              <w:rPr>
                <w:rFonts w:ascii="Times New Roman" w:hAnsi="Times New Roman" w:cs="Times New Roman"/>
              </w:rPr>
            </w:pPr>
            <w:r w:rsidRPr="0093582B">
              <w:rPr>
                <w:rFonts w:ascii="Times New Roman" w:hAnsi="Times New Roman" w:cs="Times New Roman"/>
              </w:rPr>
              <w:t>0.307</w:t>
            </w:r>
          </w:p>
        </w:tc>
      </w:tr>
    </w:tbl>
    <w:p w:rsidR="00506E29" w:rsidRPr="0093582B" w:rsidRDefault="00AE4EF7" w:rsidP="007C355E">
      <w:pPr>
        <w:pStyle w:val="a9"/>
      </w:pPr>
      <w:r w:rsidRPr="0093582B">
        <w:t xml:space="preserve">Наблюдается высокая </w:t>
      </w:r>
      <w:r w:rsidR="00B90F0E" w:rsidRPr="0093582B">
        <w:t xml:space="preserve">степень </w:t>
      </w:r>
      <w:r w:rsidRPr="0093582B">
        <w:t>положительных исходов опера</w:t>
      </w:r>
      <w:r w:rsidR="00B90F0E" w:rsidRPr="0093582B">
        <w:t>тивных вмешательств</w:t>
      </w:r>
      <w:r w:rsidRPr="0093582B">
        <w:t xml:space="preserve"> в исследуе</w:t>
      </w:r>
      <w:r w:rsidR="00B90F0E" w:rsidRPr="0093582B">
        <w:t>мой группе.</w:t>
      </w:r>
      <w:r w:rsidRPr="0093582B">
        <w:t xml:space="preserve"> </w:t>
      </w:r>
      <w:r w:rsidR="00B90F0E" w:rsidRPr="0093582B">
        <w:t>Б</w:t>
      </w:r>
      <w:r w:rsidRPr="0093582B">
        <w:t xml:space="preserve">ольшинство пациентов в течение длительного периода (&gt;6 месяцев) находятся в состоянии устойчивой ремиссии. Всем пациентам в постоперационном периоде рекомендовано продолжение стандартной терапии ПЭП для контроля над приступами, несмотря на проведенную операцию и фармакорезистентность. </w:t>
      </w:r>
    </w:p>
    <w:p w:rsidR="00AE4EF7" w:rsidRPr="0093582B" w:rsidRDefault="00AE4EF7" w:rsidP="007C355E">
      <w:pPr>
        <w:pStyle w:val="a9"/>
      </w:pPr>
      <w:r w:rsidRPr="0093582B">
        <w:t xml:space="preserve">У 2 пациентов сохраняются отдельные типы приступов в постоперационном периоде, что может говорить о частичной эффективности операции. Частота приступов у данных пациентов снизилась </w:t>
      </w:r>
      <w:r w:rsidR="00BC6E5B" w:rsidRPr="0093582B">
        <w:t>с</w:t>
      </w:r>
      <w:r w:rsidR="005267AD" w:rsidRPr="0093582B">
        <w:t xml:space="preserve"> </w:t>
      </w:r>
      <w:r w:rsidR="006F41FB" w:rsidRPr="0093582B">
        <w:t>уровня</w:t>
      </w:r>
      <w:r w:rsidRPr="0093582B">
        <w:t xml:space="preserve"> </w:t>
      </w:r>
      <w:r w:rsidR="00BC6E5B" w:rsidRPr="0093582B">
        <w:t>5 – 6 и более</w:t>
      </w:r>
      <w:r w:rsidR="006F41FB" w:rsidRPr="0093582B">
        <w:t xml:space="preserve"> приступов</w:t>
      </w:r>
      <w:r w:rsidR="00BC6E5B" w:rsidRPr="0093582B">
        <w:t xml:space="preserve"> в месяц и очень частой (ежедневные приступы) </w:t>
      </w:r>
      <w:r w:rsidRPr="0093582B">
        <w:t xml:space="preserve">до </w:t>
      </w:r>
      <w:r w:rsidR="00BC6E5B" w:rsidRPr="0093582B">
        <w:t>средней частоты</w:t>
      </w:r>
      <w:r w:rsidRPr="0093582B">
        <w:t xml:space="preserve"> </w:t>
      </w:r>
      <w:r w:rsidR="00BC6E5B" w:rsidRPr="0093582B">
        <w:t xml:space="preserve">(2-5, но не чаще одного раза в неделю) </w:t>
      </w:r>
      <w:r w:rsidRPr="0093582B">
        <w:t>и редкой</w:t>
      </w:r>
      <w:r w:rsidR="00BC6E5B" w:rsidRPr="0093582B">
        <w:t xml:space="preserve"> (несколько раз в год, не чаще раза в месяц)</w:t>
      </w:r>
      <w:r w:rsidRPr="0093582B">
        <w:t>.</w:t>
      </w:r>
      <w:r w:rsidR="00BC6E5B" w:rsidRPr="0093582B">
        <w:t xml:space="preserve"> </w:t>
      </w:r>
    </w:p>
    <w:p w:rsidR="00546DCD" w:rsidRPr="0093582B" w:rsidRDefault="00546DCD">
      <w:pPr>
        <w:rPr>
          <w:rFonts w:asciiTheme="majorHAnsi" w:eastAsiaTheme="majorEastAsia" w:hAnsiTheme="majorHAnsi" w:cstheme="majorBidi"/>
          <w:b/>
          <w:sz w:val="32"/>
          <w:szCs w:val="32"/>
        </w:rPr>
      </w:pPr>
      <w:r w:rsidRPr="0093582B">
        <w:br w:type="page"/>
      </w:r>
    </w:p>
    <w:p w:rsidR="00A2663C" w:rsidRPr="0093582B" w:rsidRDefault="00A2663C" w:rsidP="00A2663C">
      <w:pPr>
        <w:pStyle w:val="1"/>
      </w:pPr>
      <w:bookmarkStart w:id="34" w:name="_Toc104427551"/>
      <w:r w:rsidRPr="0093582B">
        <w:lastRenderedPageBreak/>
        <w:t>Заключение</w:t>
      </w:r>
      <w:bookmarkEnd w:id="34"/>
    </w:p>
    <w:p w:rsidR="00A2663C" w:rsidRPr="0093582B" w:rsidRDefault="00A2663C" w:rsidP="00A74459">
      <w:pPr>
        <w:pStyle w:val="a9"/>
      </w:pPr>
      <w:r w:rsidRPr="0093582B">
        <w:rPr>
          <w:rFonts w:cs="Times New Roman"/>
          <w:szCs w:val="28"/>
        </w:rPr>
        <w:t>На основании данных литературы и собственных исследований было выяснено, что доля пациентов со структурной височной эпилепсией составляет значимую часть в общей заболеваемости эпилепсией</w:t>
      </w:r>
      <w:r w:rsidR="00EA200B" w:rsidRPr="0093582B">
        <w:rPr>
          <w:rFonts w:cs="Times New Roman"/>
          <w:szCs w:val="28"/>
        </w:rPr>
        <w:t xml:space="preserve"> </w:t>
      </w:r>
      <w:r w:rsidR="00EA200B" w:rsidRPr="0093582B">
        <w:rPr>
          <w:rFonts w:cs="Times New Roman"/>
          <w:szCs w:val="28"/>
        </w:rPr>
        <w:fldChar w:fldCharType="begin" w:fldLock="1"/>
      </w:r>
      <w:r w:rsidR="00F06B3C" w:rsidRPr="0093582B">
        <w:rPr>
          <w:rFonts w:cs="Times New Roman"/>
          <w:szCs w:val="28"/>
        </w:rPr>
        <w:instrText>ADDIN CSL_CITATION {"citationItems":[{"id":"ITEM-1","itemData":{"DOI":"10.1016/S1474-4422(18)30454-X","ISSN":"14744465","abstract":"Background: Seizures and their consequences contribute to the burden of epilepsy because they can cause health loss (premature mortality and residual disability). Data on the burden of epilepsy are needed for health-care planning and resource allocation. The aim of this study was to quantify health loss due to epilepsy by age, sex, year, and location using data from the Global Burden of Diseases, Injuries, and Risk Factors Study. Methods: We assessed the burden of epilepsy in 195 countries and territories from 1990 to 2016. Burden was measured as deaths, prevalence, and disability-adjusted life-years (DALYs; a summary measure of health loss defined by the sum of years of life lost [YLLs] for premature mortality and years lived with disability), by age, sex, year, location, and Socio-demographic Index (SDI; a compound measure of income per capita, education, and fertility). Vital registrations and verbal autopsies provided information about deaths, and data on the prevalence and severity of epilepsy largely came from population representative surveys. All estimates were calculated with 95% uncertainty intervals (UIs). Findings: In 2016, there were 45·9 million (95% UI 39·9–54·6) patients with all-active epilepsy (both idiopathic and secondary epilepsy globally; age-standardised prevalence 621·5 per 100 000 population; 540·1–737·0). Of these patients, 24·0 million (20·4–27·7) had active idiopathic epilepsy (prevalence 326·7 per 100 000 population; 278·4–378·1). Prevalence of active epilepsy increased with age, with peaks at 5–9 years (374·8 [280·1–490·0]) and at older than 80 years of age (545·1 [444·2–652·0]). Age-standardised prevalence of active idiopathic epilepsy was 329·3 per 100 000 population (280·3–381·2) in men and 318·9 per 100 000 population (271·1–369·4) in women, and was similar among SDI quintiles. Global age-standardised mortality rates of idiopathic epilepsy were 1·74 per 100 000 population (1·64–1·87; 1·40 per 100 000 population [1·23–1·54] for women and 2·09 per 100 000 population [1·96–2·25] for men). Age-standardised DALYs were 182·6 per 100 000 population (149·0–223·5; 163·6 per 100 000 population [130·6–204·3] for women and 201·2 per 100 000 population [166·9–241·4] for men). The higher DALY rates in men were due to higher YLL rates compared with women. Between 1990 and 2016, there was a non-significant 6·0% (−4·0 to 16·7) change in the age-standardised prevalence of idiopathic epilepsy, but a significant decrease in age-standardise…","author":[{"dropping-particle":"","family":"Beghi","given":"Ettore","non-dropping-particle":"","parse-names":false,"suffix":""},{"dropping-particle":"","family":"Giussani","given":"Giorgia","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raha","given":"Haftom Niguse","non-dropping-particle":"","parse-names":false,"suffix":""},{"dropping-particle":"","family":"Adib","given":"Mina G.","non-dropping-particle":"","parse-names":false,"suffix":""},{"dropping-particle":"","family":"Agrawal","given":"Sutapa","non-dropping-particle":"","parse-names":false,"suffix":""},{"dropping-particle":"","family":"Alahdab","given":"Fares","non-dropping-particle":"","parse-names":false,"suffix":""},{"dropping-particle":"","family":"Awasthi","given":"Ashish","non-dropping-particle":"","parse-names":false,"suffix":""},{"dropping-particle":"","family":"Ayele","given":"Yohanes","non-dropping-particle":"","parse-names":false,"suffix":""},{"dropping-particle":"","family":"Barboza","given":"Miguel A.","non-dropping-particle":"","parse-names":false,"suffix":""},{"dropping-particle":"","family":"Belachew","given":"Abate Bekele","non-dropping-particle":"","parse-names":false,"suffix":""},{"dropping-particle":"","family":"Biadgo","given":"Belete","non-dropping-particle":"","parse-names":false,"suffix":""},{"dropping-particle":"","family":"Bijani","given":"Ali","non-dropping-particle":"","parse-names":false,"suffix":""},{"dropping-particle":"","family":"Bitew","given":"Helen","non-dropping-particle":"","parse-names":false,"suffix":""},{"dropping-particle":"","family":"Carvalho","given":"Félix","non-dropping-particle":"","parse-names":false,"suffix":""},{"dropping-particle":"","family":"Chaiah","given":"Yazan","non-dropping-particle":"","parse-names":false,"suffix":""},{"dropping-particle":"","family":"Daryani","given":"Ahmad","non-dropping-particle":"","parse-names":false,"suffix":""},{"dropping-particle":"","family":"Do","given":"Huyen Phuc","non-dropping-particle":"","parse-names":false,"suffix":""},{"dropping-particle":"","family":"Dubey","given":"Manisha","non-dropping-particle":"","parse-names":false,"suffix":""},{"dropping-particle":"","family":"Endries","given":"Aman Yesuf Yesuf","non-dropping-particle":"","parse-names":false,"suffix":""},{"dropping-particle":"","family":"Eskandarieh","given":"Sharareh","non-dropping-particle":"","parse-names":false,"suffix":""},{"dropping-particle":"","family":"Faro","given":"Andre","non-dropping-particle":"","parse-names":false,"suffix":""},{"dropping-particle":"","family":"Farzadfar","given":"Farshad","non-dropping-particle":"","parse-names":false,"suffix":""},{"dropping-particle":"","family":"Fereshtehnejad","given":"Seyed Mohammad","non-dropping-particle":"","parse-names":false,"suffix":""},{"dropping-particle":"","family":"Fernandes","given":"Eduarda","non-dropping-particle":"","parse-names":false,"suffix":""},{"dropping-particle":"","family":"Fijabi","given":"Daniel Obadare","non-dropping-particle":"","parse-names":false,"suffix":""},{"dropping-particle":"","family":"Filip","given":"Irina","non-dropping-particle":"","parse-names":false,"suffix":""},{"dropping-particle":"","family":"Fischer","given":"Florian","non-dropping-particle":"","parse-names":false,"suffix":""},{"dropping-particle":"","family":"Gebre","given":"Abadi Kahsu","non-dropping-particle":"","parse-names":false,"suffix":""},{"dropping-particle":"","family":"Tsadik","given":"Afewerki Gebremeskel","non-dropping-particle":"","parse-names":false,"suffix":""},{"dropping-particle":"","family":"Gebremichael","given":"Teklu Gebrehiwo","non-dropping-particle":"","parse-names":false,"suffix":""},{"dropping-particle":"","family":"Gezae","given":"Kebede Embaye","non-dropping-particle":"","parse-names":false,"suffix":""},{"dropping-particle":"","family":"Ghasemi-Kasman","given":"Maryam","non-dropping-particle":"","parse-names":false,"suffix":""},{"dropping-particle":"","family":"Weldegwergs","given":"Kidu Gidey","non-dropping-particle":"","parse-names":false,"suffix":""},{"dropping-particle":"","family":"Degefa","given":"Meaza Girma","non-dropping-particle":"","parse-names":false,"suffix":""},{"dropping-particle":"V.","family":"Gnedovskaya","given":"Elena","non-dropping-particle":"","parse-names":false,"suffix":""},{"dropping-particle":"","family":"Hagos","given":"Tekleberhan B.","non-dropping-particle":"","parse-names":false,"suffix":""},{"dropping-particle":"","family":"Haj-Mirzaian","given":"Arvin","non-dropping-particle":"","parse-names":false,"suffix":""},{"dropping-particle":"","family":"Haj-Mirzaian","given":"Arya","non-dropping-particle":"","parse-names":false,"suffix":""},{"dropping-particle":"","family":"Hassen","given":"Hamid Yimam","non-dropping-particle":"","parse-names":false,"suffix":""},{"dropping-particle":"","family":"Hay","given":"Simon I.","non-dropping-particle":"","parse-names":false,"suffix":""},{"dropping-particle":"","family":"Jakovljevic","given":"Mihajlo","non-dropping-particle":"","parse-names":false,"suffix":""},{"dropping-particle":"","family":"Kasaeian","given":"Amir","non-dropping-particle":"","parse-names":false,"suffix":""},{"dropping-particle":"","family":"Kassa","given":"Tesfaye Dessale","non-dropping-particle":"","parse-names":false,"suffix":""},{"dropping-particle":"","family":"Khader","given":"Yousef Saleh","non-dropping-particle":"","parse-names":false,"suffix":""},{"dropping-particle":"","family":"Khalil","given":"Ibrahim","non-dropping-particle":"","parse-names":false,"suffix":""},{"dropping-particle":"","family":"Khan","given":"Ejaz Ahmad","non-dropping-particle":"","parse-names":false,"suffix":""},{"dropping-particle":"","family":"Khubchandani","given":"Jagdish","non-dropping-particle":"","parse-names":false,"suffix":""},{"dropping-particle":"","family":"Kisa","given":"Adnan","non-dropping-particle":"","parse-names":false,"suffix":""},{"dropping-particle":"","family":"Krohn","given":"Kristopher J.","non-dropping-particle":"","parse-names":false,"suffix":""},{"dropping-particle":"","family":"Kulkarni","given":"Chanda","non-dropping-particle":"","parse-names":false,"suffix":""},{"dropping-particle":"","family":"Nirayo","given":"Yirga Legesse","non-dropping-particle":"","parse-names":false,"suffix":""},{"dropping-particle":"","family":"Mackay","given":"Mark T.","non-dropping-particle":"","parse-names":false,"suffix":""},{"dropping-particle":"","family":"Majdan","given":"Marek","non-dropping-particle":"","parse-names":false,"suffix":""},{"dropping-particle":"","family":"Majeed","given":"Azeem","non-dropping-particle":"","parse-names":false,"suffix":""},{"dropping-particle":"","family":"Manhertz","given":"Treh","non-dropping-particle":"","parse-names":false,"suffix":""},{"dropping-particle":"","family":"Mehndiratta","given":"Man Mohan","non-dropping-particle":"","parse-names":false,"suffix":""},{"dropping-particle":"","family":"Mekonen","given":"Tesfa","non-dropping-particle":"","parse-names":false,"suffix":""},{"dropping-particle":"","family":"Meles","given":"Hagazi Gebre","non-dropping-particle":"","parse-names":false,"suffix":""},{"dropping-particle":"","family":"Mengistu","given":"Getnet","non-dropping-particle":"","parse-names":false,"suffix":""},{"dropping-particle":"","family":"Mohammed","given":"Shafiu","non-dropping-particle":"","parse-names":false,"suffix":""},{"dropping-particle":"","family":"Naghavi","given":"Mohsen","non-dropping-particle":"","parse-names":false,"suffix":""},{"dropping-particle":"","family":"Mokdad","given":"Ali H.","non-dropping-particle":"","parse-names":false,"suffix":""},{"dropping-particle":"","family":"Mustafa","given":"Ghulam","non-dropping-particle":"","parse-names":false,"suffix":""},{"dropping-particle":"","family":"Irvani","given":"Seyed Sina Naghibi","non-dropping-particle":"","parse-names":false,"suffix":""},{"dropping-particle":"","family":"Nguyen","given":"Long Hoang","non-dropping-particle":"","parse-names":false,"suffix":""},{"dropping-particle":"","family":"Nichols","given":"Emma","non-dropping-particle":"","parse-names":false,"suffix":""},{"dropping-particle":"","family":"Nixon","given":"Molly R.","non-dropping-particle":"","parse-names":false,"suffix":""},{"dropping-particle":"","family":"Ogbo","given":"Felix Akpojene","non-dropping-particle":"","parse-names":false,"suffix":""},{"dropping-particle":"","family":"Olagunju","given":"Andrew T.","non-dropping-particle":"","parse-names":false,"suffix":""},{"dropping-particle":"","family":"Olagunju","given":"Tinuke O.","non-dropping-particle":"","parse-names":false,"suffix":""},{"dropping-particle":"","family":"Owolabi","given":"Mayowa Ojo","non-dropping-particle":"","parse-names":false,"suffix":""},{"dropping-particle":"","family":"Phillips","given":"Michael R.","non-dropping-particle":"","parse-names":false,"suffix":""},{"dropping-particle":"","family":"Pinilla-Monsalve","given":"Gabriel David","non-dropping-particle":"","parse-names":false,"suffix":""},{"dropping-particle":"","family":"Qorbani","given":"Mostafa","non-dropping-particle":"","parse-names":false,"suffix":""},{"dropping-particle":"","family":"Radfar","given":"Amir","non-dropping-particle":"","parse-names":false,"suffix":""},{"dropping-particle":"","family":"Rafay","given":"Anwar","non-dropping-particle":"","parse-names":false,"suffix":""},{"dropping-particle":"","family":"Rahimi-Movaghar","given":"Vafa","non-dropping-particle":"","parse-names":false,"suffix":""},{"dropping-particle":"","family":"Reinig","given":"Nickolas","non-dropping-particle":"","parse-names":false,"suffix":""},{"dropping-particle":"","family":"Sachdev","given":"Perminder S.","non-dropping-particle":"","parse-names":false,"suffix":""},{"dropping-particle":"","family":"Safari","given":"Hosein","non-dropping-particle":"","parse-names":false,"suffix":""},{"dropping-particle":"","family":"Safari","given":"Saeed","non-dropping-particle":"","parse-names":false,"suffix":""},{"dropping-particle":"","family":"Safiri","given":"Saeid","non-dropping-particle":"","parse-names":false,"suffix":""},{"dropping-particle":"","family":"Sahraian","given":"Mohammad Ali","non-dropping-particle":"","parse-names":false,"suffix":""},{"dropping-particle":"","family":"Samy","given":"Abdallah M.","non-dropping-particle":"","parse-names":false,"suffix":""},{"dropping-particle":"","family":"Sarvi","given":"Shahabeddin","non-dropping-particle":"","parse-names":false,"suffix":""},{"dropping-particle":"","family":"Sawhney","given":"Monika","non-dropping-particle":"","parse-names":false,"suffix":""},{"dropping-particle":"","family":"Shaikh","given":"Masood A.","non-dropping-particle":"","parse-names":false,"suffix":""},{"dropping-particle":"","family":"Sharif","given":"Mehdi","non-dropping-particle":"","parse-names":false,"suffix":""},{"dropping-particle":"","family":"Singh","given":"Gagandeep","non-dropping-particle":"","parse-names":false,"suffix":""},{"dropping-particle":"","family":"Smith","given":"Mari","non-dropping-particle":"","parse-names":false,"suffix":""},{"dropping-particle":"","family":"Szoeke","given":"Cassandra E.I.","non-dropping-particle":"","parse-names":false,"suffix":""},{"dropping-particle":"","family":"Tabarés-Seisdedos","given":"Rafael","non-dropping-particle":"","parse-names":false,"suffix":""},{"dropping-particle":"","family":"Temsah","given":"Mohamad Hani","non-dropping-particle":"","parse-names":false,"suffix":""},{"dropping-particle":"","family":"Temsah","given":"Omar","non-dropping-particle":"","parse-names":false,"suffix":""},{"dropping-particle":"","family":"Tortajada-Girbés","given":"Miguel","non-dropping-particle":"","parse-names":false,"suffix":""},{"dropping-particle":"","family":"Tran","given":"Bach Xuan","non-dropping-particle":"","parse-names":false,"suffix":""},{"dropping-particle":"","family":"Tsegay","given":"Amanuel Amanuel Tesfay","non-dropping-particle":"","parse-names":false,"suffix":""},{"dropping-particle":"","family":"Ullah","given":"Irfan","non-dropping-particle":"","parse-names":false,"suffix":""},{"dropping-particle":"","family":"Venketasubramanian","given":"Narayanaswamy","non-dropping-particle":"","parse-names":false,"suffix":""},{"dropping-particle":"","family":"Westerman","given":"Ronny","non-dropping-particle":"","parse-names":false,"suffix":""},{"dropping-particle":"","family":"Winkler","given":"Andrea Sylvia","non-dropping-particle":"","parse-names":false,"suffix":""},{"dropping-particle":"","family":"Yimer","given":"Ebrahim M.","non-dropping-particle":"","parse-names":false,"suffix":""},{"dropping-particle":"","family":"Yonemoto","given":"Naohiro","non-dropping-particle":"","parse-names":false,"suffix":""},{"dropping-particle":"","family":"Feigin","given":"Valery L.","non-dropping-particle":"","parse-names":false,"suffix":""},{"dropping-particle":"","family":"Vos","given":"Theo","non-dropping-particle":"","parse-names":false,"suffix":""},{"dropping-particle":"","family":"Murray","given":"Christopher J.L.","non-dropping-particle":"","parse-names":false,"suffix":""}],"container-title":"The Lancet Neurology","id":"ITEM-1","issue":"4","issued":{"date-parts":[["2019"]]},"title":"Global, regional, and national burden of epilepsy, 1990–2016: a systematic analysis for the Global Burden of Disease Study 2016","type":"article-journal","volume":"18"},"uris":["http://www.mendeley.com/documents/?uuid=69b00d2b-dcd8-3136-8409-2842572f53f3"]}],"mendeley":{"formattedCitation":"[9]","plainTextFormattedCitation":"[9]","previouslyFormattedCitation":"[9]"},"properties":{"noteIndex":0},"schema":"https://github.com/citation-style-language/schema/raw/master/csl-citation.json"}</w:instrText>
      </w:r>
      <w:r w:rsidR="00EA200B" w:rsidRPr="0093582B">
        <w:rPr>
          <w:rFonts w:cs="Times New Roman"/>
          <w:szCs w:val="28"/>
        </w:rPr>
        <w:fldChar w:fldCharType="separate"/>
      </w:r>
      <w:r w:rsidR="00EA200B" w:rsidRPr="0093582B">
        <w:rPr>
          <w:rFonts w:cs="Times New Roman"/>
          <w:noProof/>
          <w:szCs w:val="28"/>
        </w:rPr>
        <w:t>[9]</w:t>
      </w:r>
      <w:r w:rsidR="00EA200B" w:rsidRPr="0093582B">
        <w:rPr>
          <w:rFonts w:cs="Times New Roman"/>
          <w:szCs w:val="28"/>
        </w:rPr>
        <w:fldChar w:fldCharType="end"/>
      </w:r>
      <w:r w:rsidRPr="0093582B">
        <w:rPr>
          <w:rFonts w:cs="Times New Roman"/>
          <w:szCs w:val="28"/>
        </w:rPr>
        <w:t xml:space="preserve">. При этом наибольшая доля фармакорезистентой эпилепсии приходится на поражение гиппокампа – гиппокампальный склероз. Проведенные нами исследования с применением нейровизуализационных методов позволили выявить у подавляющего большинства обследуемых пациентов с височной эпилепсией наличие мезиального височного склероза. </w:t>
      </w:r>
      <w:r w:rsidRPr="0093582B">
        <w:t xml:space="preserve"> По данным нейровизуализационной картины </w:t>
      </w:r>
      <w:r w:rsidR="00703A59" w:rsidRPr="0093582B">
        <w:t xml:space="preserve">определены </w:t>
      </w:r>
      <w:r w:rsidRPr="0093582B">
        <w:t>следующие структурные изменения: гиппокампальный склероз (78,9%), опухолевые новообразования (астроцитома, нейроэпителиома,</w:t>
      </w:r>
      <w:r w:rsidRPr="0093582B">
        <w:rPr>
          <w:sz w:val="22"/>
        </w:rPr>
        <w:t xml:space="preserve"> </w:t>
      </w:r>
      <w:r w:rsidRPr="0093582B">
        <w:t>кавернозная ангиома), кисты, абсцесс, фокальная кортикальная дисплазия, менингоэнцефалоцеле. Устано</w:t>
      </w:r>
      <w:r w:rsidR="007514D0" w:rsidRPr="0093582B">
        <w:t>влено, что эффективность МРТ в диагностике</w:t>
      </w:r>
      <w:r w:rsidRPr="0093582B">
        <w:t xml:space="preserve"> гиппокампального склероза статистически значимо возрастает с увеличением магнитного поля от 1,5 до 3 Тесла (</w:t>
      </w:r>
      <w:r w:rsidRPr="0093582B">
        <w:rPr>
          <w:lang w:val="en-US"/>
        </w:rPr>
        <w:t>p</w:t>
      </w:r>
      <w:r w:rsidR="00EC1387" w:rsidRPr="0093582B">
        <w:t xml:space="preserve">=0,002). ПЭТ-КТ позволяет </w:t>
      </w:r>
      <w:r w:rsidRPr="0093582B">
        <w:t xml:space="preserve">уточнить уровень гипометаболизма глюкозы, определения границ и распространенности структурного очага. Также ПЭТ-КТ в совокупности с МРТ 3 Тесла позволило установить диагноз ФКД, который часто вызывает затруднения в </w:t>
      </w:r>
      <w:r w:rsidR="00EC1387" w:rsidRPr="0093582B">
        <w:t xml:space="preserve">его </w:t>
      </w:r>
      <w:r w:rsidRPr="0093582B">
        <w:t>постановке из-за полиморфности и малых размеров структурных изменений в зоне коры.</w:t>
      </w:r>
    </w:p>
    <w:p w:rsidR="00A2663C" w:rsidRPr="0093582B" w:rsidRDefault="00A2663C" w:rsidP="00A2663C">
      <w:pPr>
        <w:pStyle w:val="a9"/>
        <w:rPr>
          <w:rFonts w:cs="Times New Roman"/>
          <w:szCs w:val="28"/>
        </w:rPr>
      </w:pPr>
      <w:r w:rsidRPr="0093582B">
        <w:rPr>
          <w:rFonts w:cs="Times New Roman"/>
          <w:szCs w:val="28"/>
        </w:rPr>
        <w:t>У обследуемых пациентов наблюдались характерные типы приступов для височной локализации: фокальные с нарушением сознания (97,4%), обычно начинающиеся с вегетативных проявлений по типу разнообразных ощущений в эпигастрии, чувства страха, беспокойства, слуховых и обонятельных г</w:t>
      </w:r>
      <w:r w:rsidR="00EC1387" w:rsidRPr="0093582B">
        <w:rPr>
          <w:rFonts w:cs="Times New Roman"/>
          <w:szCs w:val="28"/>
        </w:rPr>
        <w:t xml:space="preserve">аллюцинаций. </w:t>
      </w:r>
      <w:r w:rsidRPr="0093582B">
        <w:rPr>
          <w:rFonts w:cs="Times New Roman"/>
          <w:szCs w:val="28"/>
        </w:rPr>
        <w:t xml:space="preserve">Часто наблюдались фокальные приступы с эволюцией в билатеральные тонико-клонические (76,3%). </w:t>
      </w:r>
    </w:p>
    <w:p w:rsidR="00A2663C" w:rsidRPr="0093582B" w:rsidRDefault="00A2663C" w:rsidP="00A74459">
      <w:pPr>
        <w:pStyle w:val="a9"/>
      </w:pPr>
      <w:r w:rsidRPr="0093582B">
        <w:t xml:space="preserve">Сравнение типов приступов, частоты, особенностей течения эпилепсии у пациентов с право- и левосторонней локализацией очага не выявило значимых изменений, что согласуется с данными литературы. Однако, по данным наших </w:t>
      </w:r>
      <w:r w:rsidRPr="0093582B">
        <w:lastRenderedPageBreak/>
        <w:t>исследований отмечалось преобладание при правосторонних очагах частых (в 1,4 раза) и очень частых приступов (в 1,3 раза) по сравнению с левосторонними очагами.  Как известно, наличие патологических процессов в головном мозге может приводить к нарушению механизмов комплементарного или реципрокного взаимодействия полушарий. Это отражается на особенностях клиник</w:t>
      </w:r>
      <w:r w:rsidR="009E5650" w:rsidRPr="0093582B">
        <w:t xml:space="preserve">и, течении и исходе заболевания </w:t>
      </w:r>
      <w:r w:rsidR="00F06B3C" w:rsidRPr="0093582B">
        <w:fldChar w:fldCharType="begin" w:fldLock="1"/>
      </w:r>
      <w:r w:rsidR="00F06B3C" w:rsidRPr="0093582B">
        <w:instrText>ADDIN CSL_CITATION {"citationItems":[{"id":"ITEM-1","itemData":{"author":[{"dropping-particle":"","family":"Соавт.","given":"Тибекина Л.М. и","non-dropping-particle":"","parse-names":false,"suffix":""}],"id":"ITEM-1","issued":{"date-parts":[["2018"]]},"title":"Ассиметричный мозг:психические,психофизиологические, клинические аспекты","type":"book"},"uris":["http://www.mendeley.com/documents/?uuid=4b90ea78-2b8a-4bf0-9514-2b302bc3dbcc"]}],"mendeley":{"formattedCitation":"[47]","plainTextFormattedCitation":"[47]"},"properties":{"noteIndex":0},"schema":"https://github.com/citation-style-language/schema/raw/master/csl-citation.json"}</w:instrText>
      </w:r>
      <w:r w:rsidR="00F06B3C" w:rsidRPr="0093582B">
        <w:fldChar w:fldCharType="separate"/>
      </w:r>
      <w:r w:rsidR="00F06B3C" w:rsidRPr="0093582B">
        <w:rPr>
          <w:noProof/>
        </w:rPr>
        <w:t>[47]</w:t>
      </w:r>
      <w:r w:rsidR="00F06B3C" w:rsidRPr="0093582B">
        <w:fldChar w:fldCharType="end"/>
      </w:r>
      <w:r w:rsidR="00F06B3C" w:rsidRPr="0093582B">
        <w:t>.</w:t>
      </w:r>
      <w:r w:rsidR="00E35166" w:rsidRPr="0093582B">
        <w:t xml:space="preserve"> </w:t>
      </w:r>
      <w:r w:rsidRPr="0093582B">
        <w:t xml:space="preserve">Асимметрия ряда показателей получена </w:t>
      </w:r>
      <w:r w:rsidR="00A74459" w:rsidRPr="0093582B">
        <w:t xml:space="preserve">при </w:t>
      </w:r>
      <w:r w:rsidRPr="0093582B">
        <w:t xml:space="preserve">проведенных исследованиях </w:t>
      </w:r>
      <w:r w:rsidR="00A74459" w:rsidRPr="0093582B">
        <w:t xml:space="preserve">методом </w:t>
      </w:r>
      <w:r w:rsidRPr="0093582B">
        <w:t>тестировани</w:t>
      </w:r>
      <w:r w:rsidR="00A74459" w:rsidRPr="0093582B">
        <w:t>я</w:t>
      </w:r>
      <w:r w:rsidRPr="0093582B">
        <w:t xml:space="preserve"> пациентов по опроснику </w:t>
      </w:r>
      <w:r w:rsidRPr="0093582B">
        <w:rPr>
          <w:lang w:val="en-US"/>
        </w:rPr>
        <w:t>SF</w:t>
      </w:r>
      <w:r w:rsidRPr="0093582B">
        <w:t>-36. Показатели ролевого функционирования (</w:t>
      </w:r>
      <w:r w:rsidRPr="0093582B">
        <w:rPr>
          <w:lang w:val="en-US"/>
        </w:rPr>
        <w:t>RP</w:t>
      </w:r>
      <w:r w:rsidRPr="0093582B">
        <w:t xml:space="preserve">, </w:t>
      </w:r>
      <w:r w:rsidRPr="0093582B">
        <w:rPr>
          <w:lang w:val="en-US"/>
        </w:rPr>
        <w:t>RE</w:t>
      </w:r>
      <w:r w:rsidRPr="0093582B">
        <w:t>) были значительно снижены (</w:t>
      </w:r>
      <w:r w:rsidRPr="0093582B">
        <w:rPr>
          <w:lang w:val="en-US"/>
        </w:rPr>
        <w:t>p</w:t>
      </w:r>
      <w:r w:rsidRPr="0093582B">
        <w:t>=0,01; 0,03) в группе левосторонней локализации по сравнению с правосторонней, что говорит о сложностях в рутинной деятельности и работе связанных с психическим и физическим здоровьем. Отмечена также сниженная жизненная активность у данных пациентов (</w:t>
      </w:r>
      <w:r w:rsidRPr="0093582B">
        <w:rPr>
          <w:lang w:val="en-US"/>
        </w:rPr>
        <w:t>p</w:t>
      </w:r>
      <w:r w:rsidRPr="0093582B">
        <w:t xml:space="preserve">=0,05), характерная для </w:t>
      </w:r>
      <w:r w:rsidR="00703A59" w:rsidRPr="0093582B">
        <w:t xml:space="preserve">астенизированных </w:t>
      </w:r>
      <w:r w:rsidRPr="0093582B">
        <w:t>лиц.</w:t>
      </w:r>
    </w:p>
    <w:p w:rsidR="00A2663C" w:rsidRPr="0093582B" w:rsidRDefault="00A2663C" w:rsidP="00A2663C">
      <w:pPr>
        <w:pStyle w:val="a9"/>
      </w:pPr>
      <w:r w:rsidRPr="0093582B">
        <w:t>В диагностике структурной эпилепсии важную роль играют такие инструментальные диагностические методы, как видеомониторинг электроэнцефалографии, магнитно-резонансная томография, а также позитронно-эмиссионная томография. С их помощью удаётся установить наличие и локализацию очагов структурных изменений головного мозга, способствующих формированию эпилептической активности головного мозга. Рутинная ЭЭГ и видео-ЭЭГ мониторинг являются важными первичными инструментами диагностики эпилепсии различной этиологии, однако 30-минутная запись в нашем исследовании не показала эпилептиформной активности у пациентов, в то время как 12-тичасовой и суточный видео-ЭЭГ мониторинг в 86,8% случаев подтвердил эпилептическую активность со стороны морфологического очага. Чаще встречалась левосторонняя его локализация (63,2%).</w:t>
      </w:r>
    </w:p>
    <w:p w:rsidR="00A2663C" w:rsidRPr="0093582B" w:rsidRDefault="00A2663C" w:rsidP="00A2663C">
      <w:pPr>
        <w:pStyle w:val="a9"/>
      </w:pPr>
      <w:r w:rsidRPr="0093582B">
        <w:t xml:space="preserve">В научной литературе описана высокая частота неврологических нарушений, в том числе нейропсихологических, из которых преобладает </w:t>
      </w:r>
      <w:r w:rsidRPr="0093582B">
        <w:lastRenderedPageBreak/>
        <w:t xml:space="preserve">снижение когнитивных функций в 44-95% случаев при эпилепсии височной локализации </w:t>
      </w:r>
      <w:r w:rsidRPr="0093582B">
        <w:fldChar w:fldCharType="begin" w:fldLock="1"/>
      </w:r>
      <w:r w:rsidRPr="0093582B">
        <w:instrText>ADDIN CSL_CITATION {"citationItems":[{"id":"ITEM-1","itemData":{"DOI":"10.1016/j.yebeh.2020.107686","ISSN":"15255069","abstract":"Temporal lobe epilepsy is the most common form of focal epilepsy and related cognitive dysfunction impacts significantly on quality of life in patients. Identifying the mechanisms of such impairment would assist in the management and treatment of patients. The study of perturbations in resting-state networks could shed light on this subject. The aim of this systematic review was to synthesize findings on the relationship between aberrant resting-state functional connectivity and cognitive performance in patients with TLE. Literature searches were conducted on Scopus and PubMed electronic databases and 17 relevant articles were extracted, all of which studied the association between resting-state functional connectivity (RSFC) and cognition in adults with TLE. Study findings were synthesized according to methods used to analyze resting-state data, cognitive domains tested, and neuropsychology tasks administered. Results show that increased RSFC in the primary epileptogenic hippocampus, and reduced intra-hemispheric RSFC, are associated with weaker memory performance. In left TLE, memory impairment may be compensated for by bilateral hippocampal connectivity, which is also predictive of better postoperative memory outcomes. In right TLE, memory loss may be compensated for by increased connectivity between the contralateral hippocampus and inferior frontal gyrus. There is also tentative evidence that working memory dysfunction is related to reduced RSFC between the medial frontal-insular parietal network and the medial temporal network, executive dysfunction is related to reduced RSFC between frontal and parietal lobes, and between the frontal lobe and subcortical regions and that language dysfunction is related to reduced RSFC within the left fronto-temporal language network. Multicenter studies could refute or support these findings by enrolling large samples of patients and employing multivariate regression analysis to control for the effects of anatomical disruption, interictal discharges, seizure frequency, medication, and mood. Systematic review registration: PROSPERO: 191323.","author":[{"dropping-particle":"","family":"Ives-Deliperi","given":"Victoria","non-dropping-particle":"","parse-names":false,"suffix":""},{"dropping-particle":"","family":"Butler","given":"James T.","non-dropping-particle":"","parse-names":false,"suffix":""}],"container-title":"Epilepsy and Behavior","id":"ITEM-1","issued":{"date-parts":[["2021"]]},"title":"Mechanisms of cognitive impairment in temporal lobe epilepsy: A systematic review of resting-state functional connectivity studies","type":"article","volume":"115"},"uris":["http://www.mendeley.com/documents/?uuid=dc2b7b77-2adb-3015-b7f4-9e890a86a999"]}],"mendeley":{"formattedCitation":"[4]","plainTextFormattedCitation":"[4]","previouslyFormattedCitation":"[4]"},"properties":{"noteIndex":0},"schema":"https://github.com/citation-style-language/schema/raw/master/csl-citation.json"}</w:instrText>
      </w:r>
      <w:r w:rsidRPr="0093582B">
        <w:fldChar w:fldCharType="separate"/>
      </w:r>
      <w:r w:rsidRPr="0093582B">
        <w:rPr>
          <w:noProof/>
        </w:rPr>
        <w:t>[4]</w:t>
      </w:r>
      <w:r w:rsidRPr="0093582B">
        <w:fldChar w:fldCharType="end"/>
      </w:r>
      <w:r w:rsidRPr="0093582B">
        <w:t>. В нашем исследовании снижение когнитивных функций встречалось у 28,9- 54,5% больных.</w:t>
      </w:r>
    </w:p>
    <w:p w:rsidR="00A2663C" w:rsidRPr="0093582B" w:rsidRDefault="00A2663C" w:rsidP="00A2663C">
      <w:pPr>
        <w:pStyle w:val="a9"/>
      </w:pPr>
      <w:r w:rsidRPr="0093582B">
        <w:t xml:space="preserve">Оценка когнитивных функций и качества жизни </w:t>
      </w:r>
      <w:r w:rsidR="00A74459" w:rsidRPr="0093582B">
        <w:t xml:space="preserve">дополнительно </w:t>
      </w:r>
      <w:r w:rsidR="007C5B9A" w:rsidRPr="0093582B">
        <w:t>проводилась 11 пациента</w:t>
      </w:r>
      <w:r w:rsidRPr="0093582B">
        <w:t xml:space="preserve">. Всем пациентам были выполнены нейрохирургические вмешательства в объеме односторонней микрохирургической височной лобэктомии и амигдалогиппокампэктомии, 3 пациента оперировались повторно после малоинвазивных методик лечения эпилепсии (имплантация электродов для стимуляции блуждающего нерва). </w:t>
      </w:r>
    </w:p>
    <w:p w:rsidR="00A2663C" w:rsidRPr="0093582B" w:rsidRDefault="00A2663C" w:rsidP="00A2663C">
      <w:pPr>
        <w:pStyle w:val="a9"/>
      </w:pPr>
      <w:r w:rsidRPr="0093582B">
        <w:t xml:space="preserve">Когнитивный статус всех пациентов в послеоперационном периоде был объективно снижен. Тестирование по Монреальской шкале оценки когнитивных функций, используемой для скрининга наличия или отсутствия когнитивных нарушений, выявила у всех относительно равномерное снижение баллов. Средний балл пациентов по шкале МоСа составил 20,4±2,3 при норме 26-30 баллов. Шкала </w:t>
      </w:r>
      <w:r w:rsidRPr="0093582B">
        <w:rPr>
          <w:lang w:val="en-US"/>
        </w:rPr>
        <w:t>MMSE</w:t>
      </w:r>
      <w:r w:rsidR="00EC1387" w:rsidRPr="0093582B">
        <w:t xml:space="preserve"> выявила</w:t>
      </w:r>
      <w:r w:rsidRPr="0093582B">
        <w:t xml:space="preserve"> у 45,5% пациентов преддементные когнитивные нарушения, у 36,4% пациентов – легкую деменцию</w:t>
      </w:r>
      <w:r w:rsidR="00A74459" w:rsidRPr="0093582B">
        <w:t xml:space="preserve">. </w:t>
      </w:r>
      <w:r w:rsidRPr="0093582B">
        <w:t xml:space="preserve">В целом, результаты </w:t>
      </w:r>
      <w:r w:rsidRPr="0093582B">
        <w:rPr>
          <w:lang w:val="en-US"/>
        </w:rPr>
        <w:t>MoCa</w:t>
      </w:r>
      <w:r w:rsidRPr="0093582B">
        <w:t xml:space="preserve"> и </w:t>
      </w:r>
      <w:r w:rsidRPr="0093582B">
        <w:rPr>
          <w:lang w:val="en-US"/>
        </w:rPr>
        <w:t>MMSE</w:t>
      </w:r>
      <w:r w:rsidRPr="0093582B">
        <w:t xml:space="preserve"> одинаково продемонстрировали наличие когнитивных нарушений в группе обследуемых пациентов. </w:t>
      </w:r>
    </w:p>
    <w:p w:rsidR="00A2663C" w:rsidRPr="0093582B" w:rsidRDefault="00A2663C" w:rsidP="00A2663C">
      <w:pPr>
        <w:pStyle w:val="a9"/>
      </w:pPr>
      <w:r w:rsidRPr="0093582B">
        <w:t xml:space="preserve">Примечательно, что высокие результаты при тестировании показывали разные пациенты, что может говорить о различной устойчивости внимания, индивидуальной для каждого пациента. Данный параметр можно оценить с помощью таблиц Шульте. У обследуемой группы пациентов наблюдалась низкая психическая устойчивость при выполнении работы </w:t>
      </w:r>
      <w:r w:rsidR="007C5B9A" w:rsidRPr="0093582B">
        <w:t xml:space="preserve">в 63,6% случаев </w:t>
      </w:r>
      <w:r w:rsidRPr="0093582B">
        <w:t>и сниженная эффективность работы в 81,9% случаев. Однако степень врабатываемости, то есть способность быстро включиться в работу, сохранялась в норме у 63,6% пациентов.</w:t>
      </w:r>
    </w:p>
    <w:p w:rsidR="00A2663C" w:rsidRPr="0093582B" w:rsidRDefault="00A2663C" w:rsidP="00A2663C">
      <w:pPr>
        <w:pStyle w:val="a9"/>
      </w:pPr>
      <w:r w:rsidRPr="0093582B">
        <w:t xml:space="preserve">По данным литературы пациенты с мезиальной височной эпилепсией имеют высокую коморбидность с расстройствами психики. Полученные нами </w:t>
      </w:r>
      <w:r w:rsidRPr="0093582B">
        <w:lastRenderedPageBreak/>
        <w:t>данные согласуются с научными исследованиями в данной сфере</w:t>
      </w:r>
      <w:r w:rsidR="00EC1387" w:rsidRPr="0093582B">
        <w:t xml:space="preserve"> </w:t>
      </w:r>
      <w:r w:rsidR="00EC1387" w:rsidRPr="0093582B">
        <w:fldChar w:fldCharType="begin" w:fldLock="1"/>
      </w:r>
      <w:r w:rsidR="00EA200B" w:rsidRPr="0093582B">
        <w:instrText>ADDIN CSL_CITATION {"citationItems":[{"id":"ITEM-1","itemData":{"DOI":"10.3988/jcn.2021.17.2.176","ISSN":"20055013","abstract":"Background and Purpose Mental illness is disproportionately common in people with epilepsy (PWE). This systematic literature review identified original research articles that reported the prevalence of psychiatric comorbidities based upon clinical assessments in a sample of PWE and assessed the clinical features of the populations found in studies included in our review of mental health comorbidity. Methods The included articles were written in English and published from 2008 to 2018, and focused on adults aged ≥18 years who had psychiatric diagnoses determined in clinical assessments, such as those found in medical records, clinician psychiatric evaluations, struc-tured diagnostic interviews, and mental health screening questionnaires specific for a psychiatric disorder. The primary outcome was the prevalence of psychiatric comorbidities as a per-centage of the total sample of PWE. Additional data included the overall sample size, mean age, epilepsy type, study design, and method of diagnosis. A modified Newcastle Ottawa Scale was used to assess the quality of the studies. All 23 articles that were consistent with the in-clusion criteria were related to observational studies. Results Mood disorders and anxiety disorders were the most common psychiatric comor-bidities, with prevalence rates of 35.0% and 25.6%, respectively. Major depressive disorder was the most common mood disorder, with a prevalence of 24.2%. Post-traumatic stress disorder (PTSD) had the highest reported prevalence among anxiety disorders, at 14.2%, followed by general anxiety disorder at 11.1%. Other comorbidities included psychosis (5.7%), obsessive-compulsive disorder (3.8%), schizophrenia (1.7%), bipolar disorder (6.2%), and substance abuse (7.9%). The pooled prevalence of suicidality, as reported for two studies, was 9.3%. Temporal lobe epilepsy (TLE) was associated with higher levels of psychiatric comorbidity. Two (8.7%) of the 23 studies compared psychiatric comorbidities in TLE with that of extratempo-ral lobe epilepsy (ETLE), and one of these two studies found that depression was more common in TLE (53.8%) than in ETLE (25%). Regarding seizure types, partial seizures were associated with a higher prevalence of depression vs generalized seizures. Conclusions This systematic literature review of recent original research found a relatively high prevalence of mental health comorbidities in PWE. Mood and anxiety disorders are the most common comorbidities, while psychotic spectru…","author":[{"dropping-particle":"","family":"Lu","given":"Elaine","non-dropping-particle":"","parse-names":false,"suffix":""},{"dropping-particle":"","family":"Pyatka","given":"Nataliya","non-dropping-particle":"","parse-names":false,"suffix":""},{"dropping-particle":"","family":"Burant","given":"Christopher J.","non-dropping-particle":"","parse-names":false,"suffix":""},{"dropping-particle":"","family":"Sajatovic","given":"Martha","non-dropping-particle":"","parse-names":false,"suffix":""}],"container-title":"Journal of Clinical Neurology (Korea)","id":"ITEM-1","issue":"2","issued":{"date-parts":[["2021"]]},"title":"Systematic literature review of psychiatric comorbidities in adults with epilepsy","type":"article","volume":"17"},"uris":["http://www.mendeley.com/documents/?uuid=3c3069fb-2a60-3ba7-bf47-662d46d970d2"]}],"mendeley":{"formattedCitation":"[5]","plainTextFormattedCitation":"[5]","previouslyFormattedCitation":"[5]"},"properties":{"noteIndex":0},"schema":"https://github.com/citation-style-language/schema/raw/master/csl-citation.json"}</w:instrText>
      </w:r>
      <w:r w:rsidR="00EC1387" w:rsidRPr="0093582B">
        <w:fldChar w:fldCharType="separate"/>
      </w:r>
      <w:r w:rsidR="00EC1387" w:rsidRPr="0093582B">
        <w:rPr>
          <w:noProof/>
        </w:rPr>
        <w:t>[5]</w:t>
      </w:r>
      <w:r w:rsidR="00EC1387" w:rsidRPr="0093582B">
        <w:fldChar w:fldCharType="end"/>
      </w:r>
      <w:r w:rsidR="00EC1387" w:rsidRPr="0093582B">
        <w:t xml:space="preserve">. </w:t>
      </w:r>
      <w:r w:rsidRPr="0093582B">
        <w:t xml:space="preserve">В группе обследуемых пациентов у 63,6% имелись субклинически и клинически выраженные тревога и/или депрессия по результатам шкалы </w:t>
      </w:r>
      <w:r w:rsidRPr="0093582B">
        <w:rPr>
          <w:lang w:val="en-US"/>
        </w:rPr>
        <w:t>HADS</w:t>
      </w:r>
      <w:r w:rsidRPr="0093582B">
        <w:t xml:space="preserve">. </w:t>
      </w:r>
    </w:p>
    <w:p w:rsidR="00A2663C" w:rsidRPr="0093582B" w:rsidRDefault="00A2663C" w:rsidP="00A2663C">
      <w:pPr>
        <w:pStyle w:val="a9"/>
      </w:pPr>
      <w:r w:rsidRPr="0093582B">
        <w:t>Локализация очага имеет значение для нейрохирургических вмешательств, височная лобэктомия в доминантном полушарии может привести к необратимому нарушению речевой функции. Следователь</w:t>
      </w:r>
      <w:r w:rsidR="007C5B9A" w:rsidRPr="0093582B">
        <w:t>но, необходимо качественное до-</w:t>
      </w:r>
      <w:r w:rsidR="00EC1387" w:rsidRPr="0093582B">
        <w:t xml:space="preserve"> </w:t>
      </w:r>
      <w:r w:rsidRPr="0093582B">
        <w:t>и послеоперационное обследование пациентов, которым рекомендовано хирургическое лечение структурной височной эпилепсии.</w:t>
      </w:r>
    </w:p>
    <w:p w:rsidR="00A2663C" w:rsidRPr="0093582B" w:rsidRDefault="00A2663C" w:rsidP="00A2663C">
      <w:pPr>
        <w:pStyle w:val="a9"/>
      </w:pPr>
      <w:r w:rsidRPr="0093582B">
        <w:t xml:space="preserve">В целом исходы хирургического лечения продемонстрировали значительную клиническую его эффективность в лечении пациентов с мезиальной височной эпилепсией. У 81,8% наступила ремиссия (отсутствие приступов &gt;6 месяцев), несмотря на длительный стаж заболевания. При этом было выявлено, что при увеличении </w:t>
      </w:r>
      <w:r w:rsidR="00E35166" w:rsidRPr="0093582B">
        <w:t>срока</w:t>
      </w:r>
      <w:r w:rsidRPr="0093582B">
        <w:t xml:space="preserve"> заболевания достоверно возрастает риск формирования у пациентов зеркальных очагов. В постоперационном периоде у всех обследованных пациентов было выявлено объективное снижение когнитивных функций по результатам тестирований (</w:t>
      </w:r>
      <w:r w:rsidRPr="0093582B">
        <w:rPr>
          <w:lang w:val="en-US"/>
        </w:rPr>
        <w:t>MoCa</w:t>
      </w:r>
      <w:r w:rsidRPr="0093582B">
        <w:t xml:space="preserve">, </w:t>
      </w:r>
      <w:r w:rsidRPr="0093582B">
        <w:rPr>
          <w:lang w:val="en-US"/>
        </w:rPr>
        <w:t>MMSE</w:t>
      </w:r>
      <w:r w:rsidRPr="0093582B">
        <w:t>), а также сохранение психопатологических нарушений (тревога, депрессия), что требует соответствующей коррекции.</w:t>
      </w:r>
    </w:p>
    <w:p w:rsidR="00A2663C" w:rsidRPr="0093582B" w:rsidRDefault="00A2663C" w:rsidP="00A2663C">
      <w:pPr>
        <w:pStyle w:val="a9"/>
      </w:pPr>
      <w:r w:rsidRPr="0093582B">
        <w:t xml:space="preserve"> </w:t>
      </w:r>
      <w:r w:rsidRPr="0093582B">
        <w:rPr>
          <w:rFonts w:cs="Times New Roman"/>
          <w:szCs w:val="28"/>
        </w:rPr>
        <w:t>Таким образом, вопросы диагностики и лечебной тактики у пациентов со структурными фармакорезистентными формами эпилепсии остаются актуальными и требуют дальнейшего более углублённого изучения.</w:t>
      </w:r>
    </w:p>
    <w:p w:rsidR="001009F3" w:rsidRPr="0093582B" w:rsidRDefault="00A2663C" w:rsidP="00A2663C">
      <w:pPr>
        <w:pStyle w:val="a9"/>
      </w:pPr>
      <w:r w:rsidRPr="0093582B">
        <w:t xml:space="preserve"> </w:t>
      </w:r>
    </w:p>
    <w:p w:rsidR="001009F3" w:rsidRPr="0093582B" w:rsidRDefault="001009F3">
      <w:pPr>
        <w:rPr>
          <w:sz w:val="28"/>
        </w:rPr>
      </w:pPr>
      <w:r w:rsidRPr="0093582B">
        <w:br w:type="page"/>
      </w:r>
    </w:p>
    <w:p w:rsidR="00A2663C" w:rsidRPr="0093582B" w:rsidRDefault="00A2663C" w:rsidP="00A2663C">
      <w:pPr>
        <w:pStyle w:val="a9"/>
      </w:pPr>
    </w:p>
    <w:p w:rsidR="00EE2128" w:rsidRPr="0093582B" w:rsidRDefault="002459C7" w:rsidP="00254B55">
      <w:pPr>
        <w:pStyle w:val="1"/>
      </w:pPr>
      <w:bookmarkStart w:id="35" w:name="_Toc104427552"/>
      <w:r w:rsidRPr="0093582B">
        <w:t>Выводы</w:t>
      </w:r>
      <w:bookmarkEnd w:id="35"/>
    </w:p>
    <w:p w:rsidR="007221B0" w:rsidRPr="0093582B" w:rsidRDefault="007C5B9A" w:rsidP="007C5B9A">
      <w:pPr>
        <w:pStyle w:val="a9"/>
        <w:ind w:firstLine="0"/>
      </w:pPr>
      <w:r w:rsidRPr="0093582B">
        <w:rPr>
          <w:rFonts w:ascii="Times New Roman" w:eastAsia="Times New Roman" w:hAnsi="Times New Roman" w:cs="Times New Roman"/>
        </w:rPr>
        <w:t xml:space="preserve">1. </w:t>
      </w:r>
      <w:r w:rsidR="00C606E9" w:rsidRPr="0093582B">
        <w:rPr>
          <w:rFonts w:ascii="Times New Roman" w:eastAsia="Times New Roman" w:hAnsi="Times New Roman" w:cs="Times New Roman"/>
        </w:rPr>
        <w:t xml:space="preserve">У пациентов с мезиальной височной эпилепсией </w:t>
      </w:r>
      <w:r w:rsidR="007221B0" w:rsidRPr="0093582B">
        <w:rPr>
          <w:rFonts w:ascii="Times New Roman" w:eastAsia="Times New Roman" w:hAnsi="Times New Roman" w:cs="Times New Roman"/>
        </w:rPr>
        <w:t>в</w:t>
      </w:r>
      <w:r w:rsidR="00C606E9" w:rsidRPr="0093582B">
        <w:rPr>
          <w:rFonts w:ascii="Times New Roman" w:eastAsia="Times New Roman" w:hAnsi="Times New Roman" w:cs="Times New Roman"/>
        </w:rPr>
        <w:t xml:space="preserve"> неврологическом статусе</w:t>
      </w:r>
      <w:r w:rsidR="007221B0" w:rsidRPr="0093582B">
        <w:rPr>
          <w:rFonts w:ascii="Times New Roman" w:eastAsia="Times New Roman" w:hAnsi="Times New Roman" w:cs="Times New Roman"/>
        </w:rPr>
        <w:t xml:space="preserve"> выявляются преимущественно координаторные расстройства (10,5%) и нарушения функций черепных нервов (7,9%).</w:t>
      </w:r>
      <w:r w:rsidR="00C606E9" w:rsidRPr="0093582B">
        <w:rPr>
          <w:rFonts w:ascii="Times New Roman" w:eastAsia="Times New Roman" w:hAnsi="Times New Roman" w:cs="Times New Roman"/>
        </w:rPr>
        <w:t xml:space="preserve"> </w:t>
      </w:r>
      <w:r w:rsidR="007221B0" w:rsidRPr="0093582B">
        <w:rPr>
          <w:rFonts w:ascii="Times New Roman" w:eastAsia="Times New Roman" w:hAnsi="Times New Roman" w:cs="Times New Roman"/>
        </w:rPr>
        <w:t xml:space="preserve">В структуре нейропсихологических нарушений отмечается снижение когнитивных функций </w:t>
      </w:r>
      <w:r w:rsidR="00E35166" w:rsidRPr="0093582B">
        <w:t>в</w:t>
      </w:r>
      <w:r w:rsidR="007221B0" w:rsidRPr="0093582B">
        <w:t xml:space="preserve"> 54,5% </w:t>
      </w:r>
      <w:r w:rsidR="00E35166" w:rsidRPr="0093582B">
        <w:t>случаев</w:t>
      </w:r>
      <w:r w:rsidR="009E5650" w:rsidRPr="0093582B">
        <w:t>.</w:t>
      </w:r>
    </w:p>
    <w:p w:rsidR="00C606E9" w:rsidRPr="0093582B" w:rsidRDefault="00C606E9" w:rsidP="00A75FFC">
      <w:pPr>
        <w:spacing w:after="0" w:line="360" w:lineRule="auto"/>
        <w:jc w:val="both"/>
        <w:rPr>
          <w:rFonts w:ascii="Times New Roman" w:eastAsia="Times New Roman" w:hAnsi="Times New Roman" w:cs="Times New Roman"/>
          <w:sz w:val="28"/>
        </w:rPr>
      </w:pPr>
      <w:r w:rsidRPr="0093582B">
        <w:rPr>
          <w:rFonts w:ascii="Times New Roman" w:eastAsia="Times New Roman" w:hAnsi="Times New Roman" w:cs="Times New Roman"/>
          <w:sz w:val="28"/>
        </w:rPr>
        <w:t>Среди сопутствующей соматической патологии преобладают заболевания сердечно-сосудистой системы (21,1%) и органов желудочно-кишечного тракта (10,5%).</w:t>
      </w:r>
    </w:p>
    <w:p w:rsidR="00845159" w:rsidRPr="0093582B" w:rsidRDefault="00A75FFC" w:rsidP="00A75FFC">
      <w:pPr>
        <w:spacing w:after="0" w:line="360" w:lineRule="auto"/>
        <w:jc w:val="both"/>
        <w:rPr>
          <w:rFonts w:ascii="Times New Roman" w:eastAsia="Times New Roman" w:hAnsi="Times New Roman" w:cs="Times New Roman"/>
          <w:sz w:val="28"/>
        </w:rPr>
      </w:pPr>
      <w:r w:rsidRPr="0093582B">
        <w:rPr>
          <w:rFonts w:ascii="Times New Roman" w:eastAsia="Times New Roman" w:hAnsi="Times New Roman" w:cs="Times New Roman"/>
          <w:sz w:val="28"/>
        </w:rPr>
        <w:t xml:space="preserve">2. </w:t>
      </w:r>
      <w:r w:rsidR="00845159" w:rsidRPr="0093582B">
        <w:rPr>
          <w:rFonts w:ascii="Times New Roman" w:eastAsia="Times New Roman" w:hAnsi="Times New Roman" w:cs="Times New Roman"/>
          <w:sz w:val="28"/>
        </w:rPr>
        <w:t>В структуре</w:t>
      </w:r>
      <w:r w:rsidRPr="0093582B">
        <w:rPr>
          <w:rFonts w:ascii="Times New Roman" w:eastAsia="Times New Roman" w:hAnsi="Times New Roman" w:cs="Times New Roman"/>
          <w:sz w:val="28"/>
        </w:rPr>
        <w:t xml:space="preserve"> </w:t>
      </w:r>
      <w:r w:rsidR="009756E1" w:rsidRPr="0093582B">
        <w:rPr>
          <w:rFonts w:ascii="Times New Roman" w:eastAsia="Times New Roman" w:hAnsi="Times New Roman" w:cs="Times New Roman"/>
          <w:sz w:val="28"/>
        </w:rPr>
        <w:t xml:space="preserve">эпилептических </w:t>
      </w:r>
      <w:r w:rsidRPr="0093582B">
        <w:rPr>
          <w:rFonts w:ascii="Times New Roman" w:eastAsia="Times New Roman" w:hAnsi="Times New Roman" w:cs="Times New Roman"/>
          <w:sz w:val="28"/>
        </w:rPr>
        <w:t>приступов преоблада</w:t>
      </w:r>
      <w:r w:rsidR="00663440" w:rsidRPr="0093582B">
        <w:rPr>
          <w:rFonts w:ascii="Times New Roman" w:eastAsia="Times New Roman" w:hAnsi="Times New Roman" w:cs="Times New Roman"/>
          <w:sz w:val="28"/>
        </w:rPr>
        <w:t>ют</w:t>
      </w:r>
      <w:r w:rsidRPr="0093582B">
        <w:rPr>
          <w:rFonts w:ascii="Times New Roman" w:eastAsia="Times New Roman" w:hAnsi="Times New Roman" w:cs="Times New Roman"/>
          <w:sz w:val="28"/>
        </w:rPr>
        <w:t xml:space="preserve"> фокальные </w:t>
      </w:r>
      <w:r w:rsidR="00616CE4" w:rsidRPr="0093582B">
        <w:rPr>
          <w:rFonts w:ascii="Times New Roman" w:eastAsia="Times New Roman" w:hAnsi="Times New Roman" w:cs="Times New Roman"/>
          <w:sz w:val="28"/>
        </w:rPr>
        <w:t xml:space="preserve">приступы </w:t>
      </w:r>
      <w:r w:rsidRPr="0093582B">
        <w:rPr>
          <w:rFonts w:ascii="Times New Roman" w:eastAsia="Times New Roman" w:hAnsi="Times New Roman" w:cs="Times New Roman"/>
          <w:sz w:val="28"/>
        </w:rPr>
        <w:t>с нарушением сознания (97,4%) и фокальные</w:t>
      </w:r>
      <w:r w:rsidR="00845159" w:rsidRPr="0093582B">
        <w:rPr>
          <w:rFonts w:ascii="Times New Roman" w:eastAsia="Times New Roman" w:hAnsi="Times New Roman" w:cs="Times New Roman"/>
          <w:sz w:val="28"/>
        </w:rPr>
        <w:t xml:space="preserve"> приступы</w:t>
      </w:r>
      <w:r w:rsidRPr="0093582B">
        <w:rPr>
          <w:rFonts w:ascii="Times New Roman" w:eastAsia="Times New Roman" w:hAnsi="Times New Roman" w:cs="Times New Roman"/>
          <w:sz w:val="28"/>
        </w:rPr>
        <w:t xml:space="preserve"> с эволюцией в билатеральны</w:t>
      </w:r>
      <w:r w:rsidR="00845159" w:rsidRPr="0093582B">
        <w:rPr>
          <w:rFonts w:ascii="Times New Roman" w:eastAsia="Times New Roman" w:hAnsi="Times New Roman" w:cs="Times New Roman"/>
          <w:sz w:val="28"/>
        </w:rPr>
        <w:t>е</w:t>
      </w:r>
      <w:r w:rsidRPr="0093582B">
        <w:rPr>
          <w:rFonts w:ascii="Times New Roman" w:eastAsia="Times New Roman" w:hAnsi="Times New Roman" w:cs="Times New Roman"/>
          <w:sz w:val="28"/>
        </w:rPr>
        <w:t xml:space="preserve"> тонико-клонически</w:t>
      </w:r>
      <w:r w:rsidR="00845159" w:rsidRPr="0093582B">
        <w:rPr>
          <w:rFonts w:ascii="Times New Roman" w:eastAsia="Times New Roman" w:hAnsi="Times New Roman" w:cs="Times New Roman"/>
          <w:sz w:val="28"/>
        </w:rPr>
        <w:t>е</w:t>
      </w:r>
      <w:r w:rsidRPr="0093582B">
        <w:rPr>
          <w:rFonts w:ascii="Times New Roman" w:eastAsia="Times New Roman" w:hAnsi="Times New Roman" w:cs="Times New Roman"/>
          <w:sz w:val="28"/>
        </w:rPr>
        <w:t xml:space="preserve"> (76,3%). </w:t>
      </w:r>
      <w:r w:rsidR="00663440" w:rsidRPr="0093582B">
        <w:rPr>
          <w:rFonts w:ascii="Times New Roman" w:eastAsia="Times New Roman" w:hAnsi="Times New Roman" w:cs="Times New Roman"/>
          <w:sz w:val="28"/>
        </w:rPr>
        <w:t xml:space="preserve">Для правосторонней локализации очага </w:t>
      </w:r>
      <w:r w:rsidR="009756E1" w:rsidRPr="0093582B">
        <w:rPr>
          <w:rFonts w:ascii="Times New Roman" w:eastAsia="Times New Roman" w:hAnsi="Times New Roman" w:cs="Times New Roman"/>
          <w:sz w:val="28"/>
        </w:rPr>
        <w:t xml:space="preserve">более </w:t>
      </w:r>
      <w:r w:rsidR="00663440" w:rsidRPr="0093582B">
        <w:rPr>
          <w:rFonts w:ascii="Times New Roman" w:eastAsia="Times New Roman" w:hAnsi="Times New Roman" w:cs="Times New Roman"/>
          <w:sz w:val="28"/>
        </w:rPr>
        <w:t xml:space="preserve">характерны очень частые и частые приступы, </w:t>
      </w:r>
      <w:r w:rsidR="009756E1" w:rsidRPr="0093582B">
        <w:rPr>
          <w:rFonts w:ascii="Times New Roman" w:eastAsia="Times New Roman" w:hAnsi="Times New Roman" w:cs="Times New Roman"/>
          <w:sz w:val="28"/>
        </w:rPr>
        <w:t xml:space="preserve">встречающиеся </w:t>
      </w:r>
      <w:r w:rsidR="00616CE4" w:rsidRPr="0093582B">
        <w:rPr>
          <w:rFonts w:ascii="Times New Roman" w:eastAsia="Times New Roman" w:hAnsi="Times New Roman" w:cs="Times New Roman"/>
          <w:sz w:val="28"/>
        </w:rPr>
        <w:t>в 1,3-1,4</w:t>
      </w:r>
      <w:r w:rsidR="00663440" w:rsidRPr="0093582B">
        <w:rPr>
          <w:rFonts w:ascii="Times New Roman" w:eastAsia="Times New Roman" w:hAnsi="Times New Roman" w:cs="Times New Roman"/>
          <w:sz w:val="28"/>
        </w:rPr>
        <w:t xml:space="preserve"> раза чаще</w:t>
      </w:r>
      <w:r w:rsidR="009756E1" w:rsidRPr="0093582B">
        <w:rPr>
          <w:rFonts w:ascii="Times New Roman" w:eastAsia="Times New Roman" w:hAnsi="Times New Roman" w:cs="Times New Roman"/>
          <w:sz w:val="28"/>
        </w:rPr>
        <w:t>,</w:t>
      </w:r>
      <w:r w:rsidR="00663440" w:rsidRPr="0093582B">
        <w:rPr>
          <w:rFonts w:ascii="Times New Roman" w:eastAsia="Times New Roman" w:hAnsi="Times New Roman" w:cs="Times New Roman"/>
          <w:sz w:val="28"/>
        </w:rPr>
        <w:t xml:space="preserve"> </w:t>
      </w:r>
      <w:r w:rsidR="009756E1" w:rsidRPr="0093582B">
        <w:rPr>
          <w:rFonts w:ascii="Times New Roman" w:eastAsia="Times New Roman" w:hAnsi="Times New Roman" w:cs="Times New Roman"/>
          <w:sz w:val="28"/>
        </w:rPr>
        <w:t xml:space="preserve">чем при левосторонних очагах. </w:t>
      </w:r>
    </w:p>
    <w:p w:rsidR="009756E1" w:rsidRPr="0093582B" w:rsidRDefault="00A75FFC" w:rsidP="00A75FFC">
      <w:pPr>
        <w:spacing w:after="0" w:line="360" w:lineRule="auto"/>
        <w:jc w:val="both"/>
        <w:rPr>
          <w:rFonts w:ascii="Times New Roman" w:eastAsia="Times New Roman" w:hAnsi="Times New Roman" w:cs="Times New Roman"/>
          <w:sz w:val="28"/>
        </w:rPr>
      </w:pPr>
      <w:r w:rsidRPr="0093582B">
        <w:rPr>
          <w:rFonts w:ascii="Times New Roman" w:eastAsia="Times New Roman" w:hAnsi="Times New Roman" w:cs="Times New Roman"/>
          <w:sz w:val="28"/>
        </w:rPr>
        <w:t xml:space="preserve">3. По данным нейровизуализации </w:t>
      </w:r>
      <w:r w:rsidR="009756E1" w:rsidRPr="0093582B">
        <w:rPr>
          <w:rFonts w:ascii="Times New Roman" w:eastAsia="Times New Roman" w:hAnsi="Times New Roman" w:cs="Times New Roman"/>
          <w:sz w:val="28"/>
        </w:rPr>
        <w:t xml:space="preserve">у </w:t>
      </w:r>
      <w:r w:rsidRPr="0093582B">
        <w:rPr>
          <w:rFonts w:ascii="Times New Roman" w:eastAsia="Times New Roman" w:hAnsi="Times New Roman" w:cs="Times New Roman"/>
          <w:sz w:val="28"/>
        </w:rPr>
        <w:t xml:space="preserve">пациентов </w:t>
      </w:r>
      <w:r w:rsidR="009756E1" w:rsidRPr="0093582B">
        <w:rPr>
          <w:rFonts w:ascii="Times New Roman" w:eastAsia="Times New Roman" w:hAnsi="Times New Roman" w:cs="Times New Roman"/>
          <w:sz w:val="28"/>
        </w:rPr>
        <w:t xml:space="preserve">с фармакорезистентностью </w:t>
      </w:r>
      <w:r w:rsidRPr="0093582B">
        <w:rPr>
          <w:rFonts w:ascii="Times New Roman" w:eastAsia="Times New Roman" w:hAnsi="Times New Roman" w:cs="Times New Roman"/>
          <w:sz w:val="28"/>
        </w:rPr>
        <w:t>преоблада</w:t>
      </w:r>
      <w:r w:rsidR="00616CE4" w:rsidRPr="0093582B">
        <w:rPr>
          <w:rFonts w:ascii="Times New Roman" w:eastAsia="Times New Roman" w:hAnsi="Times New Roman" w:cs="Times New Roman"/>
          <w:sz w:val="28"/>
        </w:rPr>
        <w:t xml:space="preserve">ет </w:t>
      </w:r>
      <w:r w:rsidRPr="0093582B">
        <w:rPr>
          <w:rFonts w:ascii="Times New Roman" w:eastAsia="Times New Roman" w:hAnsi="Times New Roman" w:cs="Times New Roman"/>
          <w:sz w:val="28"/>
        </w:rPr>
        <w:t>гиппокампальный склероз (78,9%), д</w:t>
      </w:r>
      <w:r w:rsidR="00616CE4" w:rsidRPr="0093582B">
        <w:rPr>
          <w:rFonts w:ascii="Times New Roman" w:eastAsia="Times New Roman" w:hAnsi="Times New Roman" w:cs="Times New Roman"/>
          <w:sz w:val="28"/>
        </w:rPr>
        <w:t xml:space="preserve">ругие структурные изменения </w:t>
      </w:r>
      <w:r w:rsidRPr="0093582B">
        <w:rPr>
          <w:rFonts w:ascii="Times New Roman" w:eastAsia="Times New Roman" w:hAnsi="Times New Roman" w:cs="Times New Roman"/>
          <w:sz w:val="28"/>
        </w:rPr>
        <w:t xml:space="preserve">представлены новообразованиями (7,9%) и в единичных случаях выявлялись кисты, абсцесс, фокальная кортикальная дисплазия, менингоэнцефалоцеле. </w:t>
      </w:r>
    </w:p>
    <w:p w:rsidR="00A75FFC" w:rsidRPr="0093582B" w:rsidRDefault="00A75FFC" w:rsidP="00A75FFC">
      <w:pPr>
        <w:spacing w:after="0" w:line="360" w:lineRule="auto"/>
        <w:jc w:val="both"/>
        <w:rPr>
          <w:rFonts w:ascii="Times New Roman" w:eastAsia="Times New Roman" w:hAnsi="Times New Roman" w:cs="Times New Roman"/>
          <w:sz w:val="28"/>
        </w:rPr>
      </w:pPr>
      <w:r w:rsidRPr="0093582B">
        <w:rPr>
          <w:rFonts w:ascii="Times New Roman" w:eastAsia="Times New Roman" w:hAnsi="Times New Roman" w:cs="Times New Roman"/>
          <w:sz w:val="28"/>
        </w:rPr>
        <w:t xml:space="preserve">МРТ </w:t>
      </w:r>
      <w:r w:rsidR="009756E1" w:rsidRPr="0093582B">
        <w:rPr>
          <w:rFonts w:ascii="Times New Roman" w:eastAsia="Times New Roman" w:hAnsi="Times New Roman" w:cs="Times New Roman"/>
          <w:sz w:val="28"/>
        </w:rPr>
        <w:t xml:space="preserve">напряженностью магнитного поля </w:t>
      </w:r>
      <w:r w:rsidRPr="0093582B">
        <w:rPr>
          <w:rFonts w:ascii="Times New Roman" w:eastAsia="Times New Roman" w:hAnsi="Times New Roman" w:cs="Times New Roman"/>
          <w:sz w:val="28"/>
        </w:rPr>
        <w:t xml:space="preserve">3 Тесла для диагностики гиппокампального склероза </w:t>
      </w:r>
      <w:r w:rsidR="007001F0" w:rsidRPr="0093582B">
        <w:rPr>
          <w:rFonts w:ascii="Times New Roman" w:eastAsia="Times New Roman" w:hAnsi="Times New Roman" w:cs="Times New Roman"/>
          <w:sz w:val="28"/>
        </w:rPr>
        <w:t xml:space="preserve">оказался </w:t>
      </w:r>
      <w:r w:rsidRPr="0093582B">
        <w:rPr>
          <w:rFonts w:ascii="Times New Roman" w:eastAsia="Times New Roman" w:hAnsi="Times New Roman" w:cs="Times New Roman"/>
          <w:sz w:val="28"/>
        </w:rPr>
        <w:t>более чем в 2 раза эффективнее МРТ 1,5 Тесла (</w:t>
      </w:r>
      <w:r w:rsidRPr="0093582B">
        <w:rPr>
          <w:rFonts w:ascii="Times New Roman" w:eastAsia="Times New Roman" w:hAnsi="Times New Roman" w:cs="Times New Roman"/>
          <w:sz w:val="28"/>
          <w:lang w:val="en-US"/>
        </w:rPr>
        <w:t>p</w:t>
      </w:r>
      <w:r w:rsidRPr="0093582B">
        <w:rPr>
          <w:rFonts w:ascii="Times New Roman" w:eastAsia="Times New Roman" w:hAnsi="Times New Roman" w:cs="Times New Roman"/>
          <w:sz w:val="28"/>
        </w:rPr>
        <w:t>=0,002). ПЭТ-КТ информативно визуализировала очаги гипометаболизма в зоне структурных и функциональных нарушений, а также была вспомогательным методом для диагностики ФКД.</w:t>
      </w:r>
    </w:p>
    <w:p w:rsidR="00A75FFC" w:rsidRPr="0093582B" w:rsidRDefault="00A75FFC" w:rsidP="001009F3">
      <w:pPr>
        <w:spacing w:after="0" w:line="360" w:lineRule="auto"/>
        <w:jc w:val="both"/>
        <w:rPr>
          <w:rFonts w:ascii="Times New Roman" w:eastAsia="Times New Roman" w:hAnsi="Times New Roman" w:cs="Times New Roman"/>
          <w:sz w:val="28"/>
        </w:rPr>
      </w:pPr>
      <w:r w:rsidRPr="0093582B">
        <w:rPr>
          <w:rFonts w:ascii="Times New Roman" w:eastAsia="Times New Roman" w:hAnsi="Times New Roman" w:cs="Times New Roman"/>
          <w:sz w:val="28"/>
        </w:rPr>
        <w:t xml:space="preserve">4. В большинстве случаев данные видео-ЭЭГ мониторинга соответствуют морфологической локализации очага (86,8%), однако, в 13,1% случаев выявляются несоответствия эпилептогенного и морфологического очага. </w:t>
      </w:r>
      <w:r w:rsidRPr="0093582B">
        <w:rPr>
          <w:rFonts w:ascii="Times New Roman" w:eastAsia="Times New Roman" w:hAnsi="Times New Roman" w:cs="Times New Roman"/>
          <w:sz w:val="28"/>
        </w:rPr>
        <w:lastRenderedPageBreak/>
        <w:t xml:space="preserve">Рутинная ЭЭГ </w:t>
      </w:r>
      <w:r w:rsidR="00EA5E13" w:rsidRPr="0093582B">
        <w:rPr>
          <w:rFonts w:ascii="Times New Roman" w:eastAsia="Times New Roman" w:hAnsi="Times New Roman" w:cs="Times New Roman"/>
          <w:sz w:val="28"/>
        </w:rPr>
        <w:t>малоэффективна</w:t>
      </w:r>
      <w:r w:rsidRPr="0093582B">
        <w:rPr>
          <w:rFonts w:ascii="Times New Roman" w:eastAsia="Times New Roman" w:hAnsi="Times New Roman" w:cs="Times New Roman"/>
          <w:sz w:val="28"/>
        </w:rPr>
        <w:t xml:space="preserve"> </w:t>
      </w:r>
      <w:r w:rsidR="00EA5E13" w:rsidRPr="0093582B">
        <w:rPr>
          <w:rFonts w:ascii="Times New Roman" w:eastAsia="Times New Roman" w:hAnsi="Times New Roman" w:cs="Times New Roman"/>
          <w:sz w:val="28"/>
        </w:rPr>
        <w:t xml:space="preserve">в диагностике </w:t>
      </w:r>
      <w:r w:rsidRPr="0093582B">
        <w:rPr>
          <w:rFonts w:ascii="Times New Roman" w:eastAsia="Times New Roman" w:hAnsi="Times New Roman" w:cs="Times New Roman"/>
          <w:sz w:val="28"/>
        </w:rPr>
        <w:t>эпилептического синдрома.</w:t>
      </w:r>
      <w:r w:rsidR="002107F3" w:rsidRPr="0093582B">
        <w:rPr>
          <w:rFonts w:ascii="Times New Roman" w:eastAsia="Times New Roman" w:hAnsi="Times New Roman" w:cs="Times New Roman"/>
          <w:sz w:val="28"/>
        </w:rPr>
        <w:t xml:space="preserve"> Обнаружена связь формирования контралатеральной эпилептической активности в зависимости от срока заболевания (</w:t>
      </w:r>
      <w:r w:rsidR="002107F3" w:rsidRPr="0093582B">
        <w:rPr>
          <w:rFonts w:ascii="Times New Roman" w:eastAsia="Times New Roman" w:hAnsi="Times New Roman" w:cs="Times New Roman"/>
          <w:sz w:val="28"/>
          <w:lang w:val="en-US"/>
        </w:rPr>
        <w:t>p</w:t>
      </w:r>
      <w:r w:rsidR="00EC1387" w:rsidRPr="0093582B">
        <w:rPr>
          <w:rFonts w:ascii="Times New Roman" w:eastAsia="Times New Roman" w:hAnsi="Times New Roman" w:cs="Times New Roman"/>
          <w:sz w:val="28"/>
        </w:rPr>
        <w:t>=0,007).</w:t>
      </w:r>
    </w:p>
    <w:p w:rsidR="00616CE4" w:rsidRPr="0093582B" w:rsidRDefault="002E0393" w:rsidP="002E0393">
      <w:pPr>
        <w:spacing w:after="0" w:line="360" w:lineRule="auto"/>
        <w:ind w:left="360"/>
        <w:jc w:val="both"/>
        <w:rPr>
          <w:rFonts w:ascii="Times New Roman" w:eastAsia="Times New Roman" w:hAnsi="Times New Roman" w:cs="Times New Roman"/>
          <w:sz w:val="28"/>
        </w:rPr>
      </w:pPr>
      <w:r w:rsidRPr="0093582B">
        <w:rPr>
          <w:rFonts w:ascii="Times New Roman" w:eastAsia="Times New Roman" w:hAnsi="Times New Roman" w:cs="Times New Roman"/>
          <w:sz w:val="28"/>
        </w:rPr>
        <w:t>5.</w:t>
      </w:r>
      <w:r w:rsidR="00062B81" w:rsidRPr="0093582B">
        <w:rPr>
          <w:rFonts w:ascii="Times New Roman" w:eastAsia="Times New Roman" w:hAnsi="Times New Roman" w:cs="Times New Roman"/>
          <w:sz w:val="28"/>
        </w:rPr>
        <w:t xml:space="preserve">В отдаленном постоперационном периоде наступает ремиссия в 81,8% случаев. </w:t>
      </w:r>
    </w:p>
    <w:p w:rsidR="00062B81" w:rsidRPr="0093582B" w:rsidRDefault="00616CE4" w:rsidP="00616CE4">
      <w:pPr>
        <w:pStyle w:val="a3"/>
        <w:spacing w:after="0" w:line="360" w:lineRule="auto"/>
        <w:jc w:val="both"/>
        <w:rPr>
          <w:rFonts w:ascii="Times New Roman" w:eastAsia="Times New Roman" w:hAnsi="Times New Roman" w:cs="Times New Roman"/>
          <w:sz w:val="28"/>
        </w:rPr>
      </w:pPr>
      <w:r w:rsidRPr="0093582B">
        <w:rPr>
          <w:rFonts w:ascii="Times New Roman" w:eastAsia="Times New Roman" w:hAnsi="Times New Roman" w:cs="Times New Roman"/>
          <w:b/>
          <w:sz w:val="28"/>
        </w:rPr>
        <w:t>А</w:t>
      </w:r>
      <w:r w:rsidRPr="0093582B">
        <w:rPr>
          <w:rFonts w:ascii="Times New Roman" w:eastAsia="Times New Roman" w:hAnsi="Times New Roman" w:cs="Times New Roman"/>
          <w:sz w:val="28"/>
        </w:rPr>
        <w:t>.</w:t>
      </w:r>
      <w:r w:rsidR="00062B81" w:rsidRPr="0093582B">
        <w:rPr>
          <w:rFonts w:ascii="Times New Roman" w:eastAsia="Times New Roman" w:hAnsi="Times New Roman" w:cs="Times New Roman"/>
          <w:sz w:val="28"/>
        </w:rPr>
        <w:t>У пациентов с сохранными приступами</w:t>
      </w:r>
      <w:r w:rsidR="00062B81" w:rsidRPr="0093582B">
        <w:rPr>
          <w:rFonts w:ascii="Times New Roman" w:eastAsia="Times New Roman" w:hAnsi="Times New Roman" w:cs="Times New Roman"/>
        </w:rPr>
        <w:t xml:space="preserve"> </w:t>
      </w:r>
      <w:r w:rsidR="00062B81" w:rsidRPr="0093582B">
        <w:rPr>
          <w:rFonts w:ascii="Times New Roman" w:eastAsia="Times New Roman" w:hAnsi="Times New Roman" w:cs="Times New Roman"/>
          <w:sz w:val="28"/>
        </w:rPr>
        <w:t>снижается их частота до средней и редкой</w:t>
      </w:r>
      <w:r w:rsidR="00E021D7" w:rsidRPr="0093582B">
        <w:rPr>
          <w:rFonts w:ascii="Times New Roman" w:eastAsia="Times New Roman" w:hAnsi="Times New Roman" w:cs="Times New Roman"/>
          <w:sz w:val="28"/>
        </w:rPr>
        <w:t xml:space="preserve"> (р&lt;0,05)</w:t>
      </w:r>
      <w:r w:rsidR="00062B81" w:rsidRPr="0093582B">
        <w:rPr>
          <w:rFonts w:ascii="Times New Roman" w:eastAsia="Times New Roman" w:hAnsi="Times New Roman" w:cs="Times New Roman"/>
          <w:sz w:val="28"/>
        </w:rPr>
        <w:t>, а также исчезают фокальные приступы с нарушением сознания.</w:t>
      </w:r>
    </w:p>
    <w:p w:rsidR="00062B81" w:rsidRPr="0093582B" w:rsidRDefault="00F37E68" w:rsidP="00E021D7">
      <w:pPr>
        <w:pStyle w:val="a9"/>
      </w:pPr>
      <w:r w:rsidRPr="0093582B">
        <w:rPr>
          <w:rFonts w:ascii="Times New Roman" w:eastAsia="Times New Roman" w:hAnsi="Times New Roman" w:cs="Times New Roman"/>
          <w:b/>
        </w:rPr>
        <w:t>Б</w:t>
      </w:r>
      <w:r w:rsidRPr="0093582B">
        <w:rPr>
          <w:rFonts w:ascii="Times New Roman" w:eastAsia="Times New Roman" w:hAnsi="Times New Roman" w:cs="Times New Roman"/>
        </w:rPr>
        <w:t xml:space="preserve">. </w:t>
      </w:r>
      <w:r w:rsidR="00EC1387" w:rsidRPr="0093582B">
        <w:rPr>
          <w:rFonts w:ascii="Times New Roman" w:eastAsia="Times New Roman" w:hAnsi="Times New Roman" w:cs="Times New Roman"/>
        </w:rPr>
        <w:t xml:space="preserve">Когнитивные функции </w:t>
      </w:r>
      <w:r w:rsidR="00062B81" w:rsidRPr="0093582B">
        <w:rPr>
          <w:rFonts w:ascii="Times New Roman" w:eastAsia="Times New Roman" w:hAnsi="Times New Roman" w:cs="Times New Roman"/>
        </w:rPr>
        <w:t xml:space="preserve">остаются </w:t>
      </w:r>
      <w:r w:rsidR="00EA5E13" w:rsidRPr="0093582B">
        <w:rPr>
          <w:rFonts w:ascii="Times New Roman" w:eastAsia="Times New Roman" w:hAnsi="Times New Roman" w:cs="Times New Roman"/>
        </w:rPr>
        <w:t>снижен</w:t>
      </w:r>
      <w:r w:rsidR="00062B81" w:rsidRPr="0093582B">
        <w:rPr>
          <w:rFonts w:ascii="Times New Roman" w:eastAsia="Times New Roman" w:hAnsi="Times New Roman" w:cs="Times New Roman"/>
        </w:rPr>
        <w:t>ными</w:t>
      </w:r>
      <w:r w:rsidR="00EA5E13" w:rsidRPr="0093582B">
        <w:rPr>
          <w:rFonts w:ascii="Times New Roman" w:eastAsia="Times New Roman" w:hAnsi="Times New Roman" w:cs="Times New Roman"/>
        </w:rPr>
        <w:t xml:space="preserve">, о чем свидетельствуют данные тестирования по Монреальской шкале (снижение у 100%) и шкале </w:t>
      </w:r>
      <w:r w:rsidR="00EA5E13" w:rsidRPr="0093582B">
        <w:rPr>
          <w:rFonts w:ascii="Times New Roman" w:eastAsia="Times New Roman" w:hAnsi="Times New Roman" w:cs="Times New Roman"/>
          <w:lang w:val="en-US"/>
        </w:rPr>
        <w:t>MMSE</w:t>
      </w:r>
      <w:r w:rsidR="00EA5E13" w:rsidRPr="0093582B">
        <w:rPr>
          <w:rFonts w:ascii="Times New Roman" w:eastAsia="Times New Roman" w:hAnsi="Times New Roman" w:cs="Times New Roman"/>
        </w:rPr>
        <w:t xml:space="preserve"> (у 45,5% – преддементные когнитивные нарушения, </w:t>
      </w:r>
      <w:r w:rsidR="00062B81" w:rsidRPr="0093582B">
        <w:rPr>
          <w:rFonts w:ascii="Times New Roman" w:eastAsia="Times New Roman" w:hAnsi="Times New Roman" w:cs="Times New Roman"/>
        </w:rPr>
        <w:t xml:space="preserve">у </w:t>
      </w:r>
      <w:r w:rsidR="00EA5E13" w:rsidRPr="0093582B">
        <w:rPr>
          <w:rFonts w:ascii="Times New Roman" w:eastAsia="Times New Roman" w:hAnsi="Times New Roman" w:cs="Times New Roman"/>
        </w:rPr>
        <w:t xml:space="preserve">36,4% – легкая деменция, у 18,2% – пограничное значение). По батарее тестов лобной дисфункции у большинства пациентов имеется умеренная лобная </w:t>
      </w:r>
      <w:r w:rsidR="00062B81" w:rsidRPr="0093582B">
        <w:rPr>
          <w:rFonts w:ascii="Times New Roman" w:eastAsia="Times New Roman" w:hAnsi="Times New Roman" w:cs="Times New Roman"/>
        </w:rPr>
        <w:t>дисфункция (90,9%),</w:t>
      </w:r>
      <w:r w:rsidRPr="0093582B">
        <w:rPr>
          <w:rFonts w:ascii="Times New Roman" w:eastAsia="Times New Roman" w:hAnsi="Times New Roman" w:cs="Times New Roman"/>
        </w:rPr>
        <w:t xml:space="preserve"> свидетельствующая о</w:t>
      </w:r>
      <w:r w:rsidR="00E021D7" w:rsidRPr="0093582B">
        <w:t xml:space="preserve"> распространенном характере поражения структур мозга, отвечающих за когнитивные функции </w:t>
      </w:r>
      <w:r w:rsidR="007507F9" w:rsidRPr="0093582B">
        <w:t>(</w:t>
      </w:r>
      <w:r w:rsidR="00E021D7" w:rsidRPr="0093582B">
        <w:t>несмотря на локальное хирургическое вмешательство в височной доле и в зоне гиппокампа</w:t>
      </w:r>
      <w:r w:rsidR="007507F9" w:rsidRPr="0093582B">
        <w:t>)</w:t>
      </w:r>
      <w:r w:rsidR="00E021D7" w:rsidRPr="0093582B">
        <w:t>.</w:t>
      </w:r>
    </w:p>
    <w:p w:rsidR="00062B81" w:rsidRPr="0093582B" w:rsidRDefault="00EA5E13" w:rsidP="00EA5E13">
      <w:pPr>
        <w:spacing w:after="0" w:line="360" w:lineRule="auto"/>
        <w:ind w:firstLine="709"/>
        <w:jc w:val="both"/>
        <w:rPr>
          <w:rFonts w:ascii="Times New Roman" w:eastAsia="Times New Roman" w:hAnsi="Times New Roman" w:cs="Times New Roman"/>
          <w:sz w:val="28"/>
        </w:rPr>
      </w:pPr>
      <w:r w:rsidRPr="0093582B">
        <w:rPr>
          <w:rFonts w:ascii="Times New Roman" w:eastAsia="Times New Roman" w:hAnsi="Times New Roman" w:cs="Times New Roman"/>
          <w:sz w:val="28"/>
        </w:rPr>
        <w:t>У</w:t>
      </w:r>
      <w:r w:rsidR="00E021D7" w:rsidRPr="0093582B">
        <w:rPr>
          <w:rFonts w:ascii="Times New Roman" w:eastAsia="Times New Roman" w:hAnsi="Times New Roman" w:cs="Times New Roman"/>
          <w:sz w:val="28"/>
        </w:rPr>
        <w:t xml:space="preserve"> 63,6% пациентов выявлены </w:t>
      </w:r>
      <w:r w:rsidRPr="0093582B">
        <w:rPr>
          <w:rFonts w:ascii="Times New Roman" w:eastAsia="Times New Roman" w:hAnsi="Times New Roman" w:cs="Times New Roman"/>
          <w:sz w:val="28"/>
        </w:rPr>
        <w:t>клинически или субклинически выраженн</w:t>
      </w:r>
      <w:r w:rsidR="00E021D7" w:rsidRPr="0093582B">
        <w:rPr>
          <w:rFonts w:ascii="Times New Roman" w:eastAsia="Times New Roman" w:hAnsi="Times New Roman" w:cs="Times New Roman"/>
          <w:sz w:val="28"/>
        </w:rPr>
        <w:t>ые</w:t>
      </w:r>
      <w:r w:rsidRPr="0093582B">
        <w:rPr>
          <w:rFonts w:ascii="Times New Roman" w:eastAsia="Times New Roman" w:hAnsi="Times New Roman" w:cs="Times New Roman"/>
          <w:sz w:val="28"/>
        </w:rPr>
        <w:t xml:space="preserve"> тревога и/или депрессия.</w:t>
      </w:r>
    </w:p>
    <w:p w:rsidR="00A75FFC" w:rsidRPr="0093582B" w:rsidRDefault="007507F9" w:rsidP="00C0406B">
      <w:pPr>
        <w:spacing w:after="0" w:line="360" w:lineRule="auto"/>
        <w:ind w:firstLine="709"/>
        <w:jc w:val="both"/>
        <w:rPr>
          <w:rFonts w:ascii="Times New Roman" w:eastAsia="Times New Roman" w:hAnsi="Times New Roman" w:cs="Times New Roman"/>
          <w:sz w:val="28"/>
        </w:rPr>
      </w:pPr>
      <w:r w:rsidRPr="0093582B">
        <w:rPr>
          <w:rFonts w:ascii="Times New Roman" w:eastAsia="Times New Roman" w:hAnsi="Times New Roman" w:cs="Times New Roman"/>
          <w:b/>
          <w:sz w:val="28"/>
        </w:rPr>
        <w:t>В</w:t>
      </w:r>
      <w:r w:rsidRPr="0093582B">
        <w:rPr>
          <w:rFonts w:ascii="Times New Roman" w:eastAsia="Times New Roman" w:hAnsi="Times New Roman" w:cs="Times New Roman"/>
          <w:sz w:val="28"/>
        </w:rPr>
        <w:t>.</w:t>
      </w:r>
      <w:r w:rsidR="00EA5E13" w:rsidRPr="0093582B">
        <w:rPr>
          <w:rFonts w:ascii="Times New Roman" w:eastAsia="Times New Roman" w:hAnsi="Times New Roman" w:cs="Times New Roman"/>
          <w:sz w:val="28"/>
        </w:rPr>
        <w:t xml:space="preserve"> </w:t>
      </w:r>
      <w:r w:rsidR="00F37E68" w:rsidRPr="0093582B">
        <w:rPr>
          <w:rFonts w:ascii="Times New Roman" w:eastAsia="Times New Roman" w:hAnsi="Times New Roman" w:cs="Times New Roman"/>
          <w:sz w:val="28"/>
        </w:rPr>
        <w:t>Б</w:t>
      </w:r>
      <w:r w:rsidR="00EA5E13" w:rsidRPr="0093582B">
        <w:rPr>
          <w:rFonts w:ascii="Times New Roman" w:eastAsia="Times New Roman" w:hAnsi="Times New Roman" w:cs="Times New Roman"/>
          <w:sz w:val="28"/>
        </w:rPr>
        <w:t>олее высокие показатели качества жизни</w:t>
      </w:r>
      <w:r w:rsidR="00F37E68" w:rsidRPr="0093582B">
        <w:rPr>
          <w:rFonts w:ascii="Times New Roman" w:eastAsia="Times New Roman" w:hAnsi="Times New Roman" w:cs="Times New Roman"/>
          <w:sz w:val="28"/>
        </w:rPr>
        <w:t xml:space="preserve"> выявлены </w:t>
      </w:r>
      <w:r w:rsidR="00EA5E13" w:rsidRPr="0093582B">
        <w:rPr>
          <w:rFonts w:ascii="Times New Roman" w:eastAsia="Times New Roman" w:hAnsi="Times New Roman" w:cs="Times New Roman"/>
          <w:sz w:val="28"/>
        </w:rPr>
        <w:t>у пациентов с пр</w:t>
      </w:r>
      <w:r w:rsidR="00062B81" w:rsidRPr="0093582B">
        <w:rPr>
          <w:rFonts w:ascii="Times New Roman" w:eastAsia="Times New Roman" w:hAnsi="Times New Roman" w:cs="Times New Roman"/>
          <w:sz w:val="28"/>
        </w:rPr>
        <w:t>авосторонней локализацией очага.</w:t>
      </w:r>
      <w:r w:rsidR="00EA5E13" w:rsidRPr="0093582B">
        <w:rPr>
          <w:rFonts w:ascii="Times New Roman" w:eastAsia="Times New Roman" w:hAnsi="Times New Roman" w:cs="Times New Roman"/>
          <w:sz w:val="28"/>
        </w:rPr>
        <w:t xml:space="preserve"> </w:t>
      </w:r>
      <w:r w:rsidR="00062B81" w:rsidRPr="0093582B">
        <w:rPr>
          <w:rFonts w:ascii="Times New Roman" w:eastAsia="Times New Roman" w:hAnsi="Times New Roman" w:cs="Times New Roman"/>
          <w:sz w:val="28"/>
        </w:rPr>
        <w:t>Значим</w:t>
      </w:r>
      <w:r w:rsidR="00F37E68" w:rsidRPr="0093582B">
        <w:rPr>
          <w:rFonts w:ascii="Times New Roman" w:eastAsia="Times New Roman" w:hAnsi="Times New Roman" w:cs="Times New Roman"/>
          <w:sz w:val="28"/>
        </w:rPr>
        <w:t>ые различия с левосторон</w:t>
      </w:r>
      <w:r w:rsidR="007001F0" w:rsidRPr="0093582B">
        <w:rPr>
          <w:rFonts w:ascii="Times New Roman" w:eastAsia="Times New Roman" w:hAnsi="Times New Roman" w:cs="Times New Roman"/>
          <w:sz w:val="28"/>
        </w:rPr>
        <w:t>н</w:t>
      </w:r>
      <w:r w:rsidR="00F37E68" w:rsidRPr="0093582B">
        <w:rPr>
          <w:rFonts w:ascii="Times New Roman" w:eastAsia="Times New Roman" w:hAnsi="Times New Roman" w:cs="Times New Roman"/>
          <w:sz w:val="28"/>
        </w:rPr>
        <w:t xml:space="preserve">им очагом </w:t>
      </w:r>
      <w:r w:rsidR="00616CE4" w:rsidRPr="0093582B">
        <w:rPr>
          <w:rFonts w:ascii="Times New Roman" w:eastAsia="Times New Roman" w:hAnsi="Times New Roman" w:cs="Times New Roman"/>
          <w:sz w:val="28"/>
        </w:rPr>
        <w:t>получены по</w:t>
      </w:r>
      <w:r w:rsidR="00EA5E13" w:rsidRPr="0093582B">
        <w:rPr>
          <w:rFonts w:ascii="Times New Roman" w:eastAsia="Times New Roman" w:hAnsi="Times New Roman" w:cs="Times New Roman"/>
          <w:sz w:val="28"/>
        </w:rPr>
        <w:t xml:space="preserve"> показателя</w:t>
      </w:r>
      <w:r w:rsidR="00616CE4" w:rsidRPr="0093582B">
        <w:rPr>
          <w:rFonts w:ascii="Times New Roman" w:eastAsia="Times New Roman" w:hAnsi="Times New Roman" w:cs="Times New Roman"/>
          <w:sz w:val="28"/>
        </w:rPr>
        <w:t>м</w:t>
      </w:r>
      <w:r w:rsidR="00EA5E13" w:rsidRPr="0093582B">
        <w:rPr>
          <w:rFonts w:ascii="Times New Roman" w:eastAsia="Times New Roman" w:hAnsi="Times New Roman" w:cs="Times New Roman"/>
          <w:sz w:val="28"/>
        </w:rPr>
        <w:t xml:space="preserve"> ролевого функционирования, обусловленного физическим (</w:t>
      </w:r>
      <w:r w:rsidR="00EA5E13" w:rsidRPr="0093582B">
        <w:rPr>
          <w:rFonts w:ascii="Times New Roman" w:eastAsia="Times New Roman" w:hAnsi="Times New Roman" w:cs="Times New Roman"/>
          <w:sz w:val="28"/>
          <w:lang w:val="en-US"/>
        </w:rPr>
        <w:t>RP</w:t>
      </w:r>
      <w:r w:rsidR="00EA5E13" w:rsidRPr="0093582B">
        <w:rPr>
          <w:rFonts w:ascii="Times New Roman" w:eastAsia="Times New Roman" w:hAnsi="Times New Roman" w:cs="Times New Roman"/>
          <w:sz w:val="28"/>
        </w:rPr>
        <w:t>) и психическим состоянием (</w:t>
      </w:r>
      <w:r w:rsidR="00EA5E13" w:rsidRPr="0093582B">
        <w:rPr>
          <w:rFonts w:ascii="Times New Roman" w:eastAsia="Times New Roman" w:hAnsi="Times New Roman" w:cs="Times New Roman"/>
          <w:sz w:val="28"/>
          <w:lang w:val="en-US"/>
        </w:rPr>
        <w:t>RE</w:t>
      </w:r>
      <w:r w:rsidR="00EA5E13" w:rsidRPr="0093582B">
        <w:rPr>
          <w:rFonts w:ascii="Times New Roman" w:eastAsia="Times New Roman" w:hAnsi="Times New Roman" w:cs="Times New Roman"/>
          <w:sz w:val="28"/>
        </w:rPr>
        <w:t>) (</w:t>
      </w:r>
      <w:r w:rsidR="00EA5E13" w:rsidRPr="0093582B">
        <w:rPr>
          <w:rFonts w:ascii="Times New Roman" w:eastAsia="Times New Roman" w:hAnsi="Times New Roman" w:cs="Times New Roman"/>
          <w:sz w:val="28"/>
          <w:lang w:val="en-US"/>
        </w:rPr>
        <w:t>p</w:t>
      </w:r>
      <w:r w:rsidR="00EA5E13" w:rsidRPr="0093582B">
        <w:rPr>
          <w:rFonts w:ascii="Times New Roman" w:eastAsia="Times New Roman" w:hAnsi="Times New Roman" w:cs="Times New Roman"/>
          <w:sz w:val="28"/>
        </w:rPr>
        <w:t xml:space="preserve">=0,01; 0,03), а также </w:t>
      </w:r>
      <w:r w:rsidR="00616CE4" w:rsidRPr="0093582B">
        <w:rPr>
          <w:rFonts w:ascii="Times New Roman" w:eastAsia="Times New Roman" w:hAnsi="Times New Roman" w:cs="Times New Roman"/>
          <w:sz w:val="28"/>
        </w:rPr>
        <w:t>по</w:t>
      </w:r>
      <w:r w:rsidR="00EA5E13" w:rsidRPr="0093582B">
        <w:rPr>
          <w:rFonts w:ascii="Times New Roman" w:eastAsia="Times New Roman" w:hAnsi="Times New Roman" w:cs="Times New Roman"/>
          <w:sz w:val="28"/>
        </w:rPr>
        <w:t xml:space="preserve"> показател</w:t>
      </w:r>
      <w:r w:rsidR="00616CE4" w:rsidRPr="0093582B">
        <w:rPr>
          <w:rFonts w:ascii="Times New Roman" w:eastAsia="Times New Roman" w:hAnsi="Times New Roman" w:cs="Times New Roman"/>
          <w:sz w:val="28"/>
        </w:rPr>
        <w:t>ю</w:t>
      </w:r>
      <w:r w:rsidR="00EA5E13" w:rsidRPr="0093582B">
        <w:rPr>
          <w:rFonts w:ascii="Times New Roman" w:eastAsia="Times New Roman" w:hAnsi="Times New Roman" w:cs="Times New Roman"/>
          <w:sz w:val="28"/>
        </w:rPr>
        <w:t xml:space="preserve"> жизненной активности (</w:t>
      </w:r>
      <w:r w:rsidR="00EA5E13" w:rsidRPr="0093582B">
        <w:rPr>
          <w:rFonts w:ascii="Times New Roman" w:eastAsia="Times New Roman" w:hAnsi="Times New Roman" w:cs="Times New Roman"/>
          <w:sz w:val="28"/>
          <w:lang w:val="en-US"/>
        </w:rPr>
        <w:t>VT</w:t>
      </w:r>
      <w:r w:rsidR="00EA5E13" w:rsidRPr="0093582B">
        <w:rPr>
          <w:rFonts w:ascii="Times New Roman" w:eastAsia="Times New Roman" w:hAnsi="Times New Roman" w:cs="Times New Roman"/>
          <w:sz w:val="28"/>
        </w:rPr>
        <w:t>) (</w:t>
      </w:r>
      <w:r w:rsidR="00EA5E13" w:rsidRPr="0093582B">
        <w:rPr>
          <w:rFonts w:ascii="Times New Roman" w:eastAsia="Times New Roman" w:hAnsi="Times New Roman" w:cs="Times New Roman"/>
          <w:sz w:val="28"/>
          <w:lang w:val="en-US"/>
        </w:rPr>
        <w:t>p</w:t>
      </w:r>
      <w:r w:rsidR="00C0406B" w:rsidRPr="0093582B">
        <w:rPr>
          <w:rFonts w:ascii="Times New Roman" w:eastAsia="Times New Roman" w:hAnsi="Times New Roman" w:cs="Times New Roman"/>
          <w:sz w:val="28"/>
        </w:rPr>
        <w:t xml:space="preserve">=0,05). </w:t>
      </w:r>
    </w:p>
    <w:p w:rsidR="00754D37" w:rsidRPr="0093582B" w:rsidRDefault="002E62B2" w:rsidP="002459C7">
      <w:pPr>
        <w:spacing w:line="360" w:lineRule="auto"/>
        <w:rPr>
          <w:rFonts w:asciiTheme="majorHAnsi" w:hAnsiTheme="majorHAnsi" w:cstheme="majorHAnsi"/>
          <w:sz w:val="28"/>
          <w:szCs w:val="28"/>
        </w:rPr>
      </w:pPr>
      <w:r w:rsidRPr="0093582B">
        <w:rPr>
          <w:rFonts w:asciiTheme="majorHAnsi" w:hAnsiTheme="majorHAnsi" w:cstheme="majorHAnsi"/>
          <w:sz w:val="28"/>
          <w:szCs w:val="28"/>
        </w:rPr>
        <w:br w:type="page"/>
      </w:r>
    </w:p>
    <w:p w:rsidR="002459C7" w:rsidRPr="0093582B" w:rsidRDefault="002459C7" w:rsidP="00236AA9">
      <w:pPr>
        <w:pStyle w:val="1"/>
        <w:rPr>
          <w:lang w:val="en-US"/>
        </w:rPr>
      </w:pPr>
      <w:bookmarkStart w:id="36" w:name="_Toc104427553"/>
      <w:r w:rsidRPr="0093582B">
        <w:lastRenderedPageBreak/>
        <w:t>Список</w:t>
      </w:r>
      <w:r w:rsidRPr="0093582B">
        <w:rPr>
          <w:lang w:val="en-US"/>
        </w:rPr>
        <w:t xml:space="preserve"> </w:t>
      </w:r>
      <w:r w:rsidRPr="0093582B">
        <w:t>литературы</w:t>
      </w:r>
      <w:bookmarkEnd w:id="36"/>
    </w:p>
    <w:p w:rsidR="00F06B3C" w:rsidRPr="0093582B" w:rsidRDefault="00722561"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heme="majorHAnsi" w:hAnsiTheme="majorHAnsi" w:cstheme="majorHAnsi"/>
          <w:b/>
          <w:sz w:val="28"/>
          <w:szCs w:val="28"/>
        </w:rPr>
        <w:fldChar w:fldCharType="begin" w:fldLock="1"/>
      </w:r>
      <w:r w:rsidRPr="0093582B">
        <w:rPr>
          <w:rFonts w:asciiTheme="majorHAnsi" w:hAnsiTheme="majorHAnsi" w:cstheme="majorHAnsi"/>
          <w:b/>
          <w:sz w:val="28"/>
          <w:szCs w:val="28"/>
          <w:lang w:val="en-US"/>
        </w:rPr>
        <w:instrText xml:space="preserve">ADDIN Mendeley Bibliography CSL_BIBLIOGRAPHY </w:instrText>
      </w:r>
      <w:r w:rsidRPr="0093582B">
        <w:rPr>
          <w:rFonts w:asciiTheme="majorHAnsi" w:hAnsiTheme="majorHAnsi" w:cstheme="majorHAnsi"/>
          <w:b/>
          <w:sz w:val="28"/>
          <w:szCs w:val="28"/>
        </w:rPr>
        <w:fldChar w:fldCharType="separate"/>
      </w:r>
      <w:r w:rsidR="00F06B3C" w:rsidRPr="0093582B">
        <w:rPr>
          <w:rFonts w:ascii="Times New Roman" w:hAnsi="Times New Roman" w:cs="Times New Roman"/>
          <w:noProof/>
          <w:sz w:val="28"/>
          <w:szCs w:val="24"/>
        </w:rPr>
        <w:t>[1]</w:t>
      </w:r>
      <w:r w:rsidR="00F06B3C" w:rsidRPr="0093582B">
        <w:rPr>
          <w:rFonts w:ascii="Times New Roman" w:hAnsi="Times New Roman" w:cs="Times New Roman"/>
          <w:noProof/>
          <w:sz w:val="28"/>
          <w:szCs w:val="24"/>
        </w:rPr>
        <w:tab/>
        <w:t xml:space="preserve">World Health Organization, </w:t>
      </w:r>
      <w:r w:rsidR="00F06B3C" w:rsidRPr="0093582B">
        <w:rPr>
          <w:rFonts w:ascii="Times New Roman" w:hAnsi="Times New Roman" w:cs="Times New Roman"/>
          <w:i/>
          <w:iCs/>
          <w:noProof/>
          <w:sz w:val="28"/>
          <w:szCs w:val="24"/>
        </w:rPr>
        <w:t>WHO | Epilepsy: a public health imperative</w:t>
      </w:r>
      <w:r w:rsidR="00F06B3C" w:rsidRPr="0093582B">
        <w:rPr>
          <w:rFonts w:ascii="Times New Roman" w:hAnsi="Times New Roman" w:cs="Times New Roman"/>
          <w:noProof/>
          <w:sz w:val="28"/>
          <w:szCs w:val="24"/>
        </w:rPr>
        <w:t>. 2019.</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[2]</w:t>
      </w:r>
      <w:r w:rsidRPr="0093582B">
        <w:rPr>
          <w:rFonts w:ascii="Times New Roman" w:hAnsi="Times New Roman" w:cs="Times New Roman"/>
          <w:noProof/>
          <w:sz w:val="28"/>
          <w:szCs w:val="24"/>
        </w:rPr>
        <w:tab/>
        <w:t xml:space="preserve">I. E. Scheffer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“ILAE classification of the epilepsies: Position paper of the ILAE Commission for Classification and Terminology,” </w:t>
      </w:r>
      <w:r w:rsidRPr="0093582B">
        <w:rPr>
          <w:rFonts w:ascii="Times New Roman" w:hAnsi="Times New Roman" w:cs="Times New Roman"/>
          <w:i/>
          <w:iCs/>
          <w:noProof/>
          <w:sz w:val="28"/>
          <w:szCs w:val="24"/>
        </w:rPr>
        <w:t>Epilepsia</w:t>
      </w:r>
      <w:r w:rsidRPr="0093582B">
        <w:rPr>
          <w:rFonts w:ascii="Times New Roman" w:hAnsi="Times New Roman" w:cs="Times New Roman"/>
          <w:noProof/>
          <w:sz w:val="28"/>
          <w:szCs w:val="24"/>
        </w:rPr>
        <w:t>, vol. 58, no. 4, 2017, doi: 10.1111/epi.13709.</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[3]</w:t>
      </w:r>
      <w:r w:rsidRPr="0093582B">
        <w:rPr>
          <w:rFonts w:ascii="Times New Roman" w:hAnsi="Times New Roman" w:cs="Times New Roman"/>
          <w:noProof/>
          <w:sz w:val="28"/>
          <w:szCs w:val="24"/>
        </w:rPr>
        <w:tab/>
        <w:t xml:space="preserve">J. Bjellvi, I. Olsson, K. Malmgren, and K. Wilbe Ramsay, “Epilepsy duration and seizure outcome in epilepsy surgery: A systematic review and meta-Analysis,” </w:t>
      </w:r>
      <w:r w:rsidRPr="0093582B">
        <w:rPr>
          <w:rFonts w:ascii="Times New Roman" w:hAnsi="Times New Roman" w:cs="Times New Roman"/>
          <w:i/>
          <w:iCs/>
          <w:noProof/>
          <w:sz w:val="28"/>
          <w:szCs w:val="24"/>
        </w:rPr>
        <w:t>Neurology</w:t>
      </w:r>
      <w:r w:rsidRPr="0093582B">
        <w:rPr>
          <w:rFonts w:ascii="Times New Roman" w:hAnsi="Times New Roman" w:cs="Times New Roman"/>
          <w:noProof/>
          <w:sz w:val="28"/>
          <w:szCs w:val="24"/>
        </w:rPr>
        <w:t>, vol. 93, no. 2, 2019, doi: 10.1212/WNL.0000000000007753.</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[4]</w:t>
      </w:r>
      <w:r w:rsidRPr="0093582B">
        <w:rPr>
          <w:rFonts w:ascii="Times New Roman" w:hAnsi="Times New Roman" w:cs="Times New Roman"/>
          <w:noProof/>
          <w:sz w:val="28"/>
          <w:szCs w:val="24"/>
        </w:rPr>
        <w:tab/>
        <w:t xml:space="preserve">V. Ives-Deliperi and J. T. Butler, “Mechanisms of cognitive impairment in temporal lobe epilepsy: A systematic review of resting-state functional connectivity studies,” </w:t>
      </w:r>
      <w:r w:rsidRPr="0093582B">
        <w:rPr>
          <w:rFonts w:ascii="Times New Roman" w:hAnsi="Times New Roman" w:cs="Times New Roman"/>
          <w:i/>
          <w:iCs/>
          <w:noProof/>
          <w:sz w:val="28"/>
          <w:szCs w:val="24"/>
        </w:rPr>
        <w:t>Epilepsy and Behavior</w:t>
      </w:r>
      <w:r w:rsidRPr="0093582B">
        <w:rPr>
          <w:rFonts w:ascii="Times New Roman" w:hAnsi="Times New Roman" w:cs="Times New Roman"/>
          <w:noProof/>
          <w:sz w:val="28"/>
          <w:szCs w:val="24"/>
        </w:rPr>
        <w:t>, vol. 115. 2021, doi: 10.1016/j.yebeh.2020.107686.</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[5]</w:t>
      </w:r>
      <w:r w:rsidRPr="0093582B">
        <w:rPr>
          <w:rFonts w:ascii="Times New Roman" w:hAnsi="Times New Roman" w:cs="Times New Roman"/>
          <w:noProof/>
          <w:sz w:val="28"/>
          <w:szCs w:val="24"/>
        </w:rPr>
        <w:tab/>
        <w:t xml:space="preserve">E. Lu, N. Pyatka, C. J. Burant, and M. Sajatovic, “Systematic literature review of psychiatric comorbidities in adults with epilepsy,” </w:t>
      </w:r>
      <w:r w:rsidRPr="0093582B">
        <w:rPr>
          <w:rFonts w:ascii="Times New Roman" w:hAnsi="Times New Roman" w:cs="Times New Roman"/>
          <w:i/>
          <w:iCs/>
          <w:noProof/>
          <w:sz w:val="28"/>
          <w:szCs w:val="24"/>
        </w:rPr>
        <w:t>Journal of Clinical Neurology (Korea)</w:t>
      </w:r>
      <w:r w:rsidRPr="0093582B">
        <w:rPr>
          <w:rFonts w:ascii="Times New Roman" w:hAnsi="Times New Roman" w:cs="Times New Roman"/>
          <w:noProof/>
          <w:sz w:val="28"/>
          <w:szCs w:val="24"/>
        </w:rPr>
        <w:t>, vol. 17, no. 2. 2021, doi: 10.3988/jcn.2021.17.2.176.</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[6]</w:t>
      </w:r>
      <w:r w:rsidRPr="0093582B">
        <w:rPr>
          <w:rFonts w:ascii="Times New Roman" w:hAnsi="Times New Roman" w:cs="Times New Roman"/>
          <w:noProof/>
          <w:sz w:val="28"/>
          <w:szCs w:val="24"/>
        </w:rPr>
        <w:tab/>
        <w:t xml:space="preserve">A. G. Brotis, T. Giannis, E. Kapsalaki, E. Dardiotis, and K. N. Fountas, “Complications after Anterior Temporal Lobectomy for Medically Intractable Epilepsy: A Systematic Review and Meta-Analysis,” </w:t>
      </w:r>
      <w:r w:rsidRPr="0093582B">
        <w:rPr>
          <w:rFonts w:ascii="Times New Roman" w:hAnsi="Times New Roman" w:cs="Times New Roman"/>
          <w:i/>
          <w:iCs/>
          <w:noProof/>
          <w:sz w:val="28"/>
          <w:szCs w:val="24"/>
        </w:rPr>
        <w:t>Stereotactic and Functional Neurosurgery</w:t>
      </w:r>
      <w:r w:rsidRPr="0093582B">
        <w:rPr>
          <w:rFonts w:ascii="Times New Roman" w:hAnsi="Times New Roman" w:cs="Times New Roman"/>
          <w:noProof/>
          <w:sz w:val="28"/>
          <w:szCs w:val="24"/>
        </w:rPr>
        <w:t>, vol. 97, no. 2. 2019, doi: 10.1159/000500136.</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[7]</w:t>
      </w:r>
      <w:r w:rsidRPr="0093582B">
        <w:rPr>
          <w:rFonts w:ascii="Times New Roman" w:hAnsi="Times New Roman" w:cs="Times New Roman"/>
          <w:noProof/>
          <w:sz w:val="28"/>
          <w:szCs w:val="24"/>
        </w:rPr>
        <w:tab/>
        <w:t xml:space="preserve">R. S. Fisher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“Epileptic seizures and epilepsy: Definitions proposed by the International League Against Epilepsy (ILAE) and the International Bureau for Epilepsy (IBE),” </w:t>
      </w:r>
      <w:r w:rsidRPr="0093582B">
        <w:rPr>
          <w:rFonts w:ascii="Times New Roman" w:hAnsi="Times New Roman" w:cs="Times New Roman"/>
          <w:i/>
          <w:iCs/>
          <w:noProof/>
          <w:sz w:val="28"/>
          <w:szCs w:val="24"/>
        </w:rPr>
        <w:t>Epilepsia</w:t>
      </w:r>
      <w:r w:rsidRPr="0093582B">
        <w:rPr>
          <w:rFonts w:ascii="Times New Roman" w:hAnsi="Times New Roman" w:cs="Times New Roman"/>
          <w:noProof/>
          <w:sz w:val="28"/>
          <w:szCs w:val="24"/>
        </w:rPr>
        <w:t>, vol. 46, no. 4. 2005, doi: 10.1111/j.0013-9580.2005.66104.x.</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[8]</w:t>
      </w:r>
      <w:r w:rsidRPr="0093582B">
        <w:rPr>
          <w:rFonts w:ascii="Times New Roman" w:hAnsi="Times New Roman" w:cs="Times New Roman"/>
          <w:noProof/>
          <w:sz w:val="28"/>
          <w:szCs w:val="24"/>
        </w:rPr>
        <w:tab/>
        <w:t>Ассоциация нейрохирургов России, “Клинические рекомендации по предоперационному обследованию и хирургическому лечению пациентов с фармакорезистентными формами эпилепсии: стандарты ведения больных для врачей.,” pp. 20–22, 2015.</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lastRenderedPageBreak/>
        <w:t>[9]</w:t>
      </w:r>
      <w:r w:rsidRPr="0093582B">
        <w:rPr>
          <w:rFonts w:ascii="Times New Roman" w:hAnsi="Times New Roman" w:cs="Times New Roman"/>
          <w:noProof/>
          <w:sz w:val="28"/>
          <w:szCs w:val="24"/>
        </w:rPr>
        <w:tab/>
        <w:t xml:space="preserve">E. Beghi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“Global, regional, and national burden of epilepsy, 1990–2016: a systematic analysis for the Global Burden of Disease Study 2016,” </w:t>
      </w:r>
      <w:r w:rsidRPr="0093582B">
        <w:rPr>
          <w:rFonts w:ascii="Times New Roman" w:hAnsi="Times New Roman" w:cs="Times New Roman"/>
          <w:i/>
          <w:iCs/>
          <w:noProof/>
          <w:sz w:val="28"/>
          <w:szCs w:val="24"/>
        </w:rPr>
        <w:t>Lancet Neurol.</w:t>
      </w:r>
      <w:r w:rsidRPr="0093582B">
        <w:rPr>
          <w:rFonts w:ascii="Times New Roman" w:hAnsi="Times New Roman" w:cs="Times New Roman"/>
          <w:noProof/>
          <w:sz w:val="28"/>
          <w:szCs w:val="24"/>
        </w:rPr>
        <w:t>, vol. 18, no. 4, 2019, doi: 10.1016/S1474-4422(18)30454-X.</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[10]</w:t>
      </w:r>
      <w:r w:rsidRPr="0093582B">
        <w:rPr>
          <w:rFonts w:ascii="Times New Roman" w:hAnsi="Times New Roman" w:cs="Times New Roman"/>
          <w:noProof/>
          <w:sz w:val="28"/>
          <w:szCs w:val="24"/>
        </w:rPr>
        <w:tab/>
        <w:t xml:space="preserve">“Corrections: Prevalence and incidence of epilepsy: A systematic review and meta-analysis of international studies (Neurology (2017) 88 (296-303) DOI: 10.1212/WNL.0000000000003509),” </w:t>
      </w:r>
      <w:r w:rsidRPr="0093582B">
        <w:rPr>
          <w:rFonts w:ascii="Times New Roman" w:hAnsi="Times New Roman" w:cs="Times New Roman"/>
          <w:i/>
          <w:iCs/>
          <w:noProof/>
          <w:sz w:val="28"/>
          <w:szCs w:val="24"/>
        </w:rPr>
        <w:t>Neurology</w:t>
      </w:r>
      <w:r w:rsidRPr="0093582B">
        <w:rPr>
          <w:rFonts w:ascii="Times New Roman" w:hAnsi="Times New Roman" w:cs="Times New Roman"/>
          <w:noProof/>
          <w:sz w:val="28"/>
          <w:szCs w:val="24"/>
        </w:rPr>
        <w:t>, vol. 89, no. 6. 2017, doi: 10.1212/WNL.0000000000004317.</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[11]</w:t>
      </w:r>
      <w:r w:rsidRPr="0093582B">
        <w:rPr>
          <w:rFonts w:ascii="Times New Roman" w:hAnsi="Times New Roman" w:cs="Times New Roman"/>
          <w:noProof/>
          <w:sz w:val="28"/>
          <w:szCs w:val="24"/>
        </w:rPr>
        <w:tab/>
        <w:t xml:space="preserve">A. Guekht, W. A. Hauser, L. Milchakova, Y. Churillin, A. Shpak, and E. Gusev, “The epidemiology of epilepsy in the Russian Federation,” </w:t>
      </w:r>
      <w:r w:rsidRPr="0093582B">
        <w:rPr>
          <w:rFonts w:ascii="Times New Roman" w:hAnsi="Times New Roman" w:cs="Times New Roman"/>
          <w:i/>
          <w:iCs/>
          <w:noProof/>
          <w:sz w:val="28"/>
          <w:szCs w:val="24"/>
        </w:rPr>
        <w:t>Epilepsy Res.</w:t>
      </w:r>
      <w:r w:rsidRPr="0093582B">
        <w:rPr>
          <w:rFonts w:ascii="Times New Roman" w:hAnsi="Times New Roman" w:cs="Times New Roman"/>
          <w:noProof/>
          <w:sz w:val="28"/>
          <w:szCs w:val="24"/>
        </w:rPr>
        <w:t>, vol. 92, no. 2–3, 2010, doi: 10.1016/j.eplepsyres.2010.09.011.</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[12]</w:t>
      </w:r>
      <w:r w:rsidRPr="0093582B">
        <w:rPr>
          <w:rFonts w:ascii="Times New Roman" w:hAnsi="Times New Roman" w:cs="Times New Roman"/>
          <w:noProof/>
          <w:sz w:val="28"/>
          <w:szCs w:val="24"/>
        </w:rPr>
        <w:tab/>
        <w:t xml:space="preserve">D. J. Thurman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“The primary prevention of epilepsy: A report of the Prevention Task Force of the International League Against Epilepsy,” </w:t>
      </w:r>
      <w:r w:rsidRPr="0093582B">
        <w:rPr>
          <w:rFonts w:ascii="Times New Roman" w:hAnsi="Times New Roman" w:cs="Times New Roman"/>
          <w:i/>
          <w:iCs/>
          <w:noProof/>
          <w:sz w:val="28"/>
          <w:szCs w:val="24"/>
        </w:rPr>
        <w:t>Epilepsia</w:t>
      </w:r>
      <w:r w:rsidRPr="0093582B">
        <w:rPr>
          <w:rFonts w:ascii="Times New Roman" w:hAnsi="Times New Roman" w:cs="Times New Roman"/>
          <w:noProof/>
          <w:sz w:val="28"/>
          <w:szCs w:val="24"/>
        </w:rPr>
        <w:t>, vol. 59, no. 5. 2018, doi: 10.1111/epi.14068.</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[13]</w:t>
      </w:r>
      <w:r w:rsidRPr="0093582B">
        <w:rPr>
          <w:rFonts w:ascii="Times New Roman" w:hAnsi="Times New Roman" w:cs="Times New Roman"/>
          <w:noProof/>
          <w:sz w:val="28"/>
          <w:szCs w:val="24"/>
        </w:rPr>
        <w:tab/>
        <w:t xml:space="preserve"> Александров М.В. и соавт., “Структурно-функциональная организация эпилептического очага. Российский нейрохирургический журнал им. профессора А.П. Поленова,” </w:t>
      </w:r>
      <w:r w:rsidRPr="0093582B">
        <w:rPr>
          <w:rFonts w:ascii="Times New Roman" w:hAnsi="Times New Roman" w:cs="Times New Roman"/>
          <w:i/>
          <w:iCs/>
          <w:noProof/>
          <w:sz w:val="28"/>
          <w:szCs w:val="24"/>
        </w:rPr>
        <w:t>Российский нейрохирургический журнал им. профессора А.П. Поленова</w:t>
      </w:r>
      <w:r w:rsidRPr="0093582B">
        <w:rPr>
          <w:rFonts w:ascii="Times New Roman" w:hAnsi="Times New Roman" w:cs="Times New Roman"/>
          <w:noProof/>
          <w:sz w:val="28"/>
          <w:szCs w:val="24"/>
        </w:rPr>
        <w:t>, pp. 5–9, 2017.</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[14]</w:t>
      </w:r>
      <w:r w:rsidRPr="0093582B">
        <w:rPr>
          <w:rFonts w:ascii="Times New Roman" w:hAnsi="Times New Roman" w:cs="Times New Roman"/>
          <w:noProof/>
          <w:sz w:val="28"/>
          <w:szCs w:val="24"/>
        </w:rPr>
        <w:tab/>
        <w:t xml:space="preserve">Гусев Е.И. и соавт., “Эпидемиология и медико-социальные аспекты болезней мозга в РФ.,” </w:t>
      </w:r>
      <w:r w:rsidRPr="0093582B">
        <w:rPr>
          <w:rFonts w:ascii="Times New Roman" w:hAnsi="Times New Roman" w:cs="Times New Roman"/>
          <w:i/>
          <w:iCs/>
          <w:noProof/>
          <w:sz w:val="28"/>
          <w:szCs w:val="24"/>
        </w:rPr>
        <w:t>Болезни мозга – медицинские и социальные аспекты – материалы международной конференции.Под редакцией Е.И. Гусева А.Б.Г. Москва Буки-Веди</w:t>
      </w:r>
      <w:r w:rsidRPr="0093582B">
        <w:rPr>
          <w:rFonts w:ascii="Times New Roman" w:hAnsi="Times New Roman" w:cs="Times New Roman"/>
          <w:noProof/>
          <w:sz w:val="28"/>
          <w:szCs w:val="24"/>
        </w:rPr>
        <w:t>, pp. 27–46, 2016.</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[15]</w:t>
      </w:r>
      <w:r w:rsidRPr="0093582B">
        <w:rPr>
          <w:rFonts w:ascii="Times New Roman" w:hAnsi="Times New Roman" w:cs="Times New Roman"/>
          <w:noProof/>
          <w:sz w:val="28"/>
          <w:szCs w:val="24"/>
        </w:rPr>
        <w:tab/>
        <w:t xml:space="preserve">A. G. Holst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“Epilepsy and risk of death and sudden unexpected death in the young: A nationwide study,” </w:t>
      </w:r>
      <w:r w:rsidRPr="0093582B">
        <w:rPr>
          <w:rFonts w:ascii="Times New Roman" w:hAnsi="Times New Roman" w:cs="Times New Roman"/>
          <w:i/>
          <w:iCs/>
          <w:noProof/>
          <w:sz w:val="28"/>
          <w:szCs w:val="24"/>
        </w:rPr>
        <w:t>Epilepsia</w:t>
      </w:r>
      <w:r w:rsidRPr="0093582B">
        <w:rPr>
          <w:rFonts w:ascii="Times New Roman" w:hAnsi="Times New Roman" w:cs="Times New Roman"/>
          <w:noProof/>
          <w:sz w:val="28"/>
          <w:szCs w:val="24"/>
        </w:rPr>
        <w:t>, vol. 54, no. 9, 2013, doi: 10.1111/epi.12328.</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[16]</w:t>
      </w:r>
      <w:r w:rsidRPr="0093582B">
        <w:rPr>
          <w:rFonts w:ascii="Times New Roman" w:hAnsi="Times New Roman" w:cs="Times New Roman"/>
          <w:noProof/>
          <w:sz w:val="28"/>
          <w:szCs w:val="24"/>
        </w:rPr>
        <w:tab/>
        <w:t xml:space="preserve">M. M. Zarrelli, E. Beghi, W. A. Rocca, and W. A. Hauser, “Incidence of epileptic syndromes in Rochester, Minnesota: 1980-1984,” </w:t>
      </w:r>
      <w:r w:rsidRPr="0093582B">
        <w:rPr>
          <w:rFonts w:ascii="Times New Roman" w:hAnsi="Times New Roman" w:cs="Times New Roman"/>
          <w:i/>
          <w:iCs/>
          <w:noProof/>
          <w:sz w:val="28"/>
          <w:szCs w:val="24"/>
        </w:rPr>
        <w:t>Epilepsia</w:t>
      </w:r>
      <w:r w:rsidRPr="0093582B">
        <w:rPr>
          <w:rFonts w:ascii="Times New Roman" w:hAnsi="Times New Roman" w:cs="Times New Roman"/>
          <w:noProof/>
          <w:sz w:val="28"/>
          <w:szCs w:val="24"/>
        </w:rPr>
        <w:t>, vol. 40, no. 12, 1999, doi: 10.1111/j.1528-1157.1999.tb01587.x.</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[17]</w:t>
      </w:r>
      <w:r w:rsidRPr="0093582B">
        <w:rPr>
          <w:rFonts w:ascii="Times New Roman" w:hAnsi="Times New Roman" w:cs="Times New Roman"/>
          <w:noProof/>
          <w:sz w:val="28"/>
          <w:szCs w:val="24"/>
        </w:rPr>
        <w:tab/>
        <w:t xml:space="preserve">Мухин К.Ю., “Палеокортикальная височная эпилепсия, обусловленная </w:t>
      </w:r>
      <w:r w:rsidRPr="0093582B">
        <w:rPr>
          <w:rFonts w:ascii="Times New Roman" w:hAnsi="Times New Roman" w:cs="Times New Roman"/>
          <w:noProof/>
          <w:sz w:val="28"/>
          <w:szCs w:val="24"/>
        </w:rPr>
        <w:lastRenderedPageBreak/>
        <w:t xml:space="preserve">мезиальным височным склерозом: клиника, диагностика и лечение (обзор литературы),” </w:t>
      </w:r>
      <w:r w:rsidRPr="0093582B">
        <w:rPr>
          <w:rFonts w:ascii="Times New Roman" w:hAnsi="Times New Roman" w:cs="Times New Roman"/>
          <w:i/>
          <w:iCs/>
          <w:noProof/>
          <w:sz w:val="28"/>
          <w:szCs w:val="24"/>
        </w:rPr>
        <w:t>Российский журнал детской</w:t>
      </w:r>
      <w:r w:rsidRPr="0093582B">
        <w:rPr>
          <w:rFonts w:ascii="Times New Roman" w:hAnsi="Times New Roman" w:cs="Times New Roman"/>
          <w:noProof/>
          <w:sz w:val="28"/>
          <w:szCs w:val="24"/>
        </w:rPr>
        <w:t>, pp. 41–60, 2008.</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[18]</w:t>
      </w:r>
      <w:r w:rsidRPr="0093582B">
        <w:rPr>
          <w:rFonts w:ascii="Times New Roman" w:hAnsi="Times New Roman" w:cs="Times New Roman"/>
          <w:noProof/>
          <w:sz w:val="28"/>
          <w:szCs w:val="24"/>
        </w:rPr>
        <w:tab/>
        <w:t xml:space="preserve">L. Kalilani, X. Sun, B. Pelgrims, M. Noack-Rink, and V. Villanueva, “The epidemiology of drug-resistant epilepsy: A systematic review and meta-analysis,” </w:t>
      </w:r>
      <w:r w:rsidRPr="0093582B">
        <w:rPr>
          <w:rFonts w:ascii="Times New Roman" w:hAnsi="Times New Roman" w:cs="Times New Roman"/>
          <w:i/>
          <w:iCs/>
          <w:noProof/>
          <w:sz w:val="28"/>
          <w:szCs w:val="24"/>
        </w:rPr>
        <w:t>Epilepsia</w:t>
      </w:r>
      <w:r w:rsidRPr="0093582B">
        <w:rPr>
          <w:rFonts w:ascii="Times New Roman" w:hAnsi="Times New Roman" w:cs="Times New Roman"/>
          <w:noProof/>
          <w:sz w:val="28"/>
          <w:szCs w:val="24"/>
        </w:rPr>
        <w:t>, vol. 59, no. 12, 2018, doi: 10.1111/epi.14596.</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[19]</w:t>
      </w:r>
      <w:r w:rsidRPr="0093582B">
        <w:rPr>
          <w:rFonts w:ascii="Times New Roman" w:hAnsi="Times New Roman" w:cs="Times New Roman"/>
          <w:noProof/>
          <w:sz w:val="28"/>
          <w:szCs w:val="24"/>
        </w:rPr>
        <w:tab/>
        <w:t>Ассоциация нейрохирургов России, “Эпилепсия и эпилептический статус у взрослых и детей. Клинические рекомендации,” 2021.</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[20]</w:t>
      </w:r>
      <w:r w:rsidRPr="0093582B">
        <w:rPr>
          <w:rFonts w:ascii="Times New Roman" w:hAnsi="Times New Roman" w:cs="Times New Roman"/>
          <w:noProof/>
          <w:sz w:val="28"/>
          <w:szCs w:val="24"/>
        </w:rPr>
        <w:tab/>
        <w:t xml:space="preserve">A. Fattorusso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“The Pharmacoresistant Epilepsy: An Overview on Existant and New Emerging Therapies,” </w:t>
      </w:r>
      <w:r w:rsidRPr="0093582B">
        <w:rPr>
          <w:rFonts w:ascii="Times New Roman" w:hAnsi="Times New Roman" w:cs="Times New Roman"/>
          <w:i/>
          <w:iCs/>
          <w:noProof/>
          <w:sz w:val="28"/>
          <w:szCs w:val="24"/>
        </w:rPr>
        <w:t>Frontiers in Neurology</w:t>
      </w:r>
      <w:r w:rsidRPr="0093582B">
        <w:rPr>
          <w:rFonts w:ascii="Times New Roman" w:hAnsi="Times New Roman" w:cs="Times New Roman"/>
          <w:noProof/>
          <w:sz w:val="28"/>
          <w:szCs w:val="24"/>
        </w:rPr>
        <w:t>, vol. 12. 2021, doi: 10.3389/fneur.2021.674483.</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[21]</w:t>
      </w:r>
      <w:r w:rsidRPr="0093582B">
        <w:rPr>
          <w:rFonts w:ascii="Times New Roman" w:hAnsi="Times New Roman" w:cs="Times New Roman"/>
          <w:noProof/>
          <w:sz w:val="28"/>
          <w:szCs w:val="24"/>
        </w:rPr>
        <w:tab/>
        <w:t xml:space="preserve">D. J. Thurman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“The burden of premature mortality of epilepsy in high-income countries: A systematic review from the Mortality Task Force of the International League Against Epilepsy,” </w:t>
      </w:r>
      <w:r w:rsidRPr="0093582B">
        <w:rPr>
          <w:rFonts w:ascii="Times New Roman" w:hAnsi="Times New Roman" w:cs="Times New Roman"/>
          <w:i/>
          <w:iCs/>
          <w:noProof/>
          <w:sz w:val="28"/>
          <w:szCs w:val="24"/>
        </w:rPr>
        <w:t>Epilepsia</w:t>
      </w:r>
      <w:r w:rsidRPr="0093582B">
        <w:rPr>
          <w:rFonts w:ascii="Times New Roman" w:hAnsi="Times New Roman" w:cs="Times New Roman"/>
          <w:noProof/>
          <w:sz w:val="28"/>
          <w:szCs w:val="24"/>
        </w:rPr>
        <w:t>, vol. 58, no. 1. 2017, doi: 10.1111/epi.13604.</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[22]</w:t>
      </w:r>
      <w:r w:rsidRPr="0093582B">
        <w:rPr>
          <w:rFonts w:ascii="Times New Roman" w:hAnsi="Times New Roman" w:cs="Times New Roman"/>
          <w:noProof/>
          <w:sz w:val="28"/>
          <w:szCs w:val="24"/>
        </w:rPr>
        <w:tab/>
        <w:t xml:space="preserve">L. Dalic and M. J. Cook, “Managing drug-resistant epilepsy: Challenges and solutions,” </w:t>
      </w:r>
      <w:r w:rsidRPr="0093582B">
        <w:rPr>
          <w:rFonts w:ascii="Times New Roman" w:hAnsi="Times New Roman" w:cs="Times New Roman"/>
          <w:i/>
          <w:iCs/>
          <w:noProof/>
          <w:sz w:val="28"/>
          <w:szCs w:val="24"/>
        </w:rPr>
        <w:t>Neuropsychiatric Disease and Treatment</w:t>
      </w:r>
      <w:r w:rsidRPr="0093582B">
        <w:rPr>
          <w:rFonts w:ascii="Times New Roman" w:hAnsi="Times New Roman" w:cs="Times New Roman"/>
          <w:noProof/>
          <w:sz w:val="28"/>
          <w:szCs w:val="24"/>
        </w:rPr>
        <w:t>, vol. 12. 2016, doi: 10.2147/NDT.S84852.</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[23]</w:t>
      </w:r>
      <w:r w:rsidRPr="0093582B">
        <w:rPr>
          <w:rFonts w:ascii="Times New Roman" w:hAnsi="Times New Roman" w:cs="Times New Roman"/>
          <w:noProof/>
          <w:sz w:val="28"/>
          <w:szCs w:val="24"/>
        </w:rPr>
        <w:tab/>
        <w:t xml:space="preserve">Z. Chen, M. J. Brodie, D. Liew, and P. Kwan, “Treatment outcomes in patients with newly diagnosed epilepsy treated with established and new antiepileptic drugs a 30-year longitudinal cohort study,” </w:t>
      </w:r>
      <w:r w:rsidRPr="0093582B">
        <w:rPr>
          <w:rFonts w:ascii="Times New Roman" w:hAnsi="Times New Roman" w:cs="Times New Roman"/>
          <w:i/>
          <w:iCs/>
          <w:noProof/>
          <w:sz w:val="28"/>
          <w:szCs w:val="24"/>
        </w:rPr>
        <w:t>JAMA Neurol.</w:t>
      </w:r>
      <w:r w:rsidRPr="0093582B">
        <w:rPr>
          <w:rFonts w:ascii="Times New Roman" w:hAnsi="Times New Roman" w:cs="Times New Roman"/>
          <w:noProof/>
          <w:sz w:val="28"/>
          <w:szCs w:val="24"/>
        </w:rPr>
        <w:t>, vol. 75, no. 3, 2018, doi: 10.1001/jamaneurol.2017.3949.</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[24]</w:t>
      </w:r>
      <w:r w:rsidRPr="0093582B">
        <w:rPr>
          <w:rFonts w:ascii="Times New Roman" w:hAnsi="Times New Roman" w:cs="Times New Roman"/>
          <w:noProof/>
          <w:sz w:val="28"/>
          <w:szCs w:val="24"/>
        </w:rPr>
        <w:tab/>
        <w:t xml:space="preserve">H. Zhang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“Hippocampal neurogenesis and neural circuit formation in a cuprizone-induced multiple sclerosis mouse model,” </w:t>
      </w:r>
      <w:r w:rsidRPr="0093582B">
        <w:rPr>
          <w:rFonts w:ascii="Times New Roman" w:hAnsi="Times New Roman" w:cs="Times New Roman"/>
          <w:i/>
          <w:iCs/>
          <w:noProof/>
          <w:sz w:val="28"/>
          <w:szCs w:val="24"/>
        </w:rPr>
        <w:t>J. Neurosci.</w:t>
      </w:r>
      <w:r w:rsidRPr="0093582B">
        <w:rPr>
          <w:rFonts w:ascii="Times New Roman" w:hAnsi="Times New Roman" w:cs="Times New Roman"/>
          <w:noProof/>
          <w:sz w:val="28"/>
          <w:szCs w:val="24"/>
        </w:rPr>
        <w:t>, vol. 40, no. 2, 2020, doi: 10.1523/JNEUROSCI.0866-19.2019.</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[25]</w:t>
      </w:r>
      <w:r w:rsidRPr="0093582B">
        <w:rPr>
          <w:rFonts w:ascii="Times New Roman" w:hAnsi="Times New Roman" w:cs="Times New Roman"/>
          <w:noProof/>
          <w:sz w:val="28"/>
          <w:szCs w:val="24"/>
        </w:rPr>
        <w:tab/>
        <w:t xml:space="preserve">E. R.E.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“Anterior temporal lobectomy with amygdalohippocampectomy for mesial temporal sclerosis: Predictors of long-term seizure control,” </w:t>
      </w:r>
      <w:r w:rsidRPr="0093582B">
        <w:rPr>
          <w:rFonts w:ascii="Times New Roman" w:hAnsi="Times New Roman" w:cs="Times New Roman"/>
          <w:i/>
          <w:iCs/>
          <w:noProof/>
          <w:sz w:val="28"/>
          <w:szCs w:val="24"/>
        </w:rPr>
        <w:t>J. Neurosurg.</w:t>
      </w:r>
      <w:r w:rsidRPr="0093582B">
        <w:rPr>
          <w:rFonts w:ascii="Times New Roman" w:hAnsi="Times New Roman" w:cs="Times New Roman"/>
          <w:noProof/>
          <w:sz w:val="28"/>
          <w:szCs w:val="24"/>
        </w:rPr>
        <w:t>, vol. 119, no. 2, 2013.</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[26]</w:t>
      </w:r>
      <w:r w:rsidRPr="0093582B">
        <w:rPr>
          <w:rFonts w:ascii="Times New Roman" w:hAnsi="Times New Roman" w:cs="Times New Roman"/>
          <w:noProof/>
          <w:sz w:val="28"/>
          <w:szCs w:val="24"/>
        </w:rPr>
        <w:tab/>
        <w:t xml:space="preserve">J. Ivanovic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“Seizure outcomes of temporal lobe epilepsy surgery in </w:t>
      </w:r>
      <w:r w:rsidRPr="0093582B">
        <w:rPr>
          <w:rFonts w:ascii="Times New Roman" w:hAnsi="Times New Roman" w:cs="Times New Roman"/>
          <w:noProof/>
          <w:sz w:val="28"/>
          <w:szCs w:val="24"/>
        </w:rPr>
        <w:lastRenderedPageBreak/>
        <w:t xml:space="preserve">patients with normal MRI and without specific histopathology,” </w:t>
      </w:r>
      <w:r w:rsidRPr="0093582B">
        <w:rPr>
          <w:rFonts w:ascii="Times New Roman" w:hAnsi="Times New Roman" w:cs="Times New Roman"/>
          <w:i/>
          <w:iCs/>
          <w:noProof/>
          <w:sz w:val="28"/>
          <w:szCs w:val="24"/>
        </w:rPr>
        <w:t>Acta Neurochir. (Wien).</w:t>
      </w:r>
      <w:r w:rsidRPr="0093582B">
        <w:rPr>
          <w:rFonts w:ascii="Times New Roman" w:hAnsi="Times New Roman" w:cs="Times New Roman"/>
          <w:noProof/>
          <w:sz w:val="28"/>
          <w:szCs w:val="24"/>
        </w:rPr>
        <w:t>, vol. 159, no. 5, 2017, doi: 10.1007/s00701-017-3127-y.</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[27]</w:t>
      </w:r>
      <w:r w:rsidRPr="0093582B">
        <w:rPr>
          <w:rFonts w:ascii="Times New Roman" w:hAnsi="Times New Roman" w:cs="Times New Roman"/>
          <w:noProof/>
          <w:sz w:val="28"/>
          <w:szCs w:val="24"/>
        </w:rPr>
        <w:tab/>
        <w:t xml:space="preserve">J. W. Miller and S. Hakimian, “Surgical treatment of epilepsy,” </w:t>
      </w:r>
      <w:r w:rsidRPr="0093582B">
        <w:rPr>
          <w:rFonts w:ascii="Times New Roman" w:hAnsi="Times New Roman" w:cs="Times New Roman"/>
          <w:i/>
          <w:iCs/>
          <w:noProof/>
          <w:sz w:val="28"/>
          <w:szCs w:val="24"/>
        </w:rPr>
        <w:t>CONTINUUM Lifelong Learning in Neurology</w:t>
      </w:r>
      <w:r w:rsidRPr="0093582B">
        <w:rPr>
          <w:rFonts w:ascii="Times New Roman" w:hAnsi="Times New Roman" w:cs="Times New Roman"/>
          <w:noProof/>
          <w:sz w:val="28"/>
          <w:szCs w:val="24"/>
        </w:rPr>
        <w:t>, vol. 19, no. 3. 2013, doi: 10.1212/01.CON.0000431398.69594.97.</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[28]</w:t>
      </w:r>
      <w:r w:rsidRPr="0093582B">
        <w:rPr>
          <w:rFonts w:ascii="Times New Roman" w:hAnsi="Times New Roman" w:cs="Times New Roman"/>
          <w:noProof/>
          <w:sz w:val="28"/>
          <w:szCs w:val="24"/>
        </w:rPr>
        <w:tab/>
        <w:t xml:space="preserve">Карлов В.А, </w:t>
      </w:r>
      <w:r w:rsidRPr="0093582B">
        <w:rPr>
          <w:rFonts w:ascii="Times New Roman" w:hAnsi="Times New Roman" w:cs="Times New Roman"/>
          <w:i/>
          <w:iCs/>
          <w:noProof/>
          <w:sz w:val="28"/>
          <w:szCs w:val="24"/>
        </w:rPr>
        <w:t>Эпилепсия у детей и взрослых женщин и мужчин. 2-е издание</w:t>
      </w:r>
      <w:r w:rsidRPr="0093582B">
        <w:rPr>
          <w:rFonts w:ascii="Times New Roman" w:hAnsi="Times New Roman" w:cs="Times New Roman"/>
          <w:noProof/>
          <w:sz w:val="28"/>
          <w:szCs w:val="24"/>
        </w:rPr>
        <w:t>. 2019.</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[29]</w:t>
      </w:r>
      <w:r w:rsidRPr="0093582B">
        <w:rPr>
          <w:rFonts w:ascii="Times New Roman" w:hAnsi="Times New Roman" w:cs="Times New Roman"/>
          <w:noProof/>
          <w:sz w:val="28"/>
          <w:szCs w:val="24"/>
        </w:rPr>
        <w:tab/>
        <w:t xml:space="preserve">M. C. Walker, “Hippocampal sclerosis: Causes and prevention,” </w:t>
      </w:r>
      <w:r w:rsidRPr="0093582B">
        <w:rPr>
          <w:rFonts w:ascii="Times New Roman" w:hAnsi="Times New Roman" w:cs="Times New Roman"/>
          <w:i/>
          <w:iCs/>
          <w:noProof/>
          <w:sz w:val="28"/>
          <w:szCs w:val="24"/>
        </w:rPr>
        <w:t>Semin. Neurol.</w:t>
      </w:r>
      <w:r w:rsidRPr="0093582B">
        <w:rPr>
          <w:rFonts w:ascii="Times New Roman" w:hAnsi="Times New Roman" w:cs="Times New Roman"/>
          <w:noProof/>
          <w:sz w:val="28"/>
          <w:szCs w:val="24"/>
        </w:rPr>
        <w:t>, vol. 35, no. 3, pp. 193–200, Jun. 2015, doi: 10.1055/s-0035-1552618.</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[30]</w:t>
      </w:r>
      <w:r w:rsidRPr="0093582B">
        <w:rPr>
          <w:rFonts w:ascii="Times New Roman" w:hAnsi="Times New Roman" w:cs="Times New Roman"/>
          <w:noProof/>
          <w:sz w:val="28"/>
          <w:szCs w:val="24"/>
        </w:rPr>
        <w:tab/>
        <w:t xml:space="preserve">J. Janszky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“Temporal lobe epilepsy with hippocampal sclerosis: Predictors for long-term surgical outcome,” </w:t>
      </w:r>
      <w:r w:rsidRPr="0093582B">
        <w:rPr>
          <w:rFonts w:ascii="Times New Roman" w:hAnsi="Times New Roman" w:cs="Times New Roman"/>
          <w:i/>
          <w:iCs/>
          <w:noProof/>
          <w:sz w:val="28"/>
          <w:szCs w:val="24"/>
        </w:rPr>
        <w:t>Brain</w:t>
      </w:r>
      <w:r w:rsidRPr="0093582B">
        <w:rPr>
          <w:rFonts w:ascii="Times New Roman" w:hAnsi="Times New Roman" w:cs="Times New Roman"/>
          <w:noProof/>
          <w:sz w:val="28"/>
          <w:szCs w:val="24"/>
        </w:rPr>
        <w:t>, vol. 128, no. 2, 2005, doi: 10.1093/brain/awh358.</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[31]</w:t>
      </w:r>
      <w:r w:rsidRPr="0093582B">
        <w:rPr>
          <w:rFonts w:ascii="Times New Roman" w:hAnsi="Times New Roman" w:cs="Times New Roman"/>
          <w:noProof/>
          <w:sz w:val="28"/>
          <w:szCs w:val="24"/>
        </w:rPr>
        <w:tab/>
        <w:t xml:space="preserve">X. Y. Tai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“Review: Neurodegenerative processes in temporal lobe epilepsy with hippocampal sclerosis: Clinical, pathological and neuroimaging evidence,” </w:t>
      </w:r>
      <w:r w:rsidRPr="0093582B">
        <w:rPr>
          <w:rFonts w:ascii="Times New Roman" w:hAnsi="Times New Roman" w:cs="Times New Roman"/>
          <w:i/>
          <w:iCs/>
          <w:noProof/>
          <w:sz w:val="28"/>
          <w:szCs w:val="24"/>
        </w:rPr>
        <w:t>Neuropathology and Applied Neurobiology</w:t>
      </w:r>
      <w:r w:rsidRPr="0093582B">
        <w:rPr>
          <w:rFonts w:ascii="Times New Roman" w:hAnsi="Times New Roman" w:cs="Times New Roman"/>
          <w:noProof/>
          <w:sz w:val="28"/>
          <w:szCs w:val="24"/>
        </w:rPr>
        <w:t>, vol. 44, no. 1. 2018, doi: 10.1111/nan.12458.</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[32]</w:t>
      </w:r>
      <w:r w:rsidRPr="0093582B">
        <w:rPr>
          <w:rFonts w:ascii="Times New Roman" w:hAnsi="Times New Roman" w:cs="Times New Roman"/>
          <w:noProof/>
          <w:sz w:val="28"/>
          <w:szCs w:val="24"/>
        </w:rPr>
        <w:tab/>
        <w:t xml:space="preserve">I. Blümcke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“International consensus classification of hippocampal sclerosis in temporal lobe epilepsy: A Task Force report from the ILAE Commission on Diagnostic Methods,” </w:t>
      </w:r>
      <w:r w:rsidRPr="0093582B">
        <w:rPr>
          <w:rFonts w:ascii="Times New Roman" w:hAnsi="Times New Roman" w:cs="Times New Roman"/>
          <w:i/>
          <w:iCs/>
          <w:noProof/>
          <w:sz w:val="28"/>
          <w:szCs w:val="24"/>
        </w:rPr>
        <w:t>Epilepsia</w:t>
      </w:r>
      <w:r w:rsidRPr="0093582B">
        <w:rPr>
          <w:rFonts w:ascii="Times New Roman" w:hAnsi="Times New Roman" w:cs="Times New Roman"/>
          <w:noProof/>
          <w:sz w:val="28"/>
          <w:szCs w:val="24"/>
        </w:rPr>
        <w:t>, vol. 54, no. 7, 2013, doi: 10.1111/epi.12220.</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[33]</w:t>
      </w:r>
      <w:r w:rsidRPr="0093582B">
        <w:rPr>
          <w:rFonts w:ascii="Times New Roman" w:hAnsi="Times New Roman" w:cs="Times New Roman"/>
          <w:noProof/>
          <w:sz w:val="28"/>
          <w:szCs w:val="24"/>
        </w:rPr>
        <w:tab/>
        <w:t xml:space="preserve">R. S. Fisher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“Instruction manual for the ILAE 2017 operational classification of seizure types,” </w:t>
      </w:r>
      <w:r w:rsidRPr="0093582B">
        <w:rPr>
          <w:rFonts w:ascii="Times New Roman" w:hAnsi="Times New Roman" w:cs="Times New Roman"/>
          <w:i/>
          <w:iCs/>
          <w:noProof/>
          <w:sz w:val="28"/>
          <w:szCs w:val="24"/>
        </w:rPr>
        <w:t>Epilepsia</w:t>
      </w:r>
      <w:r w:rsidRPr="0093582B">
        <w:rPr>
          <w:rFonts w:ascii="Times New Roman" w:hAnsi="Times New Roman" w:cs="Times New Roman"/>
          <w:noProof/>
          <w:sz w:val="28"/>
          <w:szCs w:val="24"/>
        </w:rPr>
        <w:t>, vol. 58, no. 4, 2017, doi: 10.1111/epi.13671.</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[34]</w:t>
      </w:r>
      <w:r w:rsidRPr="0093582B">
        <w:rPr>
          <w:rFonts w:ascii="Times New Roman" w:hAnsi="Times New Roman" w:cs="Times New Roman"/>
          <w:noProof/>
          <w:sz w:val="28"/>
          <w:szCs w:val="24"/>
        </w:rPr>
        <w:tab/>
        <w:t xml:space="preserve">I. Blümcke, R. Coras, H. Miyata, and C. Özkara, “Defining clinico-neuropathological subtypes of mesial temporal lobe epilepsy with hippocampal sclerosis,” in </w:t>
      </w:r>
      <w:r w:rsidRPr="0093582B">
        <w:rPr>
          <w:rFonts w:ascii="Times New Roman" w:hAnsi="Times New Roman" w:cs="Times New Roman"/>
          <w:i/>
          <w:iCs/>
          <w:noProof/>
          <w:sz w:val="28"/>
          <w:szCs w:val="24"/>
        </w:rPr>
        <w:t>Brain Pathology</w:t>
      </w:r>
      <w:r w:rsidRPr="0093582B">
        <w:rPr>
          <w:rFonts w:ascii="Times New Roman" w:hAnsi="Times New Roman" w:cs="Times New Roman"/>
          <w:noProof/>
          <w:sz w:val="28"/>
          <w:szCs w:val="24"/>
        </w:rPr>
        <w:t>, 2012, vol. 22, no. 3, doi: 10.1111/j.1750-3639.2012.00583.x.</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[35]</w:t>
      </w:r>
      <w:r w:rsidRPr="0093582B">
        <w:rPr>
          <w:rFonts w:ascii="Times New Roman" w:hAnsi="Times New Roman" w:cs="Times New Roman"/>
          <w:noProof/>
          <w:sz w:val="28"/>
          <w:szCs w:val="24"/>
        </w:rPr>
        <w:tab/>
        <w:t xml:space="preserve">C. Helmstaedter, “Cognitive outcomes of different surgical approaches in </w:t>
      </w:r>
      <w:r w:rsidRPr="0093582B">
        <w:rPr>
          <w:rFonts w:ascii="Times New Roman" w:hAnsi="Times New Roman" w:cs="Times New Roman"/>
          <w:noProof/>
          <w:sz w:val="28"/>
          <w:szCs w:val="24"/>
        </w:rPr>
        <w:lastRenderedPageBreak/>
        <w:t xml:space="preserve">temporal lobe epilepsy,” </w:t>
      </w:r>
      <w:r w:rsidRPr="0093582B">
        <w:rPr>
          <w:rFonts w:ascii="Times New Roman" w:hAnsi="Times New Roman" w:cs="Times New Roman"/>
          <w:i/>
          <w:iCs/>
          <w:noProof/>
          <w:sz w:val="28"/>
          <w:szCs w:val="24"/>
        </w:rPr>
        <w:t>Epileptic Disorders</w:t>
      </w:r>
      <w:r w:rsidRPr="0093582B">
        <w:rPr>
          <w:rFonts w:ascii="Times New Roman" w:hAnsi="Times New Roman" w:cs="Times New Roman"/>
          <w:noProof/>
          <w:sz w:val="28"/>
          <w:szCs w:val="24"/>
        </w:rPr>
        <w:t>, vol. 15, no. 3. 2013, doi: 10.1684/epd.2013.0587.</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[36]</w:t>
      </w:r>
      <w:r w:rsidRPr="0093582B">
        <w:rPr>
          <w:rFonts w:ascii="Times New Roman" w:hAnsi="Times New Roman" w:cs="Times New Roman"/>
          <w:noProof/>
          <w:sz w:val="28"/>
          <w:szCs w:val="24"/>
        </w:rPr>
        <w:tab/>
        <w:t xml:space="preserve">C. Barba </w:t>
      </w:r>
      <w:r w:rsidRPr="0093582B">
        <w:rPr>
          <w:rFonts w:ascii="Times New Roman" w:hAnsi="Times New Roman" w:cs="Times New Roman"/>
          <w:i/>
          <w:iCs/>
          <w:noProof/>
          <w:sz w:val="28"/>
          <w:szCs w:val="24"/>
        </w:rPr>
        <w:t>et al.</w:t>
      </w:r>
      <w:r w:rsidRPr="0093582B">
        <w:rPr>
          <w:rFonts w:ascii="Times New Roman" w:hAnsi="Times New Roman" w:cs="Times New Roman"/>
          <w:noProof/>
          <w:sz w:val="28"/>
          <w:szCs w:val="24"/>
        </w:rPr>
        <w:t xml:space="preserve">, “Trends in pediatric epilepsy surgery in Europe between 2008 and 2015: Country-, center-, and age-specific variation,” </w:t>
      </w:r>
      <w:r w:rsidRPr="0093582B">
        <w:rPr>
          <w:rFonts w:ascii="Times New Roman" w:hAnsi="Times New Roman" w:cs="Times New Roman"/>
          <w:i/>
          <w:iCs/>
          <w:noProof/>
          <w:sz w:val="28"/>
          <w:szCs w:val="24"/>
        </w:rPr>
        <w:t>Epilepsia</w:t>
      </w:r>
      <w:r w:rsidRPr="0093582B">
        <w:rPr>
          <w:rFonts w:ascii="Times New Roman" w:hAnsi="Times New Roman" w:cs="Times New Roman"/>
          <w:noProof/>
          <w:sz w:val="28"/>
          <w:szCs w:val="24"/>
        </w:rPr>
        <w:t>, vol. 61, no. 2, 2020, doi: 10.1111/epi.16414.</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[37]</w:t>
      </w:r>
      <w:r w:rsidRPr="0093582B">
        <w:rPr>
          <w:rFonts w:ascii="Times New Roman" w:hAnsi="Times New Roman" w:cs="Times New Roman"/>
          <w:noProof/>
          <w:sz w:val="28"/>
          <w:szCs w:val="24"/>
        </w:rPr>
        <w:tab/>
        <w:t xml:space="preserve">P. Parra-Díaz and N. García-Casares, “Memory assessment in patients with temporal lobe epilepsy to predict memory impairment after surgery: A systematic review,” </w:t>
      </w:r>
      <w:r w:rsidRPr="0093582B">
        <w:rPr>
          <w:rFonts w:ascii="Times New Roman" w:hAnsi="Times New Roman" w:cs="Times New Roman"/>
          <w:i/>
          <w:iCs/>
          <w:noProof/>
          <w:sz w:val="28"/>
          <w:szCs w:val="24"/>
        </w:rPr>
        <w:t>Neurologia</w:t>
      </w:r>
      <w:r w:rsidRPr="0093582B">
        <w:rPr>
          <w:rFonts w:ascii="Times New Roman" w:hAnsi="Times New Roman" w:cs="Times New Roman"/>
          <w:noProof/>
          <w:sz w:val="28"/>
          <w:szCs w:val="24"/>
        </w:rPr>
        <w:t>, vol. 34, no. 9. 2019, doi: 10.1016/j.nrl.2017.02.012.</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[38]</w:t>
      </w:r>
      <w:r w:rsidRPr="0093582B">
        <w:rPr>
          <w:rFonts w:ascii="Times New Roman" w:hAnsi="Times New Roman" w:cs="Times New Roman"/>
          <w:noProof/>
          <w:sz w:val="28"/>
          <w:szCs w:val="24"/>
        </w:rPr>
        <w:tab/>
        <w:t xml:space="preserve">В. В. Крылов, </w:t>
      </w:r>
      <w:r w:rsidRPr="0093582B">
        <w:rPr>
          <w:rFonts w:ascii="Times New Roman" w:hAnsi="Times New Roman" w:cs="Times New Roman"/>
          <w:i/>
          <w:iCs/>
          <w:noProof/>
          <w:sz w:val="28"/>
          <w:szCs w:val="24"/>
        </w:rPr>
        <w:t>Хирургия эпилепсии</w:t>
      </w:r>
      <w:r w:rsidRPr="0093582B">
        <w:rPr>
          <w:rFonts w:ascii="Times New Roman" w:hAnsi="Times New Roman" w:cs="Times New Roman"/>
          <w:noProof/>
          <w:sz w:val="28"/>
          <w:szCs w:val="24"/>
        </w:rPr>
        <w:t>. 2015.</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[39]</w:t>
      </w:r>
      <w:r w:rsidRPr="0093582B">
        <w:rPr>
          <w:rFonts w:ascii="Times New Roman" w:hAnsi="Times New Roman" w:cs="Times New Roman"/>
          <w:noProof/>
          <w:sz w:val="28"/>
          <w:szCs w:val="24"/>
        </w:rPr>
        <w:tab/>
        <w:t xml:space="preserve">Александров М.В. и соавт., </w:t>
      </w:r>
      <w:r w:rsidRPr="0093582B">
        <w:rPr>
          <w:rFonts w:ascii="Times New Roman" w:hAnsi="Times New Roman" w:cs="Times New Roman"/>
          <w:i/>
          <w:iCs/>
          <w:noProof/>
          <w:sz w:val="28"/>
          <w:szCs w:val="24"/>
        </w:rPr>
        <w:t>Нейрофизиологический интраоперационный мониторинг в нейрохирургии: руководство. 2e изд. СПб</w:t>
      </w:r>
      <w:r w:rsidRPr="0093582B">
        <w:rPr>
          <w:rFonts w:ascii="Times New Roman" w:hAnsi="Times New Roman" w:cs="Times New Roman"/>
          <w:noProof/>
          <w:sz w:val="28"/>
          <w:szCs w:val="24"/>
        </w:rPr>
        <w:t>. 2019.</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[40]</w:t>
      </w:r>
      <w:r w:rsidRPr="0093582B">
        <w:rPr>
          <w:rFonts w:ascii="Times New Roman" w:hAnsi="Times New Roman" w:cs="Times New Roman"/>
          <w:noProof/>
          <w:sz w:val="28"/>
          <w:szCs w:val="24"/>
        </w:rPr>
        <w:tab/>
        <w:t xml:space="preserve">N. M. Lowe, P. Eldridge, T. Varma, and U. C. Wieshmann, “The duration of temporal lobe epilepsy and seizure outcome after epilepsy surgery,” </w:t>
      </w:r>
      <w:r w:rsidRPr="0093582B">
        <w:rPr>
          <w:rFonts w:ascii="Times New Roman" w:hAnsi="Times New Roman" w:cs="Times New Roman"/>
          <w:i/>
          <w:iCs/>
          <w:noProof/>
          <w:sz w:val="28"/>
          <w:szCs w:val="24"/>
        </w:rPr>
        <w:t>Seizure</w:t>
      </w:r>
      <w:r w:rsidRPr="0093582B">
        <w:rPr>
          <w:rFonts w:ascii="Times New Roman" w:hAnsi="Times New Roman" w:cs="Times New Roman"/>
          <w:noProof/>
          <w:sz w:val="28"/>
          <w:szCs w:val="24"/>
        </w:rPr>
        <w:t>, vol. 19, no. 5, 2010, doi: 10.1016/j.seizure.2010.02.011.</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[41]</w:t>
      </w:r>
      <w:r w:rsidRPr="0093582B">
        <w:rPr>
          <w:rFonts w:ascii="Times New Roman" w:hAnsi="Times New Roman" w:cs="Times New Roman"/>
          <w:noProof/>
          <w:sz w:val="28"/>
          <w:szCs w:val="24"/>
        </w:rPr>
        <w:tab/>
        <w:t xml:space="preserve">P. Jain, G. Tomlinson, C. Snead, B. Sander, and E. Widjaja, “Systematic review and network meta-analysis of resective surgery for mesial temporal lobe epilepsy,” </w:t>
      </w:r>
      <w:r w:rsidRPr="0093582B">
        <w:rPr>
          <w:rFonts w:ascii="Times New Roman" w:hAnsi="Times New Roman" w:cs="Times New Roman"/>
          <w:i/>
          <w:iCs/>
          <w:noProof/>
          <w:sz w:val="28"/>
          <w:szCs w:val="24"/>
        </w:rPr>
        <w:t>J. Neurol. Neurosurg. Psychiatry</w:t>
      </w:r>
      <w:r w:rsidRPr="0093582B">
        <w:rPr>
          <w:rFonts w:ascii="Times New Roman" w:hAnsi="Times New Roman" w:cs="Times New Roman"/>
          <w:noProof/>
          <w:sz w:val="28"/>
          <w:szCs w:val="24"/>
        </w:rPr>
        <w:t>, 2018, doi: 10.1136/jnnp-2017-317783.</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[42]</w:t>
      </w:r>
      <w:r w:rsidRPr="0093582B">
        <w:rPr>
          <w:rFonts w:ascii="Times New Roman" w:hAnsi="Times New Roman" w:cs="Times New Roman"/>
          <w:noProof/>
          <w:sz w:val="28"/>
          <w:szCs w:val="24"/>
        </w:rPr>
        <w:tab/>
        <w:t xml:space="preserve">K. Kohlhase, J. P. Zöllner, N. Tandon, A. Strzelczyk, and F. Rosenow, “Comparison of minimally invasive and traditional surgical approaches for refractory mesial temporal lobe epilepsy: A systematic review and meta-analysis of outcomes,” </w:t>
      </w:r>
      <w:r w:rsidRPr="0093582B">
        <w:rPr>
          <w:rFonts w:ascii="Times New Roman" w:hAnsi="Times New Roman" w:cs="Times New Roman"/>
          <w:i/>
          <w:iCs/>
          <w:noProof/>
          <w:sz w:val="28"/>
          <w:szCs w:val="24"/>
        </w:rPr>
        <w:t>Epilepsia</w:t>
      </w:r>
      <w:r w:rsidRPr="0093582B">
        <w:rPr>
          <w:rFonts w:ascii="Times New Roman" w:hAnsi="Times New Roman" w:cs="Times New Roman"/>
          <w:noProof/>
          <w:sz w:val="28"/>
          <w:szCs w:val="24"/>
        </w:rPr>
        <w:t>, vol. 62, no. 4. 2021, doi: 10.1111/epi.16846.</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[43]</w:t>
      </w:r>
      <w:r w:rsidRPr="0093582B">
        <w:rPr>
          <w:rFonts w:ascii="Times New Roman" w:hAnsi="Times New Roman" w:cs="Times New Roman"/>
          <w:noProof/>
          <w:sz w:val="28"/>
          <w:szCs w:val="24"/>
        </w:rPr>
        <w:tab/>
        <w:t xml:space="preserve">C. Helmstaedter, C. E. Elger, and V. L. Vogt, “Cognitive outcomes more than 5 years after temporal lobe epilepsy surgery: Remarkable functional recovery when seizures are controlled,” </w:t>
      </w:r>
      <w:r w:rsidRPr="0093582B">
        <w:rPr>
          <w:rFonts w:ascii="Times New Roman" w:hAnsi="Times New Roman" w:cs="Times New Roman"/>
          <w:i/>
          <w:iCs/>
          <w:noProof/>
          <w:sz w:val="28"/>
          <w:szCs w:val="24"/>
        </w:rPr>
        <w:t>Seizure</w:t>
      </w:r>
      <w:r w:rsidRPr="0093582B">
        <w:rPr>
          <w:rFonts w:ascii="Times New Roman" w:hAnsi="Times New Roman" w:cs="Times New Roman"/>
          <w:noProof/>
          <w:sz w:val="28"/>
          <w:szCs w:val="24"/>
        </w:rPr>
        <w:t>, vol. 62, 2018, doi: 10.1016/j.seizure.2018.09.023.</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[44]</w:t>
      </w:r>
      <w:r w:rsidRPr="0093582B">
        <w:rPr>
          <w:rFonts w:ascii="Times New Roman" w:hAnsi="Times New Roman" w:cs="Times New Roman"/>
          <w:noProof/>
          <w:sz w:val="28"/>
          <w:szCs w:val="24"/>
        </w:rPr>
        <w:tab/>
        <w:t xml:space="preserve">S. R. Benbadis, L. Heriaud, W. O. Tatum IV, and F. L. Vale, “Epilepsy surgery, </w:t>
      </w:r>
      <w:r w:rsidRPr="0093582B">
        <w:rPr>
          <w:rFonts w:ascii="Times New Roman" w:hAnsi="Times New Roman" w:cs="Times New Roman"/>
          <w:noProof/>
          <w:sz w:val="28"/>
          <w:szCs w:val="24"/>
        </w:rPr>
        <w:lastRenderedPageBreak/>
        <w:t xml:space="preserve">delays and referral patterns - Are all your epilepsy patients controlled?,” </w:t>
      </w:r>
      <w:r w:rsidRPr="0093582B">
        <w:rPr>
          <w:rFonts w:ascii="Times New Roman" w:hAnsi="Times New Roman" w:cs="Times New Roman"/>
          <w:i/>
          <w:iCs/>
          <w:noProof/>
          <w:sz w:val="28"/>
          <w:szCs w:val="24"/>
        </w:rPr>
        <w:t>Seizure</w:t>
      </w:r>
      <w:r w:rsidRPr="0093582B">
        <w:rPr>
          <w:rFonts w:ascii="Times New Roman" w:hAnsi="Times New Roman" w:cs="Times New Roman"/>
          <w:noProof/>
          <w:sz w:val="28"/>
          <w:szCs w:val="24"/>
        </w:rPr>
        <w:t>, vol. 12, no. 3, 2003, doi: 10.1016/S1059-1311(02)00320-5.</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[45]</w:t>
      </w:r>
      <w:r w:rsidRPr="0093582B">
        <w:rPr>
          <w:rFonts w:ascii="Times New Roman" w:hAnsi="Times New Roman" w:cs="Times New Roman"/>
          <w:noProof/>
          <w:sz w:val="28"/>
          <w:szCs w:val="24"/>
        </w:rPr>
        <w:tab/>
        <w:t xml:space="preserve">V. N. Vakharia, J. S. Duncan, J. A. Witt, C. E. Elger, R. Staba, and J. Engel, “Getting the best outcomes from epilepsy surgery,” </w:t>
      </w:r>
      <w:r w:rsidRPr="0093582B">
        <w:rPr>
          <w:rFonts w:ascii="Times New Roman" w:hAnsi="Times New Roman" w:cs="Times New Roman"/>
          <w:i/>
          <w:iCs/>
          <w:noProof/>
          <w:sz w:val="28"/>
          <w:szCs w:val="24"/>
        </w:rPr>
        <w:t>Annals of Neurology</w:t>
      </w:r>
      <w:r w:rsidRPr="0093582B">
        <w:rPr>
          <w:rFonts w:ascii="Times New Roman" w:hAnsi="Times New Roman" w:cs="Times New Roman"/>
          <w:noProof/>
          <w:sz w:val="28"/>
          <w:szCs w:val="24"/>
        </w:rPr>
        <w:t>, vol. 83, no. 4. 2018, doi: 10.1002/ana.25205.</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szCs w:val="24"/>
        </w:rPr>
      </w:pPr>
      <w:r w:rsidRPr="0093582B">
        <w:rPr>
          <w:rFonts w:ascii="Times New Roman" w:hAnsi="Times New Roman" w:cs="Times New Roman"/>
          <w:noProof/>
          <w:sz w:val="28"/>
          <w:szCs w:val="24"/>
        </w:rPr>
        <w:t>[46]</w:t>
      </w:r>
      <w:r w:rsidRPr="0093582B">
        <w:rPr>
          <w:rFonts w:ascii="Times New Roman" w:hAnsi="Times New Roman" w:cs="Times New Roman"/>
          <w:noProof/>
          <w:sz w:val="28"/>
          <w:szCs w:val="24"/>
        </w:rPr>
        <w:tab/>
        <w:t xml:space="preserve">P. J. Szczurkowska, K. Polonis, C. Becari, M. Hoffmann, K. Narkiewicz, and M. Chrostowska, “Epilepsy and hypertension: The possible link for sudden unexpected death in epilepsy?,” </w:t>
      </w:r>
      <w:r w:rsidRPr="0093582B">
        <w:rPr>
          <w:rFonts w:ascii="Times New Roman" w:hAnsi="Times New Roman" w:cs="Times New Roman"/>
          <w:i/>
          <w:iCs/>
          <w:noProof/>
          <w:sz w:val="28"/>
          <w:szCs w:val="24"/>
        </w:rPr>
        <w:t>Cardiol. J.</w:t>
      </w:r>
      <w:r w:rsidRPr="0093582B">
        <w:rPr>
          <w:rFonts w:ascii="Times New Roman" w:hAnsi="Times New Roman" w:cs="Times New Roman"/>
          <w:noProof/>
          <w:sz w:val="28"/>
          <w:szCs w:val="24"/>
        </w:rPr>
        <w:t>, vol. 28, no. 2, 2021, doi: 10.5603/CJ.a2019.0095.</w:t>
      </w:r>
    </w:p>
    <w:p w:rsidR="00F06B3C" w:rsidRPr="0093582B" w:rsidRDefault="00F06B3C" w:rsidP="00F06B3C">
      <w:pPr>
        <w:widowControl w:val="0"/>
        <w:autoSpaceDE w:val="0"/>
        <w:autoSpaceDN w:val="0"/>
        <w:adjustRightInd w:val="0"/>
        <w:spacing w:after="0" w:line="360" w:lineRule="auto"/>
        <w:ind w:left="640" w:hanging="640"/>
        <w:rPr>
          <w:rFonts w:ascii="Times New Roman" w:hAnsi="Times New Roman" w:cs="Times New Roman"/>
          <w:noProof/>
          <w:sz w:val="28"/>
        </w:rPr>
      </w:pPr>
      <w:r w:rsidRPr="0093582B">
        <w:rPr>
          <w:rFonts w:ascii="Times New Roman" w:hAnsi="Times New Roman" w:cs="Times New Roman"/>
          <w:noProof/>
          <w:sz w:val="28"/>
          <w:szCs w:val="24"/>
        </w:rPr>
        <w:t>[47]</w:t>
      </w:r>
      <w:r w:rsidRPr="0093582B">
        <w:rPr>
          <w:rFonts w:ascii="Times New Roman" w:hAnsi="Times New Roman" w:cs="Times New Roman"/>
          <w:noProof/>
          <w:sz w:val="28"/>
          <w:szCs w:val="24"/>
        </w:rPr>
        <w:tab/>
        <w:t xml:space="preserve">Тибекина Л. М. и соавт., </w:t>
      </w:r>
      <w:r w:rsidRPr="0093582B">
        <w:rPr>
          <w:rFonts w:ascii="Times New Roman" w:hAnsi="Times New Roman" w:cs="Times New Roman"/>
          <w:i/>
          <w:iCs/>
          <w:noProof/>
          <w:sz w:val="28"/>
          <w:szCs w:val="24"/>
        </w:rPr>
        <w:t>Ассиметричный мозг: психические, психофизиологические, клинические аспекты</w:t>
      </w:r>
      <w:r w:rsidRPr="0093582B">
        <w:rPr>
          <w:rFonts w:ascii="Times New Roman" w:hAnsi="Times New Roman" w:cs="Times New Roman"/>
          <w:noProof/>
          <w:sz w:val="28"/>
          <w:szCs w:val="24"/>
        </w:rPr>
        <w:t>. 2018.</w:t>
      </w:r>
    </w:p>
    <w:p w:rsidR="00137762" w:rsidRDefault="00722561" w:rsidP="00EE2128">
      <w:pPr>
        <w:spacing w:after="0" w:line="360" w:lineRule="auto"/>
        <w:jc w:val="both"/>
        <w:rPr>
          <w:rFonts w:asciiTheme="majorHAnsi" w:hAnsiTheme="majorHAnsi" w:cstheme="majorHAnsi"/>
          <w:b/>
          <w:sz w:val="28"/>
          <w:szCs w:val="28"/>
        </w:rPr>
      </w:pPr>
      <w:r w:rsidRPr="0093582B">
        <w:rPr>
          <w:rFonts w:asciiTheme="majorHAnsi" w:hAnsiTheme="majorHAnsi" w:cstheme="majorHAnsi"/>
          <w:b/>
          <w:sz w:val="28"/>
          <w:szCs w:val="28"/>
        </w:rPr>
        <w:fldChar w:fldCharType="end"/>
      </w:r>
    </w:p>
    <w:p w:rsidR="00137762" w:rsidRDefault="00137762">
      <w:pPr>
        <w:rPr>
          <w:rFonts w:asciiTheme="majorHAnsi" w:hAnsiTheme="majorHAnsi" w:cstheme="majorHAnsi"/>
          <w:b/>
          <w:sz w:val="28"/>
          <w:szCs w:val="28"/>
        </w:rPr>
      </w:pPr>
      <w:r>
        <w:rPr>
          <w:rFonts w:asciiTheme="majorHAnsi" w:hAnsiTheme="majorHAnsi" w:cstheme="majorHAnsi"/>
          <w:b/>
          <w:sz w:val="28"/>
          <w:szCs w:val="28"/>
        </w:rPr>
        <w:br w:type="page"/>
      </w:r>
    </w:p>
    <w:p w:rsidR="00754D37" w:rsidRDefault="00137762" w:rsidP="00137762">
      <w:pPr>
        <w:pStyle w:val="1"/>
      </w:pPr>
      <w:bookmarkStart w:id="37" w:name="_Toc104427554"/>
      <w:r>
        <w:lastRenderedPageBreak/>
        <w:t>Приложение</w:t>
      </w:r>
      <w:r w:rsidR="00B561B4">
        <w:t xml:space="preserve"> 1</w:t>
      </w:r>
      <w:bookmarkEnd w:id="37"/>
    </w:p>
    <w:p w:rsidR="00137762" w:rsidRDefault="00B729C6" w:rsidP="00B729C6">
      <w:pPr>
        <w:rPr>
          <w:lang w:val="en-US"/>
        </w:rPr>
      </w:pPr>
      <w:r w:rsidRPr="00B729C6">
        <w:rPr>
          <w:noProof/>
        </w:rPr>
        <w:drawing>
          <wp:inline distT="0" distB="0" distL="0" distR="0" wp14:anchorId="0C4A122F" wp14:editId="10A83ED0">
            <wp:extent cx="6152515" cy="8144429"/>
            <wp:effectExtent l="0" t="0" r="63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2515" cy="8144429"/>
                    </a:xfrm>
                    <a:prstGeom prst="rect">
                      <a:avLst/>
                    </a:prstGeom>
                    <a:noFill/>
                    <a:ln>
                      <a:noFill/>
                    </a:ln>
                  </pic:spPr>
                </pic:pic>
              </a:graphicData>
            </a:graphic>
          </wp:inline>
        </w:drawing>
      </w:r>
    </w:p>
    <w:p w:rsidR="00B729C6" w:rsidRDefault="00B729C6" w:rsidP="00B729C6">
      <w:pPr>
        <w:pStyle w:val="1"/>
      </w:pPr>
      <w:bookmarkStart w:id="38" w:name="_Toc104427555"/>
      <w:r>
        <w:lastRenderedPageBreak/>
        <w:t>Приложение 2</w:t>
      </w:r>
      <w:bookmarkEnd w:id="38"/>
    </w:p>
    <w:p w:rsidR="00B729C6" w:rsidRDefault="00B729C6" w:rsidP="00B729C6">
      <w:pPr>
        <w:rPr>
          <w:lang w:val="en-US"/>
        </w:rPr>
      </w:pPr>
      <w:r>
        <w:rPr>
          <w:noProof/>
        </w:rPr>
        <w:drawing>
          <wp:inline distT="0" distB="0" distL="0" distR="0" wp14:anchorId="217E6BB6" wp14:editId="09F6D6CC">
            <wp:extent cx="5688983" cy="7993380"/>
            <wp:effectExtent l="0" t="0" r="698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656" t="16074" r="46991" b="10606"/>
                    <a:stretch/>
                  </pic:blipFill>
                  <pic:spPr bwMode="auto">
                    <a:xfrm>
                      <a:off x="0" y="0"/>
                      <a:ext cx="5702137" cy="8011862"/>
                    </a:xfrm>
                    <a:prstGeom prst="rect">
                      <a:avLst/>
                    </a:prstGeom>
                    <a:ln>
                      <a:noFill/>
                    </a:ln>
                    <a:extLst>
                      <a:ext uri="{53640926-AAD7-44D8-BBD7-CCE9431645EC}">
                        <a14:shadowObscured xmlns:a14="http://schemas.microsoft.com/office/drawing/2010/main"/>
                      </a:ext>
                    </a:extLst>
                  </pic:spPr>
                </pic:pic>
              </a:graphicData>
            </a:graphic>
          </wp:inline>
        </w:drawing>
      </w:r>
    </w:p>
    <w:p w:rsidR="00E70694" w:rsidRDefault="00B729C6" w:rsidP="00B729C6">
      <w:pPr>
        <w:rPr>
          <w:lang w:val="en-US"/>
        </w:rPr>
      </w:pPr>
      <w:r>
        <w:rPr>
          <w:noProof/>
        </w:rPr>
        <w:lastRenderedPageBreak/>
        <w:drawing>
          <wp:inline distT="0" distB="0" distL="0" distR="0" wp14:anchorId="5D9B13FE" wp14:editId="215AE6D8">
            <wp:extent cx="5970814" cy="5570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90" t="24220" r="46867" b="28441"/>
                    <a:stretch/>
                  </pic:blipFill>
                  <pic:spPr bwMode="auto">
                    <a:xfrm>
                      <a:off x="0" y="0"/>
                      <a:ext cx="6003760" cy="5600956"/>
                    </a:xfrm>
                    <a:prstGeom prst="rect">
                      <a:avLst/>
                    </a:prstGeom>
                    <a:ln>
                      <a:noFill/>
                    </a:ln>
                    <a:extLst>
                      <a:ext uri="{53640926-AAD7-44D8-BBD7-CCE9431645EC}">
                        <a14:shadowObscured xmlns:a14="http://schemas.microsoft.com/office/drawing/2010/main"/>
                      </a:ext>
                    </a:extLst>
                  </pic:spPr>
                </pic:pic>
              </a:graphicData>
            </a:graphic>
          </wp:inline>
        </w:drawing>
      </w:r>
    </w:p>
    <w:p w:rsidR="00E70694" w:rsidRDefault="00E70694">
      <w:pPr>
        <w:rPr>
          <w:lang w:val="en-US"/>
        </w:rPr>
      </w:pPr>
      <w:r>
        <w:rPr>
          <w:lang w:val="en-US"/>
        </w:rPr>
        <w:br w:type="page"/>
      </w:r>
    </w:p>
    <w:p w:rsidR="00B729C6" w:rsidRDefault="00E70694" w:rsidP="00E70694">
      <w:pPr>
        <w:pStyle w:val="1"/>
      </w:pPr>
      <w:bookmarkStart w:id="39" w:name="_Toc104427556"/>
      <w:r>
        <w:lastRenderedPageBreak/>
        <w:t>Приложение 3</w:t>
      </w:r>
      <w:bookmarkEnd w:id="39"/>
    </w:p>
    <w:p w:rsidR="00E70694" w:rsidRPr="00E70694" w:rsidRDefault="00E70694" w:rsidP="00E70694">
      <w:pPr>
        <w:jc w:val="center"/>
        <w:rPr>
          <w:b/>
          <w:sz w:val="28"/>
          <w:szCs w:val="28"/>
        </w:rPr>
      </w:pPr>
      <w:r w:rsidRPr="00E70694">
        <w:rPr>
          <w:b/>
          <w:sz w:val="28"/>
          <w:szCs w:val="28"/>
        </w:rPr>
        <w:t>Батарея лобной дисфункции</w:t>
      </w:r>
    </w:p>
    <w:p w:rsidR="00E70694" w:rsidRDefault="00E70694" w:rsidP="00E70694">
      <w:pPr>
        <w:rPr>
          <w:sz w:val="28"/>
          <w:szCs w:val="28"/>
        </w:rPr>
      </w:pPr>
      <w:r>
        <w:rPr>
          <w:noProof/>
        </w:rPr>
        <w:drawing>
          <wp:inline distT="0" distB="0" distL="0" distR="0" wp14:anchorId="3756B1B4" wp14:editId="13EC19F0">
            <wp:extent cx="5935784" cy="739140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294" t="18402" r="43152" b="5101"/>
                    <a:stretch/>
                  </pic:blipFill>
                  <pic:spPr bwMode="auto">
                    <a:xfrm>
                      <a:off x="0" y="0"/>
                      <a:ext cx="5947947" cy="7406546"/>
                    </a:xfrm>
                    <a:prstGeom prst="rect">
                      <a:avLst/>
                    </a:prstGeom>
                    <a:ln>
                      <a:noFill/>
                    </a:ln>
                    <a:extLst>
                      <a:ext uri="{53640926-AAD7-44D8-BBD7-CCE9431645EC}">
                        <a14:shadowObscured xmlns:a14="http://schemas.microsoft.com/office/drawing/2010/main"/>
                      </a:ext>
                    </a:extLst>
                  </pic:spPr>
                </pic:pic>
              </a:graphicData>
            </a:graphic>
          </wp:inline>
        </w:drawing>
      </w:r>
    </w:p>
    <w:p w:rsidR="00E70694" w:rsidRDefault="00E70694">
      <w:pPr>
        <w:rPr>
          <w:sz w:val="28"/>
          <w:szCs w:val="28"/>
        </w:rPr>
      </w:pPr>
      <w:r>
        <w:rPr>
          <w:sz w:val="28"/>
          <w:szCs w:val="28"/>
        </w:rPr>
        <w:br w:type="page"/>
      </w:r>
    </w:p>
    <w:p w:rsidR="00E70694" w:rsidRDefault="00E70694" w:rsidP="00E70694">
      <w:pPr>
        <w:pStyle w:val="1"/>
      </w:pPr>
      <w:bookmarkStart w:id="40" w:name="_Toc104427557"/>
      <w:r>
        <w:lastRenderedPageBreak/>
        <w:t>Приложение 4</w:t>
      </w:r>
      <w:bookmarkEnd w:id="40"/>
    </w:p>
    <w:p w:rsidR="00E70694" w:rsidRPr="00F945C5" w:rsidRDefault="00F945C5" w:rsidP="00F945C5">
      <w:pPr>
        <w:pStyle w:val="a9"/>
        <w:jc w:val="center"/>
        <w:rPr>
          <w:b/>
        </w:rPr>
      </w:pPr>
      <w:r w:rsidRPr="00F945C5">
        <w:rPr>
          <w:b/>
        </w:rPr>
        <w:t>Т</w:t>
      </w:r>
      <w:r>
        <w:rPr>
          <w:b/>
        </w:rPr>
        <w:t>аблица</w:t>
      </w:r>
      <w:r w:rsidRPr="00F945C5">
        <w:rPr>
          <w:b/>
        </w:rPr>
        <w:t xml:space="preserve"> Шульте (пример)</w:t>
      </w:r>
    </w:p>
    <w:p w:rsidR="00F945C5" w:rsidRDefault="00F945C5" w:rsidP="00F945C5">
      <w:pPr>
        <w:jc w:val="center"/>
      </w:pPr>
      <w:r>
        <w:rPr>
          <w:noProof/>
        </w:rPr>
        <w:drawing>
          <wp:inline distT="0" distB="0" distL="0" distR="0" wp14:anchorId="63ABD3F8" wp14:editId="51EFAB62">
            <wp:extent cx="5044440" cy="4931263"/>
            <wp:effectExtent l="0" t="0" r="381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489" t="19376" r="19869" b="13468"/>
                    <a:stretch/>
                  </pic:blipFill>
                  <pic:spPr bwMode="auto">
                    <a:xfrm>
                      <a:off x="0" y="0"/>
                      <a:ext cx="5052555" cy="4939196"/>
                    </a:xfrm>
                    <a:prstGeom prst="rect">
                      <a:avLst/>
                    </a:prstGeom>
                    <a:ln>
                      <a:noFill/>
                    </a:ln>
                    <a:extLst>
                      <a:ext uri="{53640926-AAD7-44D8-BBD7-CCE9431645EC}">
                        <a14:shadowObscured xmlns:a14="http://schemas.microsoft.com/office/drawing/2010/main"/>
                      </a:ext>
                    </a:extLst>
                  </pic:spPr>
                </pic:pic>
              </a:graphicData>
            </a:graphic>
          </wp:inline>
        </w:drawing>
      </w:r>
    </w:p>
    <w:p w:rsidR="00F945C5" w:rsidRDefault="00F945C5">
      <w:r>
        <w:br w:type="page"/>
      </w:r>
    </w:p>
    <w:p w:rsidR="00F945C5" w:rsidRDefault="00F945C5" w:rsidP="00F945C5">
      <w:pPr>
        <w:pStyle w:val="1"/>
      </w:pPr>
      <w:bookmarkStart w:id="41" w:name="_Toc104427558"/>
      <w:r>
        <w:lastRenderedPageBreak/>
        <w:t xml:space="preserve">Приложение </w:t>
      </w:r>
      <w:r w:rsidR="008E39D5">
        <w:t>5</w:t>
      </w:r>
      <w:bookmarkEnd w:id="41"/>
    </w:p>
    <w:p w:rsidR="00F945C5" w:rsidRPr="00F945C5" w:rsidRDefault="00F945C5" w:rsidP="00F945C5">
      <w:pPr>
        <w:jc w:val="center"/>
        <w:rPr>
          <w:b/>
          <w:sz w:val="28"/>
        </w:rPr>
      </w:pPr>
      <w:r w:rsidRPr="00F945C5">
        <w:rPr>
          <w:b/>
          <w:sz w:val="28"/>
        </w:rPr>
        <w:t>Госпитальная шкала тревоги и депрессии</w:t>
      </w:r>
    </w:p>
    <w:p w:rsidR="00F945C5" w:rsidRDefault="00F945C5" w:rsidP="00F945C5">
      <w:r>
        <w:rPr>
          <w:noProof/>
        </w:rPr>
        <w:drawing>
          <wp:inline distT="0" distB="0" distL="0" distR="0" wp14:anchorId="728EA3B8" wp14:editId="652BB0DE">
            <wp:extent cx="5770336" cy="625602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114" t="30820" r="43895" b="15231"/>
                    <a:stretch/>
                  </pic:blipFill>
                  <pic:spPr bwMode="auto">
                    <a:xfrm>
                      <a:off x="0" y="0"/>
                      <a:ext cx="5794836" cy="6282583"/>
                    </a:xfrm>
                    <a:prstGeom prst="rect">
                      <a:avLst/>
                    </a:prstGeom>
                    <a:ln>
                      <a:noFill/>
                    </a:ln>
                    <a:extLst>
                      <a:ext uri="{53640926-AAD7-44D8-BBD7-CCE9431645EC}">
                        <a14:shadowObscured xmlns:a14="http://schemas.microsoft.com/office/drawing/2010/main"/>
                      </a:ext>
                    </a:extLst>
                  </pic:spPr>
                </pic:pic>
              </a:graphicData>
            </a:graphic>
          </wp:inline>
        </w:drawing>
      </w:r>
    </w:p>
    <w:p w:rsidR="00F945C5" w:rsidRDefault="00F945C5" w:rsidP="00F945C5">
      <w:pPr>
        <w:rPr>
          <w:noProof/>
        </w:rPr>
      </w:pPr>
    </w:p>
    <w:p w:rsidR="00F945C5" w:rsidRDefault="00F945C5" w:rsidP="00F945C5">
      <w:pPr>
        <w:rPr>
          <w:noProof/>
        </w:rPr>
      </w:pPr>
    </w:p>
    <w:p w:rsidR="00F945C5" w:rsidRDefault="00F945C5" w:rsidP="00F945C5">
      <w:r>
        <w:rPr>
          <w:noProof/>
        </w:rPr>
        <w:lastRenderedPageBreak/>
        <w:drawing>
          <wp:inline distT="0" distB="0" distL="0" distR="0" wp14:anchorId="582D2B8F" wp14:editId="57ECF0E7">
            <wp:extent cx="6568440" cy="6012859"/>
            <wp:effectExtent l="0" t="0" r="381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229" t="30809" r="10208" b="14569"/>
                    <a:stretch/>
                  </pic:blipFill>
                  <pic:spPr bwMode="auto">
                    <a:xfrm>
                      <a:off x="0" y="0"/>
                      <a:ext cx="6603045" cy="6044537"/>
                    </a:xfrm>
                    <a:prstGeom prst="rect">
                      <a:avLst/>
                    </a:prstGeom>
                    <a:ln>
                      <a:noFill/>
                    </a:ln>
                    <a:extLst>
                      <a:ext uri="{53640926-AAD7-44D8-BBD7-CCE9431645EC}">
                        <a14:shadowObscured xmlns:a14="http://schemas.microsoft.com/office/drawing/2010/main"/>
                      </a:ext>
                    </a:extLst>
                  </pic:spPr>
                </pic:pic>
              </a:graphicData>
            </a:graphic>
          </wp:inline>
        </w:drawing>
      </w:r>
    </w:p>
    <w:p w:rsidR="00F945C5" w:rsidRDefault="00F945C5">
      <w:r>
        <w:br w:type="page"/>
      </w:r>
    </w:p>
    <w:p w:rsidR="00F945C5" w:rsidRDefault="00F945C5" w:rsidP="00F945C5">
      <w:pPr>
        <w:pStyle w:val="1"/>
      </w:pPr>
      <w:bookmarkStart w:id="42" w:name="_Toc104427559"/>
      <w:r>
        <w:lastRenderedPageBreak/>
        <w:t xml:space="preserve">Приложение </w:t>
      </w:r>
      <w:r w:rsidR="008E39D5">
        <w:t>6</w:t>
      </w:r>
      <w:bookmarkEnd w:id="42"/>
    </w:p>
    <w:p w:rsidR="00F945C5" w:rsidRDefault="00977863" w:rsidP="00F945C5">
      <w:pPr>
        <w:jc w:val="both"/>
        <w:rPr>
          <w:b/>
          <w:sz w:val="28"/>
          <w:szCs w:val="28"/>
        </w:rPr>
      </w:pPr>
      <w:r>
        <w:rPr>
          <w:noProof/>
        </w:rPr>
        <w:drawing>
          <wp:inline distT="0" distB="0" distL="0" distR="0" wp14:anchorId="41BFB34A" wp14:editId="16B29E03">
            <wp:extent cx="5875020" cy="819226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821" t="16074" r="36092" b="6863"/>
                    <a:stretch/>
                  </pic:blipFill>
                  <pic:spPr bwMode="auto">
                    <a:xfrm>
                      <a:off x="0" y="0"/>
                      <a:ext cx="5876384" cy="8194163"/>
                    </a:xfrm>
                    <a:prstGeom prst="rect">
                      <a:avLst/>
                    </a:prstGeom>
                    <a:ln>
                      <a:noFill/>
                    </a:ln>
                    <a:extLst>
                      <a:ext uri="{53640926-AAD7-44D8-BBD7-CCE9431645EC}">
                        <a14:shadowObscured xmlns:a14="http://schemas.microsoft.com/office/drawing/2010/main"/>
                      </a:ext>
                    </a:extLst>
                  </pic:spPr>
                </pic:pic>
              </a:graphicData>
            </a:graphic>
          </wp:inline>
        </w:drawing>
      </w:r>
    </w:p>
    <w:p w:rsidR="00977863" w:rsidRPr="00F945C5" w:rsidRDefault="00977863" w:rsidP="00F945C5">
      <w:pPr>
        <w:jc w:val="both"/>
        <w:rPr>
          <w:b/>
          <w:sz w:val="28"/>
          <w:szCs w:val="28"/>
        </w:rPr>
      </w:pPr>
      <w:r>
        <w:rPr>
          <w:noProof/>
        </w:rPr>
        <w:lastRenderedPageBreak/>
        <w:drawing>
          <wp:inline distT="0" distB="0" distL="0" distR="0" wp14:anchorId="7642A6B2" wp14:editId="2BE86227">
            <wp:extent cx="6280568" cy="797052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21" t="19596" r="36340" b="10826"/>
                    <a:stretch/>
                  </pic:blipFill>
                  <pic:spPr bwMode="auto">
                    <a:xfrm>
                      <a:off x="0" y="0"/>
                      <a:ext cx="6290709" cy="7983389"/>
                    </a:xfrm>
                    <a:prstGeom prst="rect">
                      <a:avLst/>
                    </a:prstGeom>
                    <a:ln>
                      <a:noFill/>
                    </a:ln>
                    <a:extLst>
                      <a:ext uri="{53640926-AAD7-44D8-BBD7-CCE9431645EC}">
                        <a14:shadowObscured xmlns:a14="http://schemas.microsoft.com/office/drawing/2010/main"/>
                      </a:ext>
                    </a:extLst>
                  </pic:spPr>
                </pic:pic>
              </a:graphicData>
            </a:graphic>
          </wp:inline>
        </w:drawing>
      </w:r>
    </w:p>
    <w:sectPr w:rsidR="00977863" w:rsidRPr="00F945C5" w:rsidSect="00A5364C">
      <w:footerReference w:type="default" r:id="rId24"/>
      <w:pgSz w:w="12240" w:h="15840"/>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9A9" w:rsidRDefault="00BF69A9" w:rsidP="00DF15D6">
      <w:pPr>
        <w:spacing w:after="0" w:line="240" w:lineRule="auto"/>
      </w:pPr>
      <w:r>
        <w:separator/>
      </w:r>
    </w:p>
  </w:endnote>
  <w:endnote w:type="continuationSeparator" w:id="0">
    <w:p w:rsidR="00BF69A9" w:rsidRDefault="00BF69A9" w:rsidP="00DF1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0127558"/>
      <w:docPartObj>
        <w:docPartGallery w:val="Page Numbers (Bottom of Page)"/>
        <w:docPartUnique/>
      </w:docPartObj>
    </w:sdtPr>
    <w:sdtEndPr>
      <w:rPr>
        <w:sz w:val="28"/>
        <w:szCs w:val="28"/>
      </w:rPr>
    </w:sdtEndPr>
    <w:sdtContent>
      <w:p w:rsidR="008E39D5" w:rsidRPr="00E00683" w:rsidRDefault="008E39D5" w:rsidP="00E00683">
        <w:pPr>
          <w:pStyle w:val="a6"/>
          <w:jc w:val="right"/>
          <w:rPr>
            <w:sz w:val="28"/>
            <w:szCs w:val="28"/>
          </w:rPr>
        </w:pPr>
        <w:r w:rsidRPr="00A5364C">
          <w:rPr>
            <w:sz w:val="28"/>
            <w:szCs w:val="28"/>
          </w:rPr>
          <w:fldChar w:fldCharType="begin"/>
        </w:r>
        <w:r w:rsidRPr="00A5364C">
          <w:rPr>
            <w:sz w:val="28"/>
            <w:szCs w:val="28"/>
          </w:rPr>
          <w:instrText>PAGE   \* MERGEFORMAT</w:instrText>
        </w:r>
        <w:r w:rsidRPr="00A5364C">
          <w:rPr>
            <w:sz w:val="28"/>
            <w:szCs w:val="28"/>
          </w:rPr>
          <w:fldChar w:fldCharType="separate"/>
        </w:r>
        <w:r w:rsidR="00AC1116">
          <w:rPr>
            <w:noProof/>
            <w:sz w:val="28"/>
            <w:szCs w:val="28"/>
          </w:rPr>
          <w:t>69</w:t>
        </w:r>
        <w:r w:rsidRPr="00A5364C">
          <w:rPr>
            <w:sz w:val="28"/>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9A9" w:rsidRDefault="00BF69A9" w:rsidP="00DF15D6">
      <w:pPr>
        <w:spacing w:after="0" w:line="240" w:lineRule="auto"/>
      </w:pPr>
      <w:r>
        <w:separator/>
      </w:r>
    </w:p>
  </w:footnote>
  <w:footnote w:type="continuationSeparator" w:id="0">
    <w:p w:rsidR="00BF69A9" w:rsidRDefault="00BF69A9" w:rsidP="00DF15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6B47"/>
    <w:multiLevelType w:val="hybridMultilevel"/>
    <w:tmpl w:val="B5D2E4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382569"/>
    <w:multiLevelType w:val="multilevel"/>
    <w:tmpl w:val="5DA4D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447E9"/>
    <w:multiLevelType w:val="hybridMultilevel"/>
    <w:tmpl w:val="5F9EACF4"/>
    <w:lvl w:ilvl="0" w:tplc="97F4E85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B53520"/>
    <w:multiLevelType w:val="multilevel"/>
    <w:tmpl w:val="AE5ED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AD2518"/>
    <w:multiLevelType w:val="hybridMultilevel"/>
    <w:tmpl w:val="FC560CEE"/>
    <w:lvl w:ilvl="0" w:tplc="C742A5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CB55ED3"/>
    <w:multiLevelType w:val="hybridMultilevel"/>
    <w:tmpl w:val="19701E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42E0613"/>
    <w:multiLevelType w:val="multilevel"/>
    <w:tmpl w:val="0419001D"/>
    <w:lvl w:ilvl="0">
      <w:start w:val="1"/>
      <w:numFmt w:val="decimal"/>
      <w:lvlText w:val="%1)"/>
      <w:lvlJc w:val="left"/>
      <w:pPr>
        <w:ind w:left="360" w:hanging="360"/>
      </w:pPr>
    </w:lvl>
    <w:lvl w:ilvl="1">
      <w:start w:val="1"/>
      <w:numFmt w:val="lowerLetter"/>
      <w:lvlText w:val="%2)"/>
      <w:lvlJc w:val="left"/>
      <w:pPr>
        <w:ind w:left="1069"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E894AE7"/>
    <w:multiLevelType w:val="hybridMultilevel"/>
    <w:tmpl w:val="A9CC92A6"/>
    <w:lvl w:ilvl="0" w:tplc="EA58D90E">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1DF4F95"/>
    <w:multiLevelType w:val="hybridMultilevel"/>
    <w:tmpl w:val="B22243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36B2478"/>
    <w:multiLevelType w:val="hybridMultilevel"/>
    <w:tmpl w:val="6C381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3E86D76"/>
    <w:multiLevelType w:val="hybridMultilevel"/>
    <w:tmpl w:val="A8764150"/>
    <w:lvl w:ilvl="0" w:tplc="EA58D9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9CA0930"/>
    <w:multiLevelType w:val="hybridMultilevel"/>
    <w:tmpl w:val="6164C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C70245B"/>
    <w:multiLevelType w:val="hybridMultilevel"/>
    <w:tmpl w:val="8F6EEB52"/>
    <w:lvl w:ilvl="0" w:tplc="54B2B9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3471627"/>
    <w:multiLevelType w:val="hybridMultilevel"/>
    <w:tmpl w:val="23C45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47E4990"/>
    <w:multiLevelType w:val="hybridMultilevel"/>
    <w:tmpl w:val="D9169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8DD7F5E"/>
    <w:multiLevelType w:val="hybridMultilevel"/>
    <w:tmpl w:val="123C0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13"/>
  </w:num>
  <w:num w:numId="6">
    <w:abstractNumId w:val="5"/>
  </w:num>
  <w:num w:numId="7">
    <w:abstractNumId w:val="15"/>
  </w:num>
  <w:num w:numId="8">
    <w:abstractNumId w:val="0"/>
  </w:num>
  <w:num w:numId="9">
    <w:abstractNumId w:val="9"/>
  </w:num>
  <w:num w:numId="10">
    <w:abstractNumId w:val="14"/>
  </w:num>
  <w:num w:numId="11">
    <w:abstractNumId w:val="7"/>
  </w:num>
  <w:num w:numId="12">
    <w:abstractNumId w:val="12"/>
  </w:num>
  <w:num w:numId="13">
    <w:abstractNumId w:val="6"/>
  </w:num>
  <w:num w:numId="14">
    <w:abstractNumId w:val="11"/>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D37"/>
    <w:rsid w:val="000030FC"/>
    <w:rsid w:val="00005060"/>
    <w:rsid w:val="00006BF4"/>
    <w:rsid w:val="00007D9A"/>
    <w:rsid w:val="00014C14"/>
    <w:rsid w:val="00017C3E"/>
    <w:rsid w:val="00021D50"/>
    <w:rsid w:val="00026E77"/>
    <w:rsid w:val="00027BB7"/>
    <w:rsid w:val="000322A3"/>
    <w:rsid w:val="00043059"/>
    <w:rsid w:val="0004679C"/>
    <w:rsid w:val="00062B81"/>
    <w:rsid w:val="00082ABB"/>
    <w:rsid w:val="00082CFD"/>
    <w:rsid w:val="000831F7"/>
    <w:rsid w:val="0008766B"/>
    <w:rsid w:val="0009270B"/>
    <w:rsid w:val="00094ADB"/>
    <w:rsid w:val="0009564A"/>
    <w:rsid w:val="000B278B"/>
    <w:rsid w:val="000C370C"/>
    <w:rsid w:val="000C7BAC"/>
    <w:rsid w:val="000D02B4"/>
    <w:rsid w:val="000D19F8"/>
    <w:rsid w:val="000E2207"/>
    <w:rsid w:val="000F582B"/>
    <w:rsid w:val="000F5C6F"/>
    <w:rsid w:val="000F64F6"/>
    <w:rsid w:val="001009F3"/>
    <w:rsid w:val="00103350"/>
    <w:rsid w:val="00104A30"/>
    <w:rsid w:val="00107FA2"/>
    <w:rsid w:val="00114F7D"/>
    <w:rsid w:val="00117342"/>
    <w:rsid w:val="00120846"/>
    <w:rsid w:val="001253B6"/>
    <w:rsid w:val="00135892"/>
    <w:rsid w:val="00135DF4"/>
    <w:rsid w:val="00137762"/>
    <w:rsid w:val="0014362A"/>
    <w:rsid w:val="00145D01"/>
    <w:rsid w:val="00147356"/>
    <w:rsid w:val="00155B2B"/>
    <w:rsid w:val="0016570A"/>
    <w:rsid w:val="00171BE6"/>
    <w:rsid w:val="00172DD0"/>
    <w:rsid w:val="001A21DE"/>
    <w:rsid w:val="001D36A0"/>
    <w:rsid w:val="001E0901"/>
    <w:rsid w:val="001F0FD3"/>
    <w:rsid w:val="001F36E1"/>
    <w:rsid w:val="001F7405"/>
    <w:rsid w:val="002107F3"/>
    <w:rsid w:val="0022038C"/>
    <w:rsid w:val="00235038"/>
    <w:rsid w:val="00236AA9"/>
    <w:rsid w:val="0024128A"/>
    <w:rsid w:val="002419A5"/>
    <w:rsid w:val="002459C7"/>
    <w:rsid w:val="00254B55"/>
    <w:rsid w:val="00257A58"/>
    <w:rsid w:val="002603C7"/>
    <w:rsid w:val="002619AB"/>
    <w:rsid w:val="00261A12"/>
    <w:rsid w:val="00272ECF"/>
    <w:rsid w:val="00274596"/>
    <w:rsid w:val="0028089D"/>
    <w:rsid w:val="0029049C"/>
    <w:rsid w:val="00290979"/>
    <w:rsid w:val="00295D54"/>
    <w:rsid w:val="002A1EFB"/>
    <w:rsid w:val="002A4326"/>
    <w:rsid w:val="002B20B1"/>
    <w:rsid w:val="002C21B1"/>
    <w:rsid w:val="002C6D70"/>
    <w:rsid w:val="002C6DB8"/>
    <w:rsid w:val="002D5683"/>
    <w:rsid w:val="002E0393"/>
    <w:rsid w:val="002E62B2"/>
    <w:rsid w:val="002E741A"/>
    <w:rsid w:val="002F143F"/>
    <w:rsid w:val="002F2768"/>
    <w:rsid w:val="002F3CDB"/>
    <w:rsid w:val="002F7A7C"/>
    <w:rsid w:val="00311B92"/>
    <w:rsid w:val="003264E7"/>
    <w:rsid w:val="00342310"/>
    <w:rsid w:val="003433D0"/>
    <w:rsid w:val="00343B26"/>
    <w:rsid w:val="00347780"/>
    <w:rsid w:val="00351946"/>
    <w:rsid w:val="00357838"/>
    <w:rsid w:val="003673FA"/>
    <w:rsid w:val="00376F7E"/>
    <w:rsid w:val="00377ACE"/>
    <w:rsid w:val="003819FA"/>
    <w:rsid w:val="00391566"/>
    <w:rsid w:val="00395F07"/>
    <w:rsid w:val="003A071D"/>
    <w:rsid w:val="003A0F83"/>
    <w:rsid w:val="003A1608"/>
    <w:rsid w:val="003B1692"/>
    <w:rsid w:val="003C3BE3"/>
    <w:rsid w:val="003D4C4A"/>
    <w:rsid w:val="003D512E"/>
    <w:rsid w:val="003F7BE1"/>
    <w:rsid w:val="0040074A"/>
    <w:rsid w:val="004133DF"/>
    <w:rsid w:val="00417AC9"/>
    <w:rsid w:val="0043010F"/>
    <w:rsid w:val="00431D6B"/>
    <w:rsid w:val="00443A5C"/>
    <w:rsid w:val="00446C00"/>
    <w:rsid w:val="004719BA"/>
    <w:rsid w:val="00472E61"/>
    <w:rsid w:val="00474353"/>
    <w:rsid w:val="00475F72"/>
    <w:rsid w:val="00480866"/>
    <w:rsid w:val="00486674"/>
    <w:rsid w:val="00494BE9"/>
    <w:rsid w:val="004A3165"/>
    <w:rsid w:val="004B0566"/>
    <w:rsid w:val="004B74F7"/>
    <w:rsid w:val="004D25F8"/>
    <w:rsid w:val="004D2FE9"/>
    <w:rsid w:val="004D362D"/>
    <w:rsid w:val="004F394D"/>
    <w:rsid w:val="004F42F2"/>
    <w:rsid w:val="004F6F07"/>
    <w:rsid w:val="00506E29"/>
    <w:rsid w:val="00516DC0"/>
    <w:rsid w:val="005204E2"/>
    <w:rsid w:val="005267AD"/>
    <w:rsid w:val="00546DCD"/>
    <w:rsid w:val="00552DFB"/>
    <w:rsid w:val="0056562D"/>
    <w:rsid w:val="00576A7C"/>
    <w:rsid w:val="00592DA2"/>
    <w:rsid w:val="005B36D8"/>
    <w:rsid w:val="005C6CBE"/>
    <w:rsid w:val="005D4DA3"/>
    <w:rsid w:val="005E0D05"/>
    <w:rsid w:val="005F22AB"/>
    <w:rsid w:val="00611E17"/>
    <w:rsid w:val="00616CE4"/>
    <w:rsid w:val="00617441"/>
    <w:rsid w:val="0062547B"/>
    <w:rsid w:val="006275C9"/>
    <w:rsid w:val="00640BA7"/>
    <w:rsid w:val="0064122F"/>
    <w:rsid w:val="00647308"/>
    <w:rsid w:val="0065340E"/>
    <w:rsid w:val="0066030E"/>
    <w:rsid w:val="00663440"/>
    <w:rsid w:val="00676ECB"/>
    <w:rsid w:val="0068118D"/>
    <w:rsid w:val="00685D24"/>
    <w:rsid w:val="006A2E5A"/>
    <w:rsid w:val="006B0945"/>
    <w:rsid w:val="006B152D"/>
    <w:rsid w:val="006B58D5"/>
    <w:rsid w:val="006C23EB"/>
    <w:rsid w:val="006D25FC"/>
    <w:rsid w:val="006D673F"/>
    <w:rsid w:val="006D6AFD"/>
    <w:rsid w:val="006F41FB"/>
    <w:rsid w:val="006F7B0A"/>
    <w:rsid w:val="007001F0"/>
    <w:rsid w:val="00703A59"/>
    <w:rsid w:val="00704F1A"/>
    <w:rsid w:val="00707B79"/>
    <w:rsid w:val="00711465"/>
    <w:rsid w:val="007153B1"/>
    <w:rsid w:val="007221B0"/>
    <w:rsid w:val="00722561"/>
    <w:rsid w:val="0072760F"/>
    <w:rsid w:val="00730E02"/>
    <w:rsid w:val="007507F9"/>
    <w:rsid w:val="007514D0"/>
    <w:rsid w:val="0075171F"/>
    <w:rsid w:val="00754B65"/>
    <w:rsid w:val="00754D37"/>
    <w:rsid w:val="00762C5C"/>
    <w:rsid w:val="007632AA"/>
    <w:rsid w:val="00764042"/>
    <w:rsid w:val="0076572E"/>
    <w:rsid w:val="0078142B"/>
    <w:rsid w:val="007870A8"/>
    <w:rsid w:val="007970CB"/>
    <w:rsid w:val="007B3039"/>
    <w:rsid w:val="007C355E"/>
    <w:rsid w:val="007C5B9A"/>
    <w:rsid w:val="007E39CD"/>
    <w:rsid w:val="007E4909"/>
    <w:rsid w:val="007E73A3"/>
    <w:rsid w:val="007F0DFA"/>
    <w:rsid w:val="00805406"/>
    <w:rsid w:val="00805708"/>
    <w:rsid w:val="008063AF"/>
    <w:rsid w:val="0081495B"/>
    <w:rsid w:val="00820109"/>
    <w:rsid w:val="0082087E"/>
    <w:rsid w:val="00825E4F"/>
    <w:rsid w:val="00832770"/>
    <w:rsid w:val="008335E2"/>
    <w:rsid w:val="00833851"/>
    <w:rsid w:val="00837FF7"/>
    <w:rsid w:val="0084203B"/>
    <w:rsid w:val="00845159"/>
    <w:rsid w:val="008723AA"/>
    <w:rsid w:val="00872D8F"/>
    <w:rsid w:val="008735AD"/>
    <w:rsid w:val="008813F8"/>
    <w:rsid w:val="008A2985"/>
    <w:rsid w:val="008B709D"/>
    <w:rsid w:val="008C4417"/>
    <w:rsid w:val="008E1026"/>
    <w:rsid w:val="008E39D5"/>
    <w:rsid w:val="008F003C"/>
    <w:rsid w:val="00916FB7"/>
    <w:rsid w:val="00921440"/>
    <w:rsid w:val="00921444"/>
    <w:rsid w:val="0093582B"/>
    <w:rsid w:val="00941FA2"/>
    <w:rsid w:val="009468CD"/>
    <w:rsid w:val="00955DF9"/>
    <w:rsid w:val="0097068C"/>
    <w:rsid w:val="009756E1"/>
    <w:rsid w:val="00977863"/>
    <w:rsid w:val="009A2C55"/>
    <w:rsid w:val="009B13D4"/>
    <w:rsid w:val="009C1741"/>
    <w:rsid w:val="009C5654"/>
    <w:rsid w:val="009D0A82"/>
    <w:rsid w:val="009E2A55"/>
    <w:rsid w:val="009E4E14"/>
    <w:rsid w:val="009E5650"/>
    <w:rsid w:val="009F0396"/>
    <w:rsid w:val="009F519C"/>
    <w:rsid w:val="009F7A82"/>
    <w:rsid w:val="00A00F43"/>
    <w:rsid w:val="00A03253"/>
    <w:rsid w:val="00A2663C"/>
    <w:rsid w:val="00A33418"/>
    <w:rsid w:val="00A35986"/>
    <w:rsid w:val="00A412DD"/>
    <w:rsid w:val="00A4662B"/>
    <w:rsid w:val="00A5207F"/>
    <w:rsid w:val="00A5364C"/>
    <w:rsid w:val="00A55DF4"/>
    <w:rsid w:val="00A60525"/>
    <w:rsid w:val="00A74459"/>
    <w:rsid w:val="00A7453E"/>
    <w:rsid w:val="00A75FFC"/>
    <w:rsid w:val="00A82865"/>
    <w:rsid w:val="00A919B5"/>
    <w:rsid w:val="00AA0D28"/>
    <w:rsid w:val="00AA6A71"/>
    <w:rsid w:val="00AA779E"/>
    <w:rsid w:val="00AC04FC"/>
    <w:rsid w:val="00AC1116"/>
    <w:rsid w:val="00AD4091"/>
    <w:rsid w:val="00AE4EF7"/>
    <w:rsid w:val="00AE55E2"/>
    <w:rsid w:val="00B1473B"/>
    <w:rsid w:val="00B15193"/>
    <w:rsid w:val="00B3253C"/>
    <w:rsid w:val="00B452CB"/>
    <w:rsid w:val="00B561B4"/>
    <w:rsid w:val="00B61539"/>
    <w:rsid w:val="00B729C6"/>
    <w:rsid w:val="00B73A7A"/>
    <w:rsid w:val="00B80B35"/>
    <w:rsid w:val="00B86A15"/>
    <w:rsid w:val="00B90F0E"/>
    <w:rsid w:val="00B921EC"/>
    <w:rsid w:val="00B9290A"/>
    <w:rsid w:val="00BA1012"/>
    <w:rsid w:val="00BA17E2"/>
    <w:rsid w:val="00BA43AA"/>
    <w:rsid w:val="00BA73E7"/>
    <w:rsid w:val="00BA7C3E"/>
    <w:rsid w:val="00BB284B"/>
    <w:rsid w:val="00BB6744"/>
    <w:rsid w:val="00BB7851"/>
    <w:rsid w:val="00BC0B1E"/>
    <w:rsid w:val="00BC6E5B"/>
    <w:rsid w:val="00BE2049"/>
    <w:rsid w:val="00BE55A4"/>
    <w:rsid w:val="00BE7BB0"/>
    <w:rsid w:val="00BF18BD"/>
    <w:rsid w:val="00BF69A9"/>
    <w:rsid w:val="00C0406B"/>
    <w:rsid w:val="00C14765"/>
    <w:rsid w:val="00C149A0"/>
    <w:rsid w:val="00C15B26"/>
    <w:rsid w:val="00C23086"/>
    <w:rsid w:val="00C37EAC"/>
    <w:rsid w:val="00C445AA"/>
    <w:rsid w:val="00C4511F"/>
    <w:rsid w:val="00C51814"/>
    <w:rsid w:val="00C5227C"/>
    <w:rsid w:val="00C579A6"/>
    <w:rsid w:val="00C606E9"/>
    <w:rsid w:val="00C6692B"/>
    <w:rsid w:val="00C669C4"/>
    <w:rsid w:val="00C66B50"/>
    <w:rsid w:val="00C7652E"/>
    <w:rsid w:val="00C83865"/>
    <w:rsid w:val="00C8459D"/>
    <w:rsid w:val="00C84FC2"/>
    <w:rsid w:val="00C9379A"/>
    <w:rsid w:val="00CA292F"/>
    <w:rsid w:val="00CA5A12"/>
    <w:rsid w:val="00CA71AB"/>
    <w:rsid w:val="00CA7C84"/>
    <w:rsid w:val="00CB5D11"/>
    <w:rsid w:val="00CB5F63"/>
    <w:rsid w:val="00CC4DC0"/>
    <w:rsid w:val="00CD4D4B"/>
    <w:rsid w:val="00CE0A3E"/>
    <w:rsid w:val="00CE36BA"/>
    <w:rsid w:val="00CF1535"/>
    <w:rsid w:val="00CF3DCC"/>
    <w:rsid w:val="00CF46CD"/>
    <w:rsid w:val="00D02A7A"/>
    <w:rsid w:val="00D168CD"/>
    <w:rsid w:val="00D171BE"/>
    <w:rsid w:val="00D20922"/>
    <w:rsid w:val="00D35D89"/>
    <w:rsid w:val="00D428CF"/>
    <w:rsid w:val="00D43F7E"/>
    <w:rsid w:val="00D45BEB"/>
    <w:rsid w:val="00D56AD1"/>
    <w:rsid w:val="00D75103"/>
    <w:rsid w:val="00D80E51"/>
    <w:rsid w:val="00D86AC4"/>
    <w:rsid w:val="00DA27E4"/>
    <w:rsid w:val="00DA2C76"/>
    <w:rsid w:val="00DA4168"/>
    <w:rsid w:val="00DA7702"/>
    <w:rsid w:val="00DB1280"/>
    <w:rsid w:val="00DB2D88"/>
    <w:rsid w:val="00DB59F0"/>
    <w:rsid w:val="00DD403B"/>
    <w:rsid w:val="00DD5F29"/>
    <w:rsid w:val="00DE086C"/>
    <w:rsid w:val="00DE63B3"/>
    <w:rsid w:val="00DF15D6"/>
    <w:rsid w:val="00DF2690"/>
    <w:rsid w:val="00DF758B"/>
    <w:rsid w:val="00E00683"/>
    <w:rsid w:val="00E00A27"/>
    <w:rsid w:val="00E021D7"/>
    <w:rsid w:val="00E10E6E"/>
    <w:rsid w:val="00E143AD"/>
    <w:rsid w:val="00E34B9A"/>
    <w:rsid w:val="00E35166"/>
    <w:rsid w:val="00E40287"/>
    <w:rsid w:val="00E55DDB"/>
    <w:rsid w:val="00E57F84"/>
    <w:rsid w:val="00E6124E"/>
    <w:rsid w:val="00E64556"/>
    <w:rsid w:val="00E70694"/>
    <w:rsid w:val="00E714E1"/>
    <w:rsid w:val="00E734F2"/>
    <w:rsid w:val="00E75539"/>
    <w:rsid w:val="00E76016"/>
    <w:rsid w:val="00E90219"/>
    <w:rsid w:val="00E94AD0"/>
    <w:rsid w:val="00EA200B"/>
    <w:rsid w:val="00EA2978"/>
    <w:rsid w:val="00EA43B5"/>
    <w:rsid w:val="00EA5E13"/>
    <w:rsid w:val="00EB4DCC"/>
    <w:rsid w:val="00EC1387"/>
    <w:rsid w:val="00EE2128"/>
    <w:rsid w:val="00EF4C8C"/>
    <w:rsid w:val="00F06B3C"/>
    <w:rsid w:val="00F16BB1"/>
    <w:rsid w:val="00F262B2"/>
    <w:rsid w:val="00F37E68"/>
    <w:rsid w:val="00F473B2"/>
    <w:rsid w:val="00F66E58"/>
    <w:rsid w:val="00F75C2C"/>
    <w:rsid w:val="00F82C61"/>
    <w:rsid w:val="00F945C5"/>
    <w:rsid w:val="00F96670"/>
    <w:rsid w:val="00FA335D"/>
    <w:rsid w:val="00FA59E7"/>
    <w:rsid w:val="00FC32EC"/>
    <w:rsid w:val="00FC43A1"/>
    <w:rsid w:val="00FC6F7B"/>
    <w:rsid w:val="00FD005C"/>
    <w:rsid w:val="00FE1724"/>
    <w:rsid w:val="00FF033F"/>
    <w:rsid w:val="00FF0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7B832"/>
  <w15:docId w15:val="{EC130F34-BDFD-4698-B172-8B94941A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6F07"/>
    <w:rPr>
      <w:sz w:val="24"/>
    </w:rPr>
  </w:style>
  <w:style w:type="paragraph" w:styleId="1">
    <w:name w:val="heading 1"/>
    <w:basedOn w:val="a"/>
    <w:next w:val="a"/>
    <w:link w:val="10"/>
    <w:uiPriority w:val="9"/>
    <w:qFormat/>
    <w:rsid w:val="00EE2128"/>
    <w:pPr>
      <w:keepNext/>
      <w:keepLines/>
      <w:spacing w:before="120" w:after="240"/>
      <w:jc w:val="center"/>
      <w:outlineLvl w:val="0"/>
    </w:pPr>
    <w:rPr>
      <w:rFonts w:asciiTheme="majorHAnsi" w:eastAsiaTheme="majorEastAsia" w:hAnsiTheme="majorHAnsi" w:cstheme="majorBidi"/>
      <w:b/>
      <w:sz w:val="32"/>
      <w:szCs w:val="32"/>
    </w:rPr>
  </w:style>
  <w:style w:type="paragraph" w:styleId="2">
    <w:name w:val="heading 2"/>
    <w:basedOn w:val="a"/>
    <w:next w:val="a"/>
    <w:link w:val="20"/>
    <w:uiPriority w:val="9"/>
    <w:unhideWhenUsed/>
    <w:qFormat/>
    <w:rsid w:val="00B73A7A"/>
    <w:pPr>
      <w:keepNext/>
      <w:keepLines/>
      <w:spacing w:before="120" w:after="120" w:line="360" w:lineRule="auto"/>
      <w:outlineLvl w:val="1"/>
    </w:pPr>
    <w:rPr>
      <w:rFonts w:asciiTheme="majorHAnsi" w:eastAsiaTheme="majorEastAsia" w:hAnsiTheme="majorHAnsi" w:cstheme="majorBidi"/>
      <w:b/>
      <w:sz w:val="28"/>
      <w:szCs w:val="26"/>
    </w:rPr>
  </w:style>
  <w:style w:type="paragraph" w:styleId="3">
    <w:name w:val="heading 3"/>
    <w:basedOn w:val="a"/>
    <w:next w:val="a"/>
    <w:link w:val="30"/>
    <w:uiPriority w:val="9"/>
    <w:unhideWhenUsed/>
    <w:qFormat/>
    <w:rsid w:val="006B152D"/>
    <w:pPr>
      <w:keepNext/>
      <w:keepLines/>
      <w:spacing w:before="120" w:after="120" w:line="360" w:lineRule="auto"/>
      <w:outlineLvl w:val="2"/>
    </w:pPr>
    <w:rPr>
      <w:rFonts w:asciiTheme="majorHAnsi" w:eastAsiaTheme="majorEastAsia" w:hAnsiTheme="majorHAnsi" w:cstheme="majorBidi"/>
      <w:b/>
      <w:sz w:val="28"/>
      <w:szCs w:val="24"/>
    </w:rPr>
  </w:style>
  <w:style w:type="paragraph" w:styleId="6">
    <w:name w:val="heading 6"/>
    <w:basedOn w:val="a"/>
    <w:next w:val="a"/>
    <w:link w:val="60"/>
    <w:uiPriority w:val="9"/>
    <w:semiHidden/>
    <w:unhideWhenUsed/>
    <w:qFormat/>
    <w:rsid w:val="00676EC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4F6"/>
    <w:pPr>
      <w:ind w:left="720"/>
      <w:contextualSpacing/>
    </w:pPr>
  </w:style>
  <w:style w:type="paragraph" w:styleId="a4">
    <w:name w:val="header"/>
    <w:basedOn w:val="a"/>
    <w:link w:val="a5"/>
    <w:uiPriority w:val="99"/>
    <w:unhideWhenUsed/>
    <w:rsid w:val="00DF15D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F15D6"/>
  </w:style>
  <w:style w:type="paragraph" w:styleId="a6">
    <w:name w:val="footer"/>
    <w:basedOn w:val="a"/>
    <w:link w:val="a7"/>
    <w:uiPriority w:val="99"/>
    <w:unhideWhenUsed/>
    <w:rsid w:val="00DF15D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F15D6"/>
  </w:style>
  <w:style w:type="character" w:styleId="a8">
    <w:name w:val="Hyperlink"/>
    <w:basedOn w:val="a0"/>
    <w:uiPriority w:val="99"/>
    <w:unhideWhenUsed/>
    <w:rsid w:val="00C6692B"/>
    <w:rPr>
      <w:color w:val="0000FF" w:themeColor="hyperlink"/>
      <w:u w:val="single"/>
    </w:rPr>
  </w:style>
  <w:style w:type="paragraph" w:styleId="a9">
    <w:name w:val="No Spacing"/>
    <w:aliases w:val="основной текст"/>
    <w:uiPriority w:val="1"/>
    <w:qFormat/>
    <w:rsid w:val="00A5364C"/>
    <w:pPr>
      <w:spacing w:after="0" w:line="360" w:lineRule="auto"/>
      <w:ind w:firstLine="709"/>
      <w:jc w:val="both"/>
    </w:pPr>
    <w:rPr>
      <w:sz w:val="28"/>
    </w:rPr>
  </w:style>
  <w:style w:type="character" w:customStyle="1" w:styleId="10">
    <w:name w:val="Заголовок 1 Знак"/>
    <w:basedOn w:val="a0"/>
    <w:link w:val="1"/>
    <w:uiPriority w:val="9"/>
    <w:rsid w:val="00EE2128"/>
    <w:rPr>
      <w:rFonts w:asciiTheme="majorHAnsi" w:eastAsiaTheme="majorEastAsia" w:hAnsiTheme="majorHAnsi" w:cstheme="majorBidi"/>
      <w:b/>
      <w:sz w:val="32"/>
      <w:szCs w:val="32"/>
    </w:rPr>
  </w:style>
  <w:style w:type="paragraph" w:styleId="aa">
    <w:name w:val="TOC Heading"/>
    <w:basedOn w:val="1"/>
    <w:next w:val="a"/>
    <w:uiPriority w:val="39"/>
    <w:unhideWhenUsed/>
    <w:qFormat/>
    <w:rsid w:val="00A5364C"/>
    <w:pPr>
      <w:outlineLvl w:val="9"/>
    </w:pPr>
  </w:style>
  <w:style w:type="character" w:customStyle="1" w:styleId="20">
    <w:name w:val="Заголовок 2 Знак"/>
    <w:basedOn w:val="a0"/>
    <w:link w:val="2"/>
    <w:uiPriority w:val="9"/>
    <w:rsid w:val="00B73A7A"/>
    <w:rPr>
      <w:rFonts w:asciiTheme="majorHAnsi" w:eastAsiaTheme="majorEastAsia" w:hAnsiTheme="majorHAnsi" w:cstheme="majorBidi"/>
      <w:b/>
      <w:sz w:val="28"/>
      <w:szCs w:val="26"/>
    </w:rPr>
  </w:style>
  <w:style w:type="paragraph" w:styleId="11">
    <w:name w:val="toc 1"/>
    <w:basedOn w:val="a"/>
    <w:next w:val="a"/>
    <w:autoRedefine/>
    <w:uiPriority w:val="39"/>
    <w:unhideWhenUsed/>
    <w:rsid w:val="00B73A7A"/>
    <w:pPr>
      <w:spacing w:after="100"/>
    </w:pPr>
  </w:style>
  <w:style w:type="paragraph" w:styleId="21">
    <w:name w:val="toc 2"/>
    <w:basedOn w:val="a"/>
    <w:next w:val="a"/>
    <w:autoRedefine/>
    <w:uiPriority w:val="39"/>
    <w:unhideWhenUsed/>
    <w:rsid w:val="00B73A7A"/>
    <w:pPr>
      <w:spacing w:after="100"/>
      <w:ind w:left="220"/>
    </w:pPr>
  </w:style>
  <w:style w:type="paragraph" w:styleId="ab">
    <w:name w:val="footnote text"/>
    <w:basedOn w:val="a"/>
    <w:link w:val="ac"/>
    <w:uiPriority w:val="99"/>
    <w:semiHidden/>
    <w:unhideWhenUsed/>
    <w:rsid w:val="0043010F"/>
    <w:pPr>
      <w:spacing w:after="0" w:line="240" w:lineRule="auto"/>
    </w:pPr>
    <w:rPr>
      <w:sz w:val="20"/>
      <w:szCs w:val="20"/>
    </w:rPr>
  </w:style>
  <w:style w:type="character" w:customStyle="1" w:styleId="ac">
    <w:name w:val="Текст сноски Знак"/>
    <w:basedOn w:val="a0"/>
    <w:link w:val="ab"/>
    <w:uiPriority w:val="99"/>
    <w:semiHidden/>
    <w:rsid w:val="0043010F"/>
    <w:rPr>
      <w:sz w:val="20"/>
      <w:szCs w:val="20"/>
    </w:rPr>
  </w:style>
  <w:style w:type="character" w:styleId="ad">
    <w:name w:val="footnote reference"/>
    <w:basedOn w:val="a0"/>
    <w:uiPriority w:val="99"/>
    <w:semiHidden/>
    <w:unhideWhenUsed/>
    <w:rsid w:val="0043010F"/>
    <w:rPr>
      <w:vertAlign w:val="superscript"/>
    </w:rPr>
  </w:style>
  <w:style w:type="character" w:customStyle="1" w:styleId="60">
    <w:name w:val="Заголовок 6 Знак"/>
    <w:basedOn w:val="a0"/>
    <w:link w:val="6"/>
    <w:uiPriority w:val="9"/>
    <w:semiHidden/>
    <w:rsid w:val="00676ECB"/>
    <w:rPr>
      <w:rFonts w:asciiTheme="majorHAnsi" w:eastAsiaTheme="majorEastAsia" w:hAnsiTheme="majorHAnsi" w:cstheme="majorBidi"/>
      <w:color w:val="243F60" w:themeColor="accent1" w:themeShade="7F"/>
    </w:rPr>
  </w:style>
  <w:style w:type="table" w:styleId="ae">
    <w:name w:val="Table Grid"/>
    <w:basedOn w:val="a1"/>
    <w:uiPriority w:val="39"/>
    <w:rsid w:val="00C84FC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e"/>
    <w:uiPriority w:val="39"/>
    <w:rsid w:val="00592DA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next w:val="a"/>
    <w:link w:val="af0"/>
    <w:uiPriority w:val="11"/>
    <w:qFormat/>
    <w:rsid w:val="006B152D"/>
    <w:pPr>
      <w:numPr>
        <w:ilvl w:val="1"/>
      </w:numPr>
      <w:spacing w:before="120" w:after="120" w:line="360" w:lineRule="auto"/>
    </w:pPr>
    <w:rPr>
      <w:b/>
      <w:spacing w:val="15"/>
      <w:sz w:val="28"/>
    </w:rPr>
  </w:style>
  <w:style w:type="character" w:customStyle="1" w:styleId="af0">
    <w:name w:val="Подзаголовок Знак"/>
    <w:basedOn w:val="a0"/>
    <w:link w:val="af"/>
    <w:uiPriority w:val="11"/>
    <w:rsid w:val="006B152D"/>
    <w:rPr>
      <w:b/>
      <w:spacing w:val="15"/>
      <w:sz w:val="28"/>
    </w:rPr>
  </w:style>
  <w:style w:type="paragraph" w:styleId="31">
    <w:name w:val="toc 3"/>
    <w:basedOn w:val="a"/>
    <w:next w:val="a"/>
    <w:autoRedefine/>
    <w:uiPriority w:val="39"/>
    <w:unhideWhenUsed/>
    <w:rsid w:val="006B152D"/>
    <w:pPr>
      <w:spacing w:after="100"/>
      <w:ind w:left="440"/>
    </w:pPr>
    <w:rPr>
      <w:rFonts w:cs="Times New Roman"/>
    </w:rPr>
  </w:style>
  <w:style w:type="character" w:customStyle="1" w:styleId="30">
    <w:name w:val="Заголовок 3 Знак"/>
    <w:basedOn w:val="a0"/>
    <w:link w:val="3"/>
    <w:uiPriority w:val="9"/>
    <w:rsid w:val="006B152D"/>
    <w:rPr>
      <w:rFonts w:asciiTheme="majorHAnsi" w:eastAsiaTheme="majorEastAsia" w:hAnsiTheme="majorHAnsi" w:cstheme="majorBidi"/>
      <w:b/>
      <w:sz w:val="28"/>
      <w:szCs w:val="24"/>
    </w:rPr>
  </w:style>
  <w:style w:type="paragraph" w:styleId="af1">
    <w:name w:val="Normal (Web)"/>
    <w:basedOn w:val="a"/>
    <w:uiPriority w:val="99"/>
    <w:unhideWhenUsed/>
    <w:rsid w:val="00FC32EC"/>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4732">
      <w:bodyDiv w:val="1"/>
      <w:marLeft w:val="0"/>
      <w:marRight w:val="0"/>
      <w:marTop w:val="0"/>
      <w:marBottom w:val="0"/>
      <w:divBdr>
        <w:top w:val="none" w:sz="0" w:space="0" w:color="auto"/>
        <w:left w:val="none" w:sz="0" w:space="0" w:color="auto"/>
        <w:bottom w:val="none" w:sz="0" w:space="0" w:color="auto"/>
        <w:right w:val="none" w:sz="0" w:space="0" w:color="auto"/>
      </w:divBdr>
    </w:div>
    <w:div w:id="172494354">
      <w:bodyDiv w:val="1"/>
      <w:marLeft w:val="0"/>
      <w:marRight w:val="0"/>
      <w:marTop w:val="0"/>
      <w:marBottom w:val="0"/>
      <w:divBdr>
        <w:top w:val="none" w:sz="0" w:space="0" w:color="auto"/>
        <w:left w:val="none" w:sz="0" w:space="0" w:color="auto"/>
        <w:bottom w:val="none" w:sz="0" w:space="0" w:color="auto"/>
        <w:right w:val="none" w:sz="0" w:space="0" w:color="auto"/>
      </w:divBdr>
    </w:div>
    <w:div w:id="256059090">
      <w:bodyDiv w:val="1"/>
      <w:marLeft w:val="0"/>
      <w:marRight w:val="0"/>
      <w:marTop w:val="0"/>
      <w:marBottom w:val="0"/>
      <w:divBdr>
        <w:top w:val="none" w:sz="0" w:space="0" w:color="auto"/>
        <w:left w:val="none" w:sz="0" w:space="0" w:color="auto"/>
        <w:bottom w:val="none" w:sz="0" w:space="0" w:color="auto"/>
        <w:right w:val="none" w:sz="0" w:space="0" w:color="auto"/>
      </w:divBdr>
    </w:div>
    <w:div w:id="463741840">
      <w:bodyDiv w:val="1"/>
      <w:marLeft w:val="0"/>
      <w:marRight w:val="0"/>
      <w:marTop w:val="0"/>
      <w:marBottom w:val="0"/>
      <w:divBdr>
        <w:top w:val="none" w:sz="0" w:space="0" w:color="auto"/>
        <w:left w:val="none" w:sz="0" w:space="0" w:color="auto"/>
        <w:bottom w:val="none" w:sz="0" w:space="0" w:color="auto"/>
        <w:right w:val="none" w:sz="0" w:space="0" w:color="auto"/>
      </w:divBdr>
    </w:div>
    <w:div w:id="702704869">
      <w:bodyDiv w:val="1"/>
      <w:marLeft w:val="0"/>
      <w:marRight w:val="0"/>
      <w:marTop w:val="0"/>
      <w:marBottom w:val="0"/>
      <w:divBdr>
        <w:top w:val="none" w:sz="0" w:space="0" w:color="auto"/>
        <w:left w:val="none" w:sz="0" w:space="0" w:color="auto"/>
        <w:bottom w:val="none" w:sz="0" w:space="0" w:color="auto"/>
        <w:right w:val="none" w:sz="0" w:space="0" w:color="auto"/>
      </w:divBdr>
    </w:div>
    <w:div w:id="1042704144">
      <w:bodyDiv w:val="1"/>
      <w:marLeft w:val="0"/>
      <w:marRight w:val="0"/>
      <w:marTop w:val="0"/>
      <w:marBottom w:val="0"/>
      <w:divBdr>
        <w:top w:val="none" w:sz="0" w:space="0" w:color="auto"/>
        <w:left w:val="none" w:sz="0" w:space="0" w:color="auto"/>
        <w:bottom w:val="none" w:sz="0" w:space="0" w:color="auto"/>
        <w:right w:val="none" w:sz="0" w:space="0" w:color="auto"/>
      </w:divBdr>
    </w:div>
    <w:div w:id="1153641094">
      <w:bodyDiv w:val="1"/>
      <w:marLeft w:val="0"/>
      <w:marRight w:val="0"/>
      <w:marTop w:val="0"/>
      <w:marBottom w:val="0"/>
      <w:divBdr>
        <w:top w:val="none" w:sz="0" w:space="0" w:color="auto"/>
        <w:left w:val="none" w:sz="0" w:space="0" w:color="auto"/>
        <w:bottom w:val="none" w:sz="0" w:space="0" w:color="auto"/>
        <w:right w:val="none" w:sz="0" w:space="0" w:color="auto"/>
      </w:divBdr>
    </w:div>
    <w:div w:id="1177184741">
      <w:bodyDiv w:val="1"/>
      <w:marLeft w:val="0"/>
      <w:marRight w:val="0"/>
      <w:marTop w:val="0"/>
      <w:marBottom w:val="0"/>
      <w:divBdr>
        <w:top w:val="none" w:sz="0" w:space="0" w:color="auto"/>
        <w:left w:val="none" w:sz="0" w:space="0" w:color="auto"/>
        <w:bottom w:val="none" w:sz="0" w:space="0" w:color="auto"/>
        <w:right w:val="none" w:sz="0" w:space="0" w:color="auto"/>
      </w:divBdr>
    </w:div>
    <w:div w:id="1224291606">
      <w:bodyDiv w:val="1"/>
      <w:marLeft w:val="0"/>
      <w:marRight w:val="0"/>
      <w:marTop w:val="0"/>
      <w:marBottom w:val="0"/>
      <w:divBdr>
        <w:top w:val="none" w:sz="0" w:space="0" w:color="auto"/>
        <w:left w:val="none" w:sz="0" w:space="0" w:color="auto"/>
        <w:bottom w:val="none" w:sz="0" w:space="0" w:color="auto"/>
        <w:right w:val="none" w:sz="0" w:space="0" w:color="auto"/>
      </w:divBdr>
    </w:div>
    <w:div w:id="1543249992">
      <w:bodyDiv w:val="1"/>
      <w:marLeft w:val="0"/>
      <w:marRight w:val="0"/>
      <w:marTop w:val="0"/>
      <w:marBottom w:val="0"/>
      <w:divBdr>
        <w:top w:val="none" w:sz="0" w:space="0" w:color="auto"/>
        <w:left w:val="none" w:sz="0" w:space="0" w:color="auto"/>
        <w:bottom w:val="none" w:sz="0" w:space="0" w:color="auto"/>
        <w:right w:val="none" w:sz="0" w:space="0" w:color="auto"/>
      </w:divBdr>
    </w:div>
    <w:div w:id="1615600633">
      <w:bodyDiv w:val="1"/>
      <w:marLeft w:val="0"/>
      <w:marRight w:val="0"/>
      <w:marTop w:val="0"/>
      <w:marBottom w:val="0"/>
      <w:divBdr>
        <w:top w:val="none" w:sz="0" w:space="0" w:color="auto"/>
        <w:left w:val="none" w:sz="0" w:space="0" w:color="auto"/>
        <w:bottom w:val="none" w:sz="0" w:space="0" w:color="auto"/>
        <w:right w:val="none" w:sz="0" w:space="0" w:color="auto"/>
      </w:divBdr>
    </w:div>
    <w:div w:id="1940524750">
      <w:bodyDiv w:val="1"/>
      <w:marLeft w:val="0"/>
      <w:marRight w:val="0"/>
      <w:marTop w:val="0"/>
      <w:marBottom w:val="0"/>
      <w:divBdr>
        <w:top w:val="none" w:sz="0" w:space="0" w:color="auto"/>
        <w:left w:val="none" w:sz="0" w:space="0" w:color="auto"/>
        <w:bottom w:val="none" w:sz="0" w:space="0" w:color="auto"/>
        <w:right w:val="none" w:sz="0" w:space="0" w:color="auto"/>
      </w:divBdr>
    </w:div>
    <w:div w:id="1991472146">
      <w:bodyDiv w:val="1"/>
      <w:marLeft w:val="0"/>
      <w:marRight w:val="0"/>
      <w:marTop w:val="0"/>
      <w:marBottom w:val="0"/>
      <w:divBdr>
        <w:top w:val="none" w:sz="0" w:space="0" w:color="auto"/>
        <w:left w:val="none" w:sz="0" w:space="0" w:color="auto"/>
        <w:bottom w:val="none" w:sz="0" w:space="0" w:color="auto"/>
        <w:right w:val="none" w:sz="0" w:space="0" w:color="auto"/>
      </w:divBdr>
    </w:div>
    <w:div w:id="2014339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8.png"/><Relationship Id="rId10" Type="http://schemas.openxmlformats.org/officeDocument/2006/relationships/chart" Target="charts/chart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101;&#1087;&#1080;%20&#1042;&#1050;&#1056;%20&#1085;&#1077;%20&#1090;&#1088;&#1086;&#1085;&#1091;&#1090;&#1072;&#1103;%20&#1052;&#1080;&#1096;&#1077;&#108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101;&#1087;&#1080;%20&#1042;&#1050;&#1056;%20&#1085;&#1077;%20&#1090;&#1088;&#1086;&#1085;&#1091;&#1090;&#1072;&#1103;%20&#1052;&#1080;&#1096;&#1077;&#108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101;&#1087;&#1080;%20&#1042;&#1050;&#1056;%20&#1085;&#1077;%20&#1090;&#1088;&#1086;&#1085;&#1091;&#1090;&#1072;&#1103;%20&#1052;&#1080;&#1096;&#1077;&#108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101;&#1087;&#1080;%20&#1042;&#1050;&#1056;%20&#1085;&#1077;%20&#1090;&#1088;&#1086;&#1085;&#1091;&#1090;&#1072;&#1103;%20&#1052;&#1080;&#1096;&#1077;&#108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101;&#1087;&#1080;%20&#1042;&#1050;&#1056;%20&#1085;&#1077;%20&#1090;&#1088;&#1086;&#1085;&#1091;&#1090;&#1072;&#1103;%20&#1052;&#1080;&#1096;&#1077;&#108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101;&#1087;&#1080;%20&#1042;&#1050;&#1056;%20&#1085;&#1077;%20&#1090;&#1088;&#1086;&#1085;&#1091;&#1090;&#1072;&#1103;%20&#1052;&#1080;&#1096;&#1077;&#108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101;&#1087;&#1080;%20&#1042;&#1050;&#1056;%20&#1085;&#1077;%20&#1090;&#1088;&#1086;&#1085;&#1091;&#1090;&#1072;&#1103;%20&#1052;&#1080;&#1096;&#1077;&#108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Лист3!$H$19:$H$23</c:f>
              <c:strCache>
                <c:ptCount val="5"/>
                <c:pt idx="0">
                  <c:v>Без изменений</c:v>
                </c:pt>
                <c:pt idx="1">
                  <c:v>Гиперкинезы</c:v>
                </c:pt>
                <c:pt idx="2">
                  <c:v>Нарушения функций ЧН</c:v>
                </c:pt>
                <c:pt idx="3">
                  <c:v>Координаторные нарушения</c:v>
                </c:pt>
                <c:pt idx="4">
                  <c:v>Снижение когнитивных функций</c:v>
                </c:pt>
              </c:strCache>
            </c:strRef>
          </c:cat>
          <c:val>
            <c:numRef>
              <c:f>Лист3!$I$19:$I$23</c:f>
              <c:numCache>
                <c:formatCode>0.0%</c:formatCode>
                <c:ptCount val="5"/>
                <c:pt idx="0">
                  <c:v>0.39500000000000002</c:v>
                </c:pt>
                <c:pt idx="1">
                  <c:v>5.2999999999999999E-2</c:v>
                </c:pt>
                <c:pt idx="2">
                  <c:v>7.9000000000000001E-2</c:v>
                </c:pt>
                <c:pt idx="3">
                  <c:v>0.105</c:v>
                </c:pt>
                <c:pt idx="4">
                  <c:v>0.28899999999999998</c:v>
                </c:pt>
              </c:numCache>
            </c:numRef>
          </c:val>
          <c:extLst>
            <c:ext xmlns:c16="http://schemas.microsoft.com/office/drawing/2014/chart" uri="{C3380CC4-5D6E-409C-BE32-E72D297353CC}">
              <c16:uniqueId val="{00000000-655C-4C6B-AEEC-B9D0F1D1ECD2}"/>
            </c:ext>
          </c:extLst>
        </c:ser>
        <c:dLbls>
          <c:dLblPos val="outEnd"/>
          <c:showLegendKey val="0"/>
          <c:showVal val="1"/>
          <c:showCatName val="0"/>
          <c:showSerName val="0"/>
          <c:showPercent val="0"/>
          <c:showBubbleSize val="0"/>
        </c:dLbls>
        <c:gapWidth val="182"/>
        <c:axId val="320462136"/>
        <c:axId val="320463312"/>
      </c:barChart>
      <c:catAx>
        <c:axId val="320462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320463312"/>
        <c:crosses val="autoZero"/>
        <c:auto val="1"/>
        <c:lblAlgn val="ctr"/>
        <c:lblOffset val="100"/>
        <c:noMultiLvlLbl val="0"/>
      </c:catAx>
      <c:valAx>
        <c:axId val="32046331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20462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Лист3!$H$51:$H$57</c:f>
              <c:strCache>
                <c:ptCount val="7"/>
                <c:pt idx="0">
                  <c:v>Другие патологии</c:v>
                </c:pt>
                <c:pt idx="1">
                  <c:v>Злокачественные новообразования</c:v>
                </c:pt>
                <c:pt idx="2">
                  <c:v>Заболевания кожи</c:v>
                </c:pt>
                <c:pt idx="3">
                  <c:v>Ревматологические заболевания</c:v>
                </c:pt>
                <c:pt idx="4">
                  <c:v>Заболевания ЖКТ</c:v>
                </c:pt>
                <c:pt idx="5">
                  <c:v>Заболевания ССС</c:v>
                </c:pt>
                <c:pt idx="6">
                  <c:v>Без изменений</c:v>
                </c:pt>
              </c:strCache>
            </c:strRef>
          </c:cat>
          <c:val>
            <c:numRef>
              <c:f>Лист3!$I$51:$I$57</c:f>
              <c:numCache>
                <c:formatCode>0.0%</c:formatCode>
                <c:ptCount val="7"/>
                <c:pt idx="0">
                  <c:v>7.9000000000000001E-2</c:v>
                </c:pt>
                <c:pt idx="1">
                  <c:v>5.2999999999999999E-2</c:v>
                </c:pt>
                <c:pt idx="2">
                  <c:v>5.2999999999999999E-2</c:v>
                </c:pt>
                <c:pt idx="3">
                  <c:v>7.9000000000000001E-2</c:v>
                </c:pt>
                <c:pt idx="4">
                  <c:v>0.105</c:v>
                </c:pt>
                <c:pt idx="5">
                  <c:v>0.21099999999999999</c:v>
                </c:pt>
                <c:pt idx="6">
                  <c:v>0.44700000000000001</c:v>
                </c:pt>
              </c:numCache>
            </c:numRef>
          </c:val>
          <c:extLst>
            <c:ext xmlns:c16="http://schemas.microsoft.com/office/drawing/2014/chart" uri="{C3380CC4-5D6E-409C-BE32-E72D297353CC}">
              <c16:uniqueId val="{00000000-E3F8-47ED-A99B-64A50ED64B6D}"/>
            </c:ext>
          </c:extLst>
        </c:ser>
        <c:dLbls>
          <c:dLblPos val="outEnd"/>
          <c:showLegendKey val="0"/>
          <c:showVal val="1"/>
          <c:showCatName val="0"/>
          <c:showSerName val="0"/>
          <c:showPercent val="0"/>
          <c:showBubbleSize val="0"/>
        </c:dLbls>
        <c:gapWidth val="182"/>
        <c:axId val="320468016"/>
        <c:axId val="320463704"/>
      </c:barChart>
      <c:catAx>
        <c:axId val="32046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320463704"/>
        <c:crosses val="autoZero"/>
        <c:auto val="1"/>
        <c:lblAlgn val="ctr"/>
        <c:lblOffset val="100"/>
        <c:noMultiLvlLbl val="0"/>
      </c:catAx>
      <c:valAx>
        <c:axId val="32046370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2046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5D1-4B2C-85DA-348D6CC53A01}"/>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5D1-4B2C-85DA-348D6CC53A01}"/>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5D1-4B2C-85DA-348D6CC53A01}"/>
              </c:ext>
            </c:extLst>
          </c:dPt>
          <c:dLbls>
            <c:dLbl>
              <c:idx val="0"/>
              <c:layout>
                <c:manualLayout>
                  <c:x val="0.1604217319860512"/>
                  <c:y val="-0.11178535587463335"/>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spc="0" baseline="0">
                      <a:solidFill>
                        <a:schemeClr val="accent2"/>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8691177235989973"/>
                      <c:h val="0.28699089084452672"/>
                    </c:manualLayout>
                  </c15:layout>
                </c:ext>
                <c:ext xmlns:c16="http://schemas.microsoft.com/office/drawing/2014/chart" uri="{C3380CC4-5D6E-409C-BE32-E72D297353CC}">
                  <c16:uniqueId val="{00000001-F5D1-4B2C-85DA-348D6CC53A01}"/>
                </c:ext>
              </c:extLst>
            </c:dLbl>
            <c:dLbl>
              <c:idx val="1"/>
              <c:layout>
                <c:manualLayout>
                  <c:x val="-0.13199740678220814"/>
                  <c:y val="0.23421201190633295"/>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spc="0" baseline="0">
                      <a:solidFill>
                        <a:schemeClr val="accent4"/>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1543978107929584"/>
                      <c:h val="0.19651754424551679"/>
                    </c:manualLayout>
                  </c15:layout>
                </c:ext>
                <c:ext xmlns:c16="http://schemas.microsoft.com/office/drawing/2014/chart" uri="{C3380CC4-5D6E-409C-BE32-E72D297353CC}">
                  <c16:uniqueId val="{00000003-F5D1-4B2C-85DA-348D6CC53A01}"/>
                </c:ext>
              </c:extLst>
            </c:dLbl>
            <c:dLbl>
              <c:idx val="2"/>
              <c:layout>
                <c:manualLayout>
                  <c:x val="-0.18809811533974918"/>
                  <c:y val="3.8445552784704899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6"/>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5710648148148146"/>
                      <c:h val="0.15586034912718205"/>
                    </c:manualLayout>
                  </c15:layout>
                </c:ext>
                <c:ext xmlns:c16="http://schemas.microsoft.com/office/drawing/2014/chart" uri="{C3380CC4-5D6E-409C-BE32-E72D297353CC}">
                  <c16:uniqueId val="{00000005-F5D1-4B2C-85DA-348D6CC53A0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2"/>
                    </a:solidFill>
                    <a:latin typeface="+mn-lt"/>
                    <a:ea typeface="+mn-ea"/>
                    <a:cs typeface="+mn-cs"/>
                  </a:defRPr>
                </a:pPr>
                <a:endParaRPr lang="ru-RU"/>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Лист3!$H$67:$H$69</c:f>
              <c:strCache>
                <c:ptCount val="3"/>
                <c:pt idx="0">
                  <c:v>Локализация со стороны изменений</c:v>
                </c:pt>
                <c:pt idx="1">
                  <c:v>Сомнительный результат</c:v>
                </c:pt>
                <c:pt idx="2">
                  <c:v>Нет специфических паттернов</c:v>
                </c:pt>
              </c:strCache>
            </c:strRef>
          </c:cat>
          <c:val>
            <c:numRef>
              <c:f>Лист3!$I$67:$I$69</c:f>
              <c:numCache>
                <c:formatCode>0.0%</c:formatCode>
                <c:ptCount val="3"/>
                <c:pt idx="0">
                  <c:v>0.86799999999999999</c:v>
                </c:pt>
                <c:pt idx="1">
                  <c:v>5.5E-2</c:v>
                </c:pt>
                <c:pt idx="2">
                  <c:v>7.8E-2</c:v>
                </c:pt>
              </c:numCache>
            </c:numRef>
          </c:val>
          <c:extLst>
            <c:ext xmlns:c16="http://schemas.microsoft.com/office/drawing/2014/chart" uri="{C3380CC4-5D6E-409C-BE32-E72D297353CC}">
              <c16:uniqueId val="{00000006-F5D1-4B2C-85DA-348D6CC53A0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Лист3!$I$35</c:f>
              <c:strCache>
                <c:ptCount val="1"/>
                <c:pt idx="0">
                  <c:v>До операции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Лист3!$H$36:$H$40</c:f>
              <c:strCache>
                <c:ptCount val="5"/>
                <c:pt idx="0">
                  <c:v>Без изменений</c:v>
                </c:pt>
                <c:pt idx="1">
                  <c:v>Гиперкинезы</c:v>
                </c:pt>
                <c:pt idx="2">
                  <c:v>Нарушения функций ЧН</c:v>
                </c:pt>
                <c:pt idx="3">
                  <c:v>Координаторные нарушения</c:v>
                </c:pt>
                <c:pt idx="4">
                  <c:v>Снижение когнитивных функций</c:v>
                </c:pt>
              </c:strCache>
            </c:strRef>
          </c:cat>
          <c:val>
            <c:numRef>
              <c:f>Лист3!$I$36:$I$40</c:f>
              <c:numCache>
                <c:formatCode>0.0%</c:formatCode>
                <c:ptCount val="5"/>
                <c:pt idx="0">
                  <c:v>0.45500000000000002</c:v>
                </c:pt>
                <c:pt idx="1">
                  <c:v>0</c:v>
                </c:pt>
                <c:pt idx="2">
                  <c:v>0</c:v>
                </c:pt>
                <c:pt idx="3">
                  <c:v>9.0999999999999998E-2</c:v>
                </c:pt>
                <c:pt idx="4">
                  <c:v>0.54500000000000004</c:v>
                </c:pt>
              </c:numCache>
            </c:numRef>
          </c:val>
          <c:extLst>
            <c:ext xmlns:c16="http://schemas.microsoft.com/office/drawing/2014/chart" uri="{C3380CC4-5D6E-409C-BE32-E72D297353CC}">
              <c16:uniqueId val="{00000000-CE4E-4FD4-B7F0-22C9D40C0ACC}"/>
            </c:ext>
          </c:extLst>
        </c:ser>
        <c:ser>
          <c:idx val="1"/>
          <c:order val="1"/>
          <c:tx>
            <c:strRef>
              <c:f>Лист3!$J$35</c:f>
              <c:strCache>
                <c:ptCount val="1"/>
                <c:pt idx="0">
                  <c:v>После операции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Лист3!$H$36:$H$40</c:f>
              <c:strCache>
                <c:ptCount val="5"/>
                <c:pt idx="0">
                  <c:v>Без изменений</c:v>
                </c:pt>
                <c:pt idx="1">
                  <c:v>Гиперкинезы</c:v>
                </c:pt>
                <c:pt idx="2">
                  <c:v>Нарушения функций ЧН</c:v>
                </c:pt>
                <c:pt idx="3">
                  <c:v>Координаторные нарушения</c:v>
                </c:pt>
                <c:pt idx="4">
                  <c:v>Снижение когнитивных функций</c:v>
                </c:pt>
              </c:strCache>
            </c:strRef>
          </c:cat>
          <c:val>
            <c:numRef>
              <c:f>Лист3!$J$36:$J$40</c:f>
              <c:numCache>
                <c:formatCode>0.0%</c:formatCode>
                <c:ptCount val="5"/>
                <c:pt idx="0">
                  <c:v>0</c:v>
                </c:pt>
                <c:pt idx="1">
                  <c:v>9.0999999999999998E-2</c:v>
                </c:pt>
                <c:pt idx="2">
                  <c:v>9.0999999999999998E-2</c:v>
                </c:pt>
                <c:pt idx="3">
                  <c:v>0.182</c:v>
                </c:pt>
                <c:pt idx="4">
                  <c:v>1</c:v>
                </c:pt>
              </c:numCache>
            </c:numRef>
          </c:val>
          <c:extLst>
            <c:ext xmlns:c16="http://schemas.microsoft.com/office/drawing/2014/chart" uri="{C3380CC4-5D6E-409C-BE32-E72D297353CC}">
              <c16:uniqueId val="{00000001-CE4E-4FD4-B7F0-22C9D40C0ACC}"/>
            </c:ext>
          </c:extLst>
        </c:ser>
        <c:dLbls>
          <c:dLblPos val="outEnd"/>
          <c:showLegendKey val="0"/>
          <c:showVal val="1"/>
          <c:showCatName val="0"/>
          <c:showSerName val="0"/>
          <c:showPercent val="0"/>
          <c:showBubbleSize val="0"/>
        </c:dLbls>
        <c:gapWidth val="182"/>
        <c:overlap val="-34"/>
        <c:axId val="320461352"/>
        <c:axId val="320465272"/>
      </c:barChart>
      <c:catAx>
        <c:axId val="320461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320465272"/>
        <c:crosses val="autoZero"/>
        <c:auto val="1"/>
        <c:lblAlgn val="ctr"/>
        <c:lblOffset val="100"/>
        <c:noMultiLvlLbl val="0"/>
      </c:catAx>
      <c:valAx>
        <c:axId val="32046527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20461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0A7-423C-9AE4-BC3A8C776E1F}"/>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0A7-423C-9AE4-BC3A8C776E1F}"/>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0A7-423C-9AE4-BC3A8C776E1F}"/>
              </c:ext>
            </c:extLst>
          </c:dPt>
          <c:dLbls>
            <c:dLbl>
              <c:idx val="0"/>
              <c:layout>
                <c:manualLayout>
                  <c:x val="1.9977168949771584E-2"/>
                  <c:y val="2.47279920870425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A7-423C-9AE4-BC3A8C776E1F}"/>
                </c:ext>
              </c:extLst>
            </c:dLbl>
            <c:dLbl>
              <c:idx val="1"/>
              <c:layout>
                <c:manualLayout>
                  <c:x val="7.8719166798311799E-2"/>
                  <c:y val="-4.94559841740850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4409665019220203"/>
                      <c:h val="0.28975095785440613"/>
                    </c:manualLayout>
                  </c15:layout>
                </c:ext>
                <c:ext xmlns:c16="http://schemas.microsoft.com/office/drawing/2014/chart" uri="{C3380CC4-5D6E-409C-BE32-E72D297353CC}">
                  <c16:uniqueId val="{00000003-D0A7-423C-9AE4-BC3A8C776E1F}"/>
                </c:ext>
              </c:extLst>
            </c:dLbl>
            <c:dLbl>
              <c:idx val="2"/>
              <c:layout>
                <c:manualLayout>
                  <c:x val="1.4269406392694063E-2"/>
                  <c:y val="-9.39663699307616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A7-423C-9AE4-BC3A8C776E1F}"/>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Лист3!$H$85:$H$87</c:f>
              <c:strCache>
                <c:ptCount val="3"/>
                <c:pt idx="0">
                  <c:v>Нет когнитивных нарушений</c:v>
                </c:pt>
                <c:pt idx="1">
                  <c:v>Преддементные когнитивные нарушения</c:v>
                </c:pt>
                <c:pt idx="2">
                  <c:v>Легкая деменция</c:v>
                </c:pt>
              </c:strCache>
            </c:strRef>
          </c:cat>
          <c:val>
            <c:numRef>
              <c:f>Лист3!$I$85:$I$87</c:f>
              <c:numCache>
                <c:formatCode>0.0%</c:formatCode>
                <c:ptCount val="3"/>
                <c:pt idx="0">
                  <c:v>0.182</c:v>
                </c:pt>
                <c:pt idx="1">
                  <c:v>0.45500000000000002</c:v>
                </c:pt>
                <c:pt idx="2">
                  <c:v>0.36399999999999999</c:v>
                </c:pt>
              </c:numCache>
            </c:numRef>
          </c:val>
          <c:extLst>
            <c:ext xmlns:c16="http://schemas.microsoft.com/office/drawing/2014/chart" uri="{C3380CC4-5D6E-409C-BE32-E72D297353CC}">
              <c16:uniqueId val="{00000006-D0A7-423C-9AE4-BC3A8C776E1F}"/>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Лист3!$H$99</c:f>
              <c:strCache>
                <c:ptCount val="1"/>
                <c:pt idx="0">
                  <c:v>Норма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Лист3!$I$98:$K$98</c:f>
              <c:strCache>
                <c:ptCount val="3"/>
                <c:pt idx="0">
                  <c:v>Эффективность работы</c:v>
                </c:pt>
                <c:pt idx="1">
                  <c:v>Степень врабатываемости</c:v>
                </c:pt>
                <c:pt idx="2">
                  <c:v>Психическая устойчивость</c:v>
                </c:pt>
              </c:strCache>
            </c:strRef>
          </c:cat>
          <c:val>
            <c:numRef>
              <c:f>Лист3!$I$99:$K$99</c:f>
              <c:numCache>
                <c:formatCode>0.0%</c:formatCode>
                <c:ptCount val="3"/>
                <c:pt idx="0">
                  <c:v>0.27300000000000002</c:v>
                </c:pt>
                <c:pt idx="1">
                  <c:v>0.63600000000000001</c:v>
                </c:pt>
                <c:pt idx="2">
                  <c:v>0.36299999999999999</c:v>
                </c:pt>
              </c:numCache>
            </c:numRef>
          </c:val>
          <c:extLst>
            <c:ext xmlns:c16="http://schemas.microsoft.com/office/drawing/2014/chart" uri="{C3380CC4-5D6E-409C-BE32-E72D297353CC}">
              <c16:uniqueId val="{00000000-763B-4940-BDCE-A11499F6A25A}"/>
            </c:ext>
          </c:extLst>
        </c:ser>
        <c:ser>
          <c:idx val="1"/>
          <c:order val="1"/>
          <c:tx>
            <c:strRef>
              <c:f>Лист3!$H$100</c:f>
              <c:strCache>
                <c:ptCount val="1"/>
                <c:pt idx="0">
                  <c:v>Сниженный показатель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Лист3!$I$98:$K$98</c:f>
              <c:strCache>
                <c:ptCount val="3"/>
                <c:pt idx="0">
                  <c:v>Эффективность работы</c:v>
                </c:pt>
                <c:pt idx="1">
                  <c:v>Степень врабатываемости</c:v>
                </c:pt>
                <c:pt idx="2">
                  <c:v>Психическая устойчивость</c:v>
                </c:pt>
              </c:strCache>
            </c:strRef>
          </c:cat>
          <c:val>
            <c:numRef>
              <c:f>Лист3!$I$100:$K$100</c:f>
              <c:numCache>
                <c:formatCode>0.0%</c:formatCode>
                <c:ptCount val="3"/>
                <c:pt idx="0">
                  <c:v>0.81899999999999995</c:v>
                </c:pt>
                <c:pt idx="1">
                  <c:v>0.36299999999999999</c:v>
                </c:pt>
                <c:pt idx="2">
                  <c:v>0.63600000000000001</c:v>
                </c:pt>
              </c:numCache>
            </c:numRef>
          </c:val>
          <c:extLst>
            <c:ext xmlns:c16="http://schemas.microsoft.com/office/drawing/2014/chart" uri="{C3380CC4-5D6E-409C-BE32-E72D297353CC}">
              <c16:uniqueId val="{00000001-763B-4940-BDCE-A11499F6A25A}"/>
            </c:ext>
          </c:extLst>
        </c:ser>
        <c:dLbls>
          <c:dLblPos val="outEnd"/>
          <c:showLegendKey val="0"/>
          <c:showVal val="1"/>
          <c:showCatName val="0"/>
          <c:showSerName val="0"/>
          <c:showPercent val="0"/>
          <c:showBubbleSize val="0"/>
        </c:dLbls>
        <c:gapWidth val="219"/>
        <c:overlap val="-27"/>
        <c:axId val="320467624"/>
        <c:axId val="315932968"/>
      </c:barChart>
      <c:catAx>
        <c:axId val="320467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315932968"/>
        <c:crosses val="autoZero"/>
        <c:auto val="1"/>
        <c:lblAlgn val="ctr"/>
        <c:lblOffset val="100"/>
        <c:noMultiLvlLbl val="0"/>
      </c:catAx>
      <c:valAx>
        <c:axId val="3159329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320467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Лист3!$G$134</c:f>
              <c:strCache>
                <c:ptCount val="1"/>
                <c:pt idx="0">
                  <c:v>Правосторонний очаг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Лист3!$H$133:$Q$133</c:f>
              <c:strCache>
                <c:ptCount val="10"/>
                <c:pt idx="0">
                  <c:v>PF</c:v>
                </c:pt>
                <c:pt idx="1">
                  <c:v>RP*</c:v>
                </c:pt>
                <c:pt idx="2">
                  <c:v>BP</c:v>
                </c:pt>
                <c:pt idx="3">
                  <c:v>GH</c:v>
                </c:pt>
                <c:pt idx="4">
                  <c:v>VT*</c:v>
                </c:pt>
                <c:pt idx="5">
                  <c:v>SF</c:v>
                </c:pt>
                <c:pt idx="6">
                  <c:v>RE*</c:v>
                </c:pt>
                <c:pt idx="7">
                  <c:v>MH</c:v>
                </c:pt>
                <c:pt idx="8">
                  <c:v>ФИЗ </c:v>
                </c:pt>
                <c:pt idx="9">
                  <c:v>ПСИХ</c:v>
                </c:pt>
              </c:strCache>
            </c:strRef>
          </c:cat>
          <c:val>
            <c:numRef>
              <c:f>Лист3!$H$134:$Q$134</c:f>
              <c:numCache>
                <c:formatCode>General</c:formatCode>
                <c:ptCount val="10"/>
                <c:pt idx="0">
                  <c:v>90</c:v>
                </c:pt>
                <c:pt idx="1">
                  <c:v>90</c:v>
                </c:pt>
                <c:pt idx="2">
                  <c:v>84</c:v>
                </c:pt>
                <c:pt idx="3">
                  <c:v>75.2</c:v>
                </c:pt>
                <c:pt idx="4">
                  <c:v>77</c:v>
                </c:pt>
                <c:pt idx="5">
                  <c:v>89.6</c:v>
                </c:pt>
                <c:pt idx="6">
                  <c:v>86.6</c:v>
                </c:pt>
                <c:pt idx="7">
                  <c:v>75.2</c:v>
                </c:pt>
                <c:pt idx="8">
                  <c:v>52.8</c:v>
                </c:pt>
                <c:pt idx="9">
                  <c:v>51.8</c:v>
                </c:pt>
              </c:numCache>
            </c:numRef>
          </c:val>
          <c:extLst>
            <c:ext xmlns:c16="http://schemas.microsoft.com/office/drawing/2014/chart" uri="{C3380CC4-5D6E-409C-BE32-E72D297353CC}">
              <c16:uniqueId val="{00000000-9A79-4185-BDE9-6111EB994AEF}"/>
            </c:ext>
          </c:extLst>
        </c:ser>
        <c:ser>
          <c:idx val="1"/>
          <c:order val="1"/>
          <c:tx>
            <c:strRef>
              <c:f>Лист3!$G$135</c:f>
              <c:strCache>
                <c:ptCount val="1"/>
                <c:pt idx="0">
                  <c:v>Левосторонний очаг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Лист3!$H$133:$Q$133</c:f>
              <c:strCache>
                <c:ptCount val="10"/>
                <c:pt idx="0">
                  <c:v>PF</c:v>
                </c:pt>
                <c:pt idx="1">
                  <c:v>RP*</c:v>
                </c:pt>
                <c:pt idx="2">
                  <c:v>BP</c:v>
                </c:pt>
                <c:pt idx="3">
                  <c:v>GH</c:v>
                </c:pt>
                <c:pt idx="4">
                  <c:v>VT*</c:v>
                </c:pt>
                <c:pt idx="5">
                  <c:v>SF</c:v>
                </c:pt>
                <c:pt idx="6">
                  <c:v>RE*</c:v>
                </c:pt>
                <c:pt idx="7">
                  <c:v>MH</c:v>
                </c:pt>
                <c:pt idx="8">
                  <c:v>ФИЗ </c:v>
                </c:pt>
                <c:pt idx="9">
                  <c:v>ПСИХ</c:v>
                </c:pt>
              </c:strCache>
            </c:strRef>
          </c:cat>
          <c:val>
            <c:numRef>
              <c:f>Лист3!$H$135:$Q$135</c:f>
              <c:numCache>
                <c:formatCode>General</c:formatCode>
                <c:ptCount val="10"/>
                <c:pt idx="0">
                  <c:v>75.8</c:v>
                </c:pt>
                <c:pt idx="1">
                  <c:v>33.299999999999997</c:v>
                </c:pt>
                <c:pt idx="2">
                  <c:v>61.7</c:v>
                </c:pt>
                <c:pt idx="3">
                  <c:v>62.7</c:v>
                </c:pt>
                <c:pt idx="4">
                  <c:v>50.3</c:v>
                </c:pt>
                <c:pt idx="5">
                  <c:v>64.5</c:v>
                </c:pt>
                <c:pt idx="6">
                  <c:v>27.7</c:v>
                </c:pt>
                <c:pt idx="7">
                  <c:v>51.3</c:v>
                </c:pt>
                <c:pt idx="8">
                  <c:v>45.8</c:v>
                </c:pt>
                <c:pt idx="9">
                  <c:v>36</c:v>
                </c:pt>
              </c:numCache>
            </c:numRef>
          </c:val>
          <c:extLst>
            <c:ext xmlns:c16="http://schemas.microsoft.com/office/drawing/2014/chart" uri="{C3380CC4-5D6E-409C-BE32-E72D297353CC}">
              <c16:uniqueId val="{00000001-9A79-4185-BDE9-6111EB994AEF}"/>
            </c:ext>
          </c:extLst>
        </c:ser>
        <c:dLbls>
          <c:dLblPos val="outEnd"/>
          <c:showLegendKey val="0"/>
          <c:showVal val="1"/>
          <c:showCatName val="0"/>
          <c:showSerName val="0"/>
          <c:showPercent val="0"/>
          <c:showBubbleSize val="0"/>
        </c:dLbls>
        <c:gapWidth val="219"/>
        <c:overlap val="-49"/>
        <c:axId val="315934144"/>
        <c:axId val="315933360"/>
      </c:barChart>
      <c:catAx>
        <c:axId val="31593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315933360"/>
        <c:crosses val="autoZero"/>
        <c:auto val="1"/>
        <c:lblAlgn val="ctr"/>
        <c:lblOffset val="100"/>
        <c:noMultiLvlLbl val="0"/>
      </c:catAx>
      <c:valAx>
        <c:axId val="3159333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593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AE9"/>
    <w:rsid w:val="00F92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0E8793B479A46F083BF5FE81BF18698">
    <w:name w:val="40E8793B479A46F083BF5FE81BF18698"/>
    <w:rsid w:val="00F92AE9"/>
  </w:style>
  <w:style w:type="paragraph" w:customStyle="1" w:styleId="12E55494DA574F769F1782BB3C3EDC4F">
    <w:name w:val="12E55494DA574F769F1782BB3C3EDC4F"/>
    <w:rsid w:val="00F92AE9"/>
  </w:style>
  <w:style w:type="paragraph" w:customStyle="1" w:styleId="F65CBB79B0E94E62BF4D044AF3647087">
    <w:name w:val="F65CBB79B0E94E62BF4D044AF3647087"/>
    <w:rsid w:val="00F92A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CocoaOOXMLWriter/1561.61</generator>
</me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7519D-9A53-4DF6-9736-A1EB6CEA63CA}">
  <ds:schemaRefs>
    <ds:schemaRef ds:uri="http://schemas.apple.com/cocoa/2006/metadata"/>
  </ds:schemaRefs>
</ds:datastoreItem>
</file>

<file path=customXml/itemProps2.xml><?xml version="1.0" encoding="utf-8"?>
<ds:datastoreItem xmlns:ds="http://schemas.openxmlformats.org/officeDocument/2006/customXml" ds:itemID="{CD68A5C3-9D6B-44CC-92EC-86AD05098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50834</Words>
  <Characters>289760</Characters>
  <Application>Microsoft Office Word</Application>
  <DocSecurity>0</DocSecurity>
  <Lines>2414</Lines>
  <Paragraphs>679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Natalie Sekret</cp:lastModifiedBy>
  <cp:revision>2</cp:revision>
  <dcterms:created xsi:type="dcterms:W3CDTF">2022-05-26T00:23:00Z</dcterms:created>
  <dcterms:modified xsi:type="dcterms:W3CDTF">2022-05-26T00:23:00Z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0dc2bb53-8c7a-3c70-a88e-69d94f18de3f</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