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A5A9B" w14:textId="77777777" w:rsidR="003232AE" w:rsidRDefault="003232AE" w:rsidP="00164554">
      <w:pPr>
        <w:spacing w:after="0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</w:p>
    <w:p w14:paraId="274F2BE9" w14:textId="77777777" w:rsidR="000F789D" w:rsidRPr="00005813" w:rsidRDefault="000F789D" w:rsidP="00164554">
      <w:pPr>
        <w:spacing w:after="0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005813">
        <w:rPr>
          <w:rFonts w:ascii="Times New Roman" w:hAnsi="Times New Roman" w:cs="Times New Roman"/>
          <w:b/>
          <w:bCs/>
          <w:spacing w:val="20"/>
          <w:sz w:val="24"/>
          <w:szCs w:val="24"/>
        </w:rPr>
        <w:t>ЗАКЛЮЧЕНИЕ</w:t>
      </w:r>
    </w:p>
    <w:p w14:paraId="235449B6" w14:textId="4DCE4E8A" w:rsidR="000F789D" w:rsidRPr="00005813" w:rsidRDefault="000F789D" w:rsidP="001645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813">
        <w:rPr>
          <w:rFonts w:ascii="Times New Roman" w:hAnsi="Times New Roman" w:cs="Times New Roman"/>
          <w:b/>
          <w:bCs/>
          <w:sz w:val="24"/>
          <w:szCs w:val="24"/>
        </w:rPr>
        <w:t>Санкт-Петербургского государственного университета</w:t>
      </w:r>
    </w:p>
    <w:p w14:paraId="739C8A34" w14:textId="0483263D" w:rsidR="000F789D" w:rsidRPr="00005813" w:rsidRDefault="000F789D" w:rsidP="001645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813">
        <w:rPr>
          <w:rFonts w:ascii="Times New Roman" w:hAnsi="Times New Roman" w:cs="Times New Roman"/>
          <w:b/>
          <w:bCs/>
          <w:sz w:val="24"/>
          <w:szCs w:val="24"/>
        </w:rPr>
        <w:t>о документе ЦБ РФ «Финансовый рынок: новые задачи в современных условиях»</w:t>
      </w:r>
    </w:p>
    <w:p w14:paraId="51A1E3DE" w14:textId="05AC97CA" w:rsidR="000F789D" w:rsidRPr="00005813" w:rsidRDefault="000F789D" w:rsidP="001645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E29F30" w14:textId="77777777" w:rsidR="003232AE" w:rsidRDefault="003232AE" w:rsidP="001645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A8D827" w14:textId="5331475A" w:rsidR="00671BF4" w:rsidRPr="00005813" w:rsidRDefault="000F789D" w:rsidP="001645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13">
        <w:rPr>
          <w:rFonts w:ascii="Times New Roman" w:hAnsi="Times New Roman" w:cs="Times New Roman"/>
          <w:sz w:val="24"/>
          <w:szCs w:val="24"/>
        </w:rPr>
        <w:t xml:space="preserve">Представленный для общественного обсуждения документ «Финансовый рынок: новые задачи в современных условиях» </w:t>
      </w:r>
      <w:r w:rsidR="00EC67E2" w:rsidRPr="00005813">
        <w:rPr>
          <w:rFonts w:ascii="Times New Roman" w:hAnsi="Times New Roman" w:cs="Times New Roman"/>
          <w:sz w:val="24"/>
          <w:szCs w:val="24"/>
        </w:rPr>
        <w:t xml:space="preserve">(далее – Документ) </w:t>
      </w:r>
      <w:r w:rsidRPr="00005813">
        <w:rPr>
          <w:rFonts w:ascii="Times New Roman" w:hAnsi="Times New Roman" w:cs="Times New Roman"/>
          <w:sz w:val="24"/>
          <w:szCs w:val="24"/>
        </w:rPr>
        <w:t>посвящен антикризисным мерам по стабилизации российской экономики и финансового рынка в условиях беспрецедентных вызовов.</w:t>
      </w:r>
      <w:r w:rsidR="00EC67E2" w:rsidRPr="00005813">
        <w:rPr>
          <w:rFonts w:ascii="Times New Roman" w:hAnsi="Times New Roman" w:cs="Times New Roman"/>
          <w:sz w:val="24"/>
          <w:szCs w:val="24"/>
        </w:rPr>
        <w:t xml:space="preserve"> </w:t>
      </w:r>
      <w:r w:rsidR="00671BF4" w:rsidRPr="00005813">
        <w:rPr>
          <w:rFonts w:ascii="Times New Roman" w:hAnsi="Times New Roman" w:cs="Times New Roman"/>
          <w:sz w:val="24"/>
          <w:szCs w:val="24"/>
        </w:rPr>
        <w:t>При подготовке документа использовались следующие базовые предпосылки (стр. 3):</w:t>
      </w:r>
    </w:p>
    <w:p w14:paraId="1CC49063" w14:textId="08146844" w:rsidR="00671BF4" w:rsidRPr="00005813" w:rsidRDefault="00671BF4" w:rsidP="00164554">
      <w:pPr>
        <w:pStyle w:val="Default"/>
        <w:numPr>
          <w:ilvl w:val="0"/>
          <w:numId w:val="4"/>
        </w:numPr>
        <w:tabs>
          <w:tab w:val="left" w:pos="1134"/>
        </w:tabs>
        <w:spacing w:after="4" w:line="276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005813">
        <w:rPr>
          <w:rFonts w:ascii="Times New Roman" w:hAnsi="Times New Roman" w:cs="Times New Roman"/>
          <w:color w:val="auto"/>
        </w:rPr>
        <w:t>сохранение открытости российской экономики с перспективой расширения внешнеторговых и финансовых отношений с дружественными странами;</w:t>
      </w:r>
    </w:p>
    <w:p w14:paraId="3BE3E92D" w14:textId="5E468DDE" w:rsidR="00671BF4" w:rsidRPr="00005813" w:rsidRDefault="00671BF4" w:rsidP="00164554">
      <w:pPr>
        <w:pStyle w:val="Default"/>
        <w:numPr>
          <w:ilvl w:val="0"/>
          <w:numId w:val="4"/>
        </w:numPr>
        <w:tabs>
          <w:tab w:val="left" w:pos="1134"/>
        </w:tabs>
        <w:spacing w:after="4" w:line="276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005813">
        <w:rPr>
          <w:rFonts w:ascii="Times New Roman" w:hAnsi="Times New Roman" w:cs="Times New Roman"/>
          <w:color w:val="auto"/>
        </w:rPr>
        <w:t xml:space="preserve">приоритет интересов потребителей финансовых услуг, российской экономики в целом как конечных бенефициаров развития финансового рынка при определении целей и задач его развития; </w:t>
      </w:r>
    </w:p>
    <w:p w14:paraId="31753A91" w14:textId="68FBB6F7" w:rsidR="00671BF4" w:rsidRPr="00005813" w:rsidRDefault="00671BF4" w:rsidP="00164554">
      <w:pPr>
        <w:pStyle w:val="Default"/>
        <w:numPr>
          <w:ilvl w:val="0"/>
          <w:numId w:val="4"/>
        </w:numPr>
        <w:tabs>
          <w:tab w:val="left" w:pos="1134"/>
        </w:tabs>
        <w:spacing w:after="4" w:line="276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005813">
        <w:rPr>
          <w:rFonts w:ascii="Times New Roman" w:hAnsi="Times New Roman" w:cs="Times New Roman"/>
          <w:color w:val="auto"/>
        </w:rPr>
        <w:t xml:space="preserve">применение преимущественно рыночных методов и подходов, которым отдается предпочтение как наиболее эффективным в решении стоящих задач; </w:t>
      </w:r>
    </w:p>
    <w:p w14:paraId="4DACA40E" w14:textId="77777777" w:rsidR="00671BF4" w:rsidRPr="00005813" w:rsidRDefault="00671BF4" w:rsidP="00164554">
      <w:pPr>
        <w:pStyle w:val="Default"/>
        <w:numPr>
          <w:ilvl w:val="0"/>
          <w:numId w:val="4"/>
        </w:numPr>
        <w:tabs>
          <w:tab w:val="left" w:pos="1134"/>
        </w:tabs>
        <w:spacing w:after="4" w:line="276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005813">
        <w:rPr>
          <w:rFonts w:ascii="Times New Roman" w:hAnsi="Times New Roman" w:cs="Times New Roman"/>
          <w:color w:val="auto"/>
        </w:rPr>
        <w:t>принятие мер, направленных на поддержку и развитие экономики и финансового рынка с учетом их влияния на конкурентную среду;</w:t>
      </w:r>
    </w:p>
    <w:p w14:paraId="3C3D8D64" w14:textId="731E802E" w:rsidR="00671BF4" w:rsidRPr="00005813" w:rsidRDefault="00671BF4" w:rsidP="00164554">
      <w:pPr>
        <w:pStyle w:val="Default"/>
        <w:numPr>
          <w:ilvl w:val="0"/>
          <w:numId w:val="4"/>
        </w:numPr>
        <w:tabs>
          <w:tab w:val="left" w:pos="1134"/>
        </w:tabs>
        <w:spacing w:after="4" w:line="276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005813">
        <w:rPr>
          <w:rFonts w:ascii="Times New Roman" w:hAnsi="Times New Roman" w:cs="Times New Roman"/>
          <w:color w:val="auto"/>
        </w:rPr>
        <w:t>сохранение или усиление роли государства только в тех сферах и в решении тех задач, с которыми рынок не может справиться эффективно, но которые имеют большое значение для российской экономики.</w:t>
      </w:r>
    </w:p>
    <w:p w14:paraId="39E5C334" w14:textId="56C3F8FB" w:rsidR="00EC67E2" w:rsidRPr="00005813" w:rsidRDefault="00671BF4" w:rsidP="0016455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13">
        <w:rPr>
          <w:rFonts w:ascii="Times New Roman" w:hAnsi="Times New Roman" w:cs="Times New Roman"/>
          <w:sz w:val="24"/>
          <w:szCs w:val="24"/>
        </w:rPr>
        <w:t>Ис</w:t>
      </w:r>
      <w:r w:rsidR="00164554">
        <w:rPr>
          <w:rFonts w:ascii="Times New Roman" w:hAnsi="Times New Roman" w:cs="Times New Roman"/>
          <w:sz w:val="24"/>
          <w:szCs w:val="24"/>
        </w:rPr>
        <w:t>пользование данных предпосылок</w:t>
      </w:r>
      <w:r w:rsidR="00164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5813">
        <w:rPr>
          <w:rFonts w:ascii="Times New Roman" w:hAnsi="Times New Roman" w:cs="Times New Roman"/>
          <w:sz w:val="24"/>
          <w:szCs w:val="24"/>
        </w:rPr>
        <w:t>позволяет обеспечить преемственность по отношению к стратегии развития финансового рынка Росси</w:t>
      </w:r>
      <w:r w:rsidR="00EC67E2" w:rsidRPr="00005813">
        <w:rPr>
          <w:rFonts w:ascii="Times New Roman" w:hAnsi="Times New Roman" w:cs="Times New Roman"/>
          <w:sz w:val="24"/>
          <w:szCs w:val="24"/>
        </w:rPr>
        <w:t>йской Федерации</w:t>
      </w:r>
      <w:r w:rsidRPr="00005813">
        <w:rPr>
          <w:rFonts w:ascii="Times New Roman" w:hAnsi="Times New Roman" w:cs="Times New Roman"/>
          <w:sz w:val="24"/>
          <w:szCs w:val="24"/>
        </w:rPr>
        <w:t xml:space="preserve"> до 2024 г.</w:t>
      </w:r>
      <w:r w:rsidRPr="00005813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005813">
        <w:rPr>
          <w:rFonts w:ascii="Times New Roman" w:hAnsi="Times New Roman" w:cs="Times New Roman"/>
          <w:sz w:val="24"/>
          <w:szCs w:val="24"/>
        </w:rPr>
        <w:t xml:space="preserve">, </w:t>
      </w:r>
      <w:r w:rsidR="00EC67E2" w:rsidRPr="00005813">
        <w:rPr>
          <w:rFonts w:ascii="Times New Roman" w:hAnsi="Times New Roman" w:cs="Times New Roman"/>
          <w:sz w:val="24"/>
          <w:szCs w:val="24"/>
        </w:rPr>
        <w:t>согласно которой главными целями данного развития выступают:</w:t>
      </w:r>
    </w:p>
    <w:p w14:paraId="127179F1" w14:textId="77777777" w:rsidR="00EC67E2" w:rsidRPr="00005813" w:rsidRDefault="00EC67E2" w:rsidP="00164554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13">
        <w:rPr>
          <w:rFonts w:ascii="Times New Roman" w:hAnsi="Times New Roman" w:cs="Times New Roman"/>
          <w:sz w:val="24"/>
          <w:szCs w:val="24"/>
        </w:rPr>
        <w:t>укрепление доверия розничного потребителя и инвестора к финансовому рынку через усиление его защищенности, повышение финансовой грамотности и расширение доступности финансовых услуг;</w:t>
      </w:r>
    </w:p>
    <w:p w14:paraId="67A5BC71" w14:textId="77777777" w:rsidR="00EC67E2" w:rsidRPr="00005813" w:rsidRDefault="00EC67E2" w:rsidP="00164554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13">
        <w:rPr>
          <w:rFonts w:ascii="Times New Roman" w:hAnsi="Times New Roman" w:cs="Times New Roman"/>
          <w:sz w:val="24"/>
          <w:szCs w:val="24"/>
        </w:rPr>
        <w:t>развитие современного финансового рынка для удовлетворения потребностей российской экономики в инвестициях и эффективных платежных сервисах;</w:t>
      </w:r>
    </w:p>
    <w:p w14:paraId="0F1122C8" w14:textId="2E4D543F" w:rsidR="00EC67E2" w:rsidRPr="00005813" w:rsidRDefault="00EC67E2" w:rsidP="00164554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005813">
        <w:rPr>
          <w:rFonts w:ascii="Times New Roman" w:hAnsi="Times New Roman" w:cs="Times New Roman"/>
          <w:sz w:val="24"/>
          <w:szCs w:val="24"/>
        </w:rPr>
        <w:t>обеспечение финансовой стабильности – бесперебойного функционирования финансового рынка, в том числе в условиях стресса.</w:t>
      </w:r>
    </w:p>
    <w:p w14:paraId="7A49B64E" w14:textId="5699F3D6" w:rsidR="00671BF4" w:rsidRPr="00005813" w:rsidRDefault="000F789D" w:rsidP="0016455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13">
        <w:rPr>
          <w:rFonts w:ascii="Times New Roman" w:hAnsi="Times New Roman" w:cs="Times New Roman"/>
          <w:sz w:val="24"/>
          <w:szCs w:val="24"/>
        </w:rPr>
        <w:t xml:space="preserve">Главное внимание в </w:t>
      </w:r>
      <w:r w:rsidR="00EC67E2" w:rsidRPr="00005813">
        <w:rPr>
          <w:rFonts w:ascii="Times New Roman" w:hAnsi="Times New Roman" w:cs="Times New Roman"/>
          <w:sz w:val="24"/>
          <w:szCs w:val="24"/>
        </w:rPr>
        <w:t>Д</w:t>
      </w:r>
      <w:r w:rsidRPr="00005813">
        <w:rPr>
          <w:rFonts w:ascii="Times New Roman" w:hAnsi="Times New Roman" w:cs="Times New Roman"/>
          <w:sz w:val="24"/>
          <w:szCs w:val="24"/>
        </w:rPr>
        <w:t xml:space="preserve">окументе посвящено </w:t>
      </w:r>
      <w:r w:rsidR="00EC67E2" w:rsidRPr="00005813">
        <w:rPr>
          <w:rFonts w:ascii="Times New Roman" w:hAnsi="Times New Roman" w:cs="Times New Roman"/>
          <w:sz w:val="24"/>
          <w:szCs w:val="24"/>
        </w:rPr>
        <w:t>«</w:t>
      </w:r>
      <w:r w:rsidRPr="00005813">
        <w:rPr>
          <w:rFonts w:ascii="Times New Roman" w:hAnsi="Times New Roman" w:cs="Times New Roman"/>
          <w:sz w:val="24"/>
          <w:szCs w:val="24"/>
        </w:rPr>
        <w:t>наиболее крупным</w:t>
      </w:r>
      <w:r w:rsidR="00EC67E2" w:rsidRPr="00005813">
        <w:rPr>
          <w:rFonts w:ascii="Times New Roman" w:hAnsi="Times New Roman" w:cs="Times New Roman"/>
          <w:sz w:val="24"/>
          <w:szCs w:val="24"/>
        </w:rPr>
        <w:t>»</w:t>
      </w:r>
      <w:r w:rsidR="0038635A" w:rsidRPr="00005813">
        <w:rPr>
          <w:rFonts w:ascii="Times New Roman" w:hAnsi="Times New Roman" w:cs="Times New Roman"/>
          <w:sz w:val="24"/>
          <w:szCs w:val="24"/>
        </w:rPr>
        <w:t xml:space="preserve"> </w:t>
      </w:r>
      <w:r w:rsidR="00EC67E2" w:rsidRPr="00005813">
        <w:rPr>
          <w:rFonts w:ascii="Times New Roman" w:hAnsi="Times New Roman" w:cs="Times New Roman"/>
          <w:sz w:val="24"/>
          <w:szCs w:val="24"/>
        </w:rPr>
        <w:t xml:space="preserve">(стр. 3) </w:t>
      </w:r>
      <w:r w:rsidR="00671BF4" w:rsidRPr="00005813">
        <w:rPr>
          <w:rFonts w:ascii="Times New Roman" w:hAnsi="Times New Roman" w:cs="Times New Roman"/>
          <w:sz w:val="24"/>
          <w:szCs w:val="24"/>
        </w:rPr>
        <w:t xml:space="preserve">антикризисным </w:t>
      </w:r>
      <w:r w:rsidRPr="00005813">
        <w:rPr>
          <w:rFonts w:ascii="Times New Roman" w:hAnsi="Times New Roman" w:cs="Times New Roman"/>
          <w:sz w:val="24"/>
          <w:szCs w:val="24"/>
        </w:rPr>
        <w:t>задачам, включая</w:t>
      </w:r>
      <w:r w:rsidR="00671BF4" w:rsidRPr="00005813">
        <w:rPr>
          <w:rFonts w:ascii="Times New Roman" w:hAnsi="Times New Roman" w:cs="Times New Roman"/>
          <w:sz w:val="24"/>
          <w:szCs w:val="24"/>
        </w:rPr>
        <w:t>:</w:t>
      </w:r>
    </w:p>
    <w:p w14:paraId="66736FDB" w14:textId="6B2C3E6B" w:rsidR="00671BF4" w:rsidRPr="00005813" w:rsidRDefault="0038635A" w:rsidP="00164554">
      <w:pPr>
        <w:pStyle w:val="a3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13">
        <w:rPr>
          <w:rFonts w:ascii="Times New Roman" w:hAnsi="Times New Roman" w:cs="Times New Roman"/>
          <w:sz w:val="24"/>
          <w:szCs w:val="24"/>
        </w:rPr>
        <w:t>обеспечение устойчивости финансовых организаций и раскрытие информации;</w:t>
      </w:r>
    </w:p>
    <w:p w14:paraId="6E73CD49" w14:textId="1B6389C2" w:rsidR="00671BF4" w:rsidRPr="00005813" w:rsidRDefault="0038635A" w:rsidP="00164554">
      <w:pPr>
        <w:pStyle w:val="a3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13">
        <w:rPr>
          <w:rFonts w:ascii="Times New Roman" w:hAnsi="Times New Roman" w:cs="Times New Roman"/>
          <w:sz w:val="24"/>
          <w:szCs w:val="24"/>
        </w:rPr>
        <w:t>трансформацию валютной структуры банковских операций и расширение участия банков в финансировании экономического развития;</w:t>
      </w:r>
    </w:p>
    <w:p w14:paraId="1D599C25" w14:textId="09B34B97" w:rsidR="00671BF4" w:rsidRPr="00005813" w:rsidRDefault="0038635A" w:rsidP="00164554">
      <w:pPr>
        <w:pStyle w:val="a3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13">
        <w:rPr>
          <w:rFonts w:ascii="Times New Roman" w:hAnsi="Times New Roman" w:cs="Times New Roman"/>
          <w:sz w:val="24"/>
          <w:szCs w:val="24"/>
        </w:rPr>
        <w:t>мобилизацию внутренних источников финансирования экономики за счет</w:t>
      </w:r>
      <w:r w:rsidR="00CD1FAB" w:rsidRPr="00005813">
        <w:rPr>
          <w:rFonts w:ascii="Times New Roman" w:hAnsi="Times New Roman" w:cs="Times New Roman"/>
          <w:sz w:val="24"/>
          <w:szCs w:val="24"/>
        </w:rPr>
        <w:t xml:space="preserve"> </w:t>
      </w:r>
      <w:r w:rsidRPr="00005813">
        <w:rPr>
          <w:rFonts w:ascii="Times New Roman" w:hAnsi="Times New Roman" w:cs="Times New Roman"/>
          <w:sz w:val="24"/>
          <w:szCs w:val="24"/>
        </w:rPr>
        <w:t>развития инструментов долгосрочных сбережений для граждан</w:t>
      </w:r>
      <w:r w:rsidR="00CD1FAB" w:rsidRPr="00005813">
        <w:rPr>
          <w:rFonts w:ascii="Times New Roman" w:hAnsi="Times New Roman" w:cs="Times New Roman"/>
          <w:sz w:val="24"/>
          <w:szCs w:val="24"/>
        </w:rPr>
        <w:t xml:space="preserve"> и </w:t>
      </w:r>
      <w:r w:rsidRPr="00005813">
        <w:rPr>
          <w:rFonts w:ascii="Times New Roman" w:hAnsi="Times New Roman" w:cs="Times New Roman"/>
          <w:sz w:val="24"/>
          <w:szCs w:val="24"/>
        </w:rPr>
        <w:t>повышения роли рынка капитала для финансирования бизнеса;</w:t>
      </w:r>
    </w:p>
    <w:p w14:paraId="5F9A50F1" w14:textId="68710702" w:rsidR="00671BF4" w:rsidRPr="00005813" w:rsidRDefault="0038635A" w:rsidP="00164554">
      <w:pPr>
        <w:pStyle w:val="a3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13">
        <w:rPr>
          <w:rFonts w:ascii="Times New Roman" w:hAnsi="Times New Roman" w:cs="Times New Roman"/>
          <w:sz w:val="24"/>
          <w:szCs w:val="24"/>
        </w:rPr>
        <w:t>защиту неквалифицированных розничных инвесторов;</w:t>
      </w:r>
    </w:p>
    <w:p w14:paraId="76F29E14" w14:textId="5326CF3D" w:rsidR="00671BF4" w:rsidRPr="00005813" w:rsidRDefault="00CD1FAB" w:rsidP="00164554">
      <w:pPr>
        <w:pStyle w:val="a3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13">
        <w:rPr>
          <w:rFonts w:ascii="Times New Roman" w:hAnsi="Times New Roman" w:cs="Times New Roman"/>
          <w:sz w:val="24"/>
          <w:szCs w:val="24"/>
        </w:rPr>
        <w:lastRenderedPageBreak/>
        <w:t>финансирование устойчивого развития;</w:t>
      </w:r>
    </w:p>
    <w:p w14:paraId="3D0D633C" w14:textId="12E92623" w:rsidR="00671BF4" w:rsidRPr="00005813" w:rsidRDefault="00CD1FAB" w:rsidP="00164554">
      <w:pPr>
        <w:pStyle w:val="a3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13">
        <w:rPr>
          <w:rFonts w:ascii="Times New Roman" w:hAnsi="Times New Roman" w:cs="Times New Roman"/>
          <w:sz w:val="24"/>
          <w:szCs w:val="24"/>
        </w:rPr>
        <w:t>сохранение и развитие национальной рейтинговой индустрии, которая должна сопровождаться модернизацией системы индикаторов на финансовом и товарном рынках;</w:t>
      </w:r>
    </w:p>
    <w:p w14:paraId="3ECB1D3A" w14:textId="67C9C332" w:rsidR="00671BF4" w:rsidRPr="00005813" w:rsidRDefault="00CD1FAB" w:rsidP="00164554">
      <w:pPr>
        <w:pStyle w:val="a3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13">
        <w:rPr>
          <w:rFonts w:ascii="Times New Roman" w:hAnsi="Times New Roman" w:cs="Times New Roman"/>
          <w:sz w:val="24"/>
          <w:szCs w:val="24"/>
        </w:rPr>
        <w:t>развитие срочного и страхового сегментов финансового рынка;</w:t>
      </w:r>
    </w:p>
    <w:p w14:paraId="4AEDC7A3" w14:textId="404086BF" w:rsidR="00671BF4" w:rsidRPr="00005813" w:rsidRDefault="00CD1FAB" w:rsidP="00164554">
      <w:pPr>
        <w:pStyle w:val="a3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13">
        <w:rPr>
          <w:rFonts w:ascii="Times New Roman" w:hAnsi="Times New Roman" w:cs="Times New Roman"/>
          <w:sz w:val="24"/>
          <w:szCs w:val="24"/>
        </w:rPr>
        <w:t>совершенствование регулирования экосистем и платформ;</w:t>
      </w:r>
    </w:p>
    <w:p w14:paraId="76F7E5F5" w14:textId="670C046E" w:rsidR="00671BF4" w:rsidRPr="00005813" w:rsidRDefault="00CD1FAB" w:rsidP="00164554">
      <w:pPr>
        <w:pStyle w:val="a3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13">
        <w:rPr>
          <w:rFonts w:ascii="Times New Roman" w:hAnsi="Times New Roman" w:cs="Times New Roman"/>
          <w:sz w:val="24"/>
          <w:szCs w:val="24"/>
        </w:rPr>
        <w:t xml:space="preserve">содействие </w:t>
      </w:r>
      <w:proofErr w:type="spellStart"/>
      <w:r w:rsidRPr="00005813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005813">
        <w:rPr>
          <w:rFonts w:ascii="Times New Roman" w:hAnsi="Times New Roman" w:cs="Times New Roman"/>
          <w:sz w:val="24"/>
          <w:szCs w:val="24"/>
        </w:rPr>
        <w:t xml:space="preserve"> финансового рынка за счет реализации действующих и новых цифровых инфраструктурных проектов;</w:t>
      </w:r>
    </w:p>
    <w:p w14:paraId="641150A7" w14:textId="4CC5DE73" w:rsidR="00671BF4" w:rsidRPr="00005813" w:rsidRDefault="00CD1FAB" w:rsidP="00164554">
      <w:pPr>
        <w:pStyle w:val="a3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13">
        <w:rPr>
          <w:rFonts w:ascii="Times New Roman" w:hAnsi="Times New Roman" w:cs="Times New Roman"/>
          <w:sz w:val="24"/>
          <w:szCs w:val="24"/>
        </w:rPr>
        <w:t>модернизаци</w:t>
      </w:r>
      <w:r w:rsidR="0011344C" w:rsidRPr="00005813">
        <w:rPr>
          <w:rFonts w:ascii="Times New Roman" w:hAnsi="Times New Roman" w:cs="Times New Roman"/>
          <w:sz w:val="24"/>
          <w:szCs w:val="24"/>
        </w:rPr>
        <w:t>ю</w:t>
      </w:r>
      <w:r w:rsidRPr="00005813">
        <w:rPr>
          <w:rFonts w:ascii="Times New Roman" w:hAnsi="Times New Roman" w:cs="Times New Roman"/>
          <w:sz w:val="24"/>
          <w:szCs w:val="24"/>
        </w:rPr>
        <w:t xml:space="preserve"> системы</w:t>
      </w:r>
      <w:r w:rsidR="0011344C" w:rsidRPr="00005813">
        <w:rPr>
          <w:rFonts w:ascii="Times New Roman" w:hAnsi="Times New Roman" w:cs="Times New Roman"/>
          <w:sz w:val="24"/>
          <w:szCs w:val="24"/>
        </w:rPr>
        <w:t xml:space="preserve"> внешнеторговых и финансовых расчетов;</w:t>
      </w:r>
    </w:p>
    <w:p w14:paraId="1C6A970D" w14:textId="40379815" w:rsidR="00671BF4" w:rsidRPr="00005813" w:rsidRDefault="0011344C" w:rsidP="00164554">
      <w:pPr>
        <w:pStyle w:val="a3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13">
        <w:rPr>
          <w:rFonts w:ascii="Times New Roman" w:hAnsi="Times New Roman" w:cs="Times New Roman"/>
          <w:sz w:val="24"/>
          <w:szCs w:val="24"/>
        </w:rPr>
        <w:t>разработку новой конфигурации валютного регулирования и ограничений на движение капитала;</w:t>
      </w:r>
    </w:p>
    <w:p w14:paraId="7D2E1A59" w14:textId="13E3B499" w:rsidR="00671BF4" w:rsidRPr="00005813" w:rsidRDefault="0011344C" w:rsidP="00164554">
      <w:pPr>
        <w:pStyle w:val="a3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13">
        <w:rPr>
          <w:rFonts w:ascii="Times New Roman" w:hAnsi="Times New Roman" w:cs="Times New Roman"/>
          <w:sz w:val="24"/>
          <w:szCs w:val="24"/>
        </w:rPr>
        <w:t>совершенствование системы ПОД/ФТ.</w:t>
      </w:r>
    </w:p>
    <w:p w14:paraId="2A8E4A09" w14:textId="6FF79F9D" w:rsidR="00EC67E2" w:rsidRPr="00005813" w:rsidRDefault="006B6C07" w:rsidP="0016455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05813">
        <w:rPr>
          <w:rFonts w:ascii="Times New Roman" w:hAnsi="Times New Roman" w:cs="Times New Roman"/>
          <w:sz w:val="24"/>
          <w:szCs w:val="24"/>
        </w:rPr>
        <w:t xml:space="preserve">Постановка данных задач отвечает тем реализованным рискам, с которыми столкнулась российская экономика. </w:t>
      </w:r>
      <w:proofErr w:type="gramStart"/>
      <w:r w:rsidR="00C40FFC" w:rsidRPr="00005813">
        <w:rPr>
          <w:rFonts w:ascii="Times New Roman" w:hAnsi="Times New Roman" w:cs="Times New Roman"/>
          <w:sz w:val="24"/>
          <w:szCs w:val="24"/>
        </w:rPr>
        <w:t>При этом п</w:t>
      </w:r>
      <w:r w:rsidRPr="00005813">
        <w:rPr>
          <w:rFonts w:ascii="Times New Roman" w:hAnsi="Times New Roman" w:cs="Times New Roman"/>
          <w:sz w:val="24"/>
          <w:szCs w:val="24"/>
        </w:rPr>
        <w:t>редусмотренные</w:t>
      </w:r>
      <w:r w:rsidR="00EC67E2" w:rsidRPr="00005813">
        <w:rPr>
          <w:rFonts w:ascii="Times New Roman" w:hAnsi="Times New Roman" w:cs="Times New Roman"/>
          <w:sz w:val="24"/>
          <w:szCs w:val="24"/>
        </w:rPr>
        <w:t xml:space="preserve"> задачи коррелируют </w:t>
      </w:r>
      <w:r w:rsidRPr="00005813">
        <w:rPr>
          <w:rFonts w:ascii="Times New Roman" w:hAnsi="Times New Roman" w:cs="Times New Roman"/>
          <w:sz w:val="24"/>
          <w:szCs w:val="24"/>
        </w:rPr>
        <w:t xml:space="preserve">с </w:t>
      </w:r>
      <w:r w:rsidR="00EC67E2" w:rsidRPr="00005813">
        <w:rPr>
          <w:rFonts w:ascii="Times New Roman" w:hAnsi="Times New Roman" w:cs="Times New Roman"/>
          <w:sz w:val="24"/>
          <w:szCs w:val="24"/>
        </w:rPr>
        <w:t>приоритетными направлениями развития финансового рынка</w:t>
      </w:r>
      <w:r w:rsidR="00C40FFC" w:rsidRPr="00005813">
        <w:rPr>
          <w:rFonts w:ascii="Times New Roman" w:hAnsi="Times New Roman" w:cs="Times New Roman"/>
          <w:sz w:val="24"/>
          <w:szCs w:val="24"/>
        </w:rPr>
        <w:t xml:space="preserve"> РФ до 2024 г.</w:t>
      </w:r>
      <w:r w:rsidRPr="00005813">
        <w:rPr>
          <w:rFonts w:ascii="Times New Roman" w:hAnsi="Times New Roman" w:cs="Times New Roman"/>
          <w:sz w:val="24"/>
          <w:szCs w:val="24"/>
        </w:rPr>
        <w:t xml:space="preserve">, </w:t>
      </w:r>
      <w:r w:rsidR="00C40FFC" w:rsidRPr="00005813">
        <w:rPr>
          <w:rFonts w:ascii="Times New Roman" w:hAnsi="Times New Roman" w:cs="Times New Roman"/>
          <w:sz w:val="24"/>
          <w:szCs w:val="24"/>
        </w:rPr>
        <w:t>которые разрабатывались с учетом</w:t>
      </w:r>
      <w:r w:rsidRPr="00005813">
        <w:rPr>
          <w:rFonts w:ascii="Times New Roman" w:hAnsi="Times New Roman" w:cs="Times New Roman"/>
          <w:sz w:val="24"/>
          <w:szCs w:val="24"/>
        </w:rPr>
        <w:t xml:space="preserve"> плановы</w:t>
      </w:r>
      <w:r w:rsidR="00C40FFC" w:rsidRPr="00005813">
        <w:rPr>
          <w:rFonts w:ascii="Times New Roman" w:hAnsi="Times New Roman" w:cs="Times New Roman"/>
          <w:sz w:val="24"/>
          <w:szCs w:val="24"/>
        </w:rPr>
        <w:t>х</w:t>
      </w:r>
      <w:r w:rsidRPr="00005813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C40FFC" w:rsidRPr="00005813">
        <w:rPr>
          <w:rFonts w:ascii="Times New Roman" w:hAnsi="Times New Roman" w:cs="Times New Roman"/>
          <w:sz w:val="24"/>
          <w:szCs w:val="24"/>
        </w:rPr>
        <w:t>ов</w:t>
      </w:r>
      <w:r w:rsidRPr="00005813">
        <w:rPr>
          <w:rFonts w:ascii="Times New Roman" w:hAnsi="Times New Roman" w:cs="Times New Roman"/>
          <w:sz w:val="24"/>
          <w:szCs w:val="24"/>
        </w:rPr>
        <w:t xml:space="preserve"> национального и международного уровня</w:t>
      </w:r>
      <w:r w:rsidRPr="00005813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="00C40FFC" w:rsidRPr="00005813">
        <w:rPr>
          <w:rFonts w:ascii="Times New Roman" w:hAnsi="Times New Roman" w:cs="Times New Roman"/>
          <w:sz w:val="24"/>
          <w:szCs w:val="24"/>
        </w:rPr>
        <w:t>. К числу данных направлений отнесены следующие:</w:t>
      </w:r>
      <w:r w:rsidR="00310A2B" w:rsidRPr="00005813">
        <w:rPr>
          <w:rFonts w:ascii="Times New Roman" w:hAnsi="Times New Roman" w:cs="Times New Roman"/>
          <w:sz w:val="24"/>
          <w:szCs w:val="24"/>
        </w:rPr>
        <w:t xml:space="preserve"> </w:t>
      </w:r>
      <w:r w:rsidR="00EC67E2" w:rsidRPr="00005813">
        <w:rPr>
          <w:rFonts w:ascii="Times New Roman" w:hAnsi="Times New Roman" w:cs="Times New Roman"/>
          <w:sz w:val="24"/>
          <w:szCs w:val="24"/>
        </w:rPr>
        <w:t>1) повышение защищенности потребителей финансовых услуг и инвесторов, повышение финансовой грамотности;</w:t>
      </w:r>
      <w:r w:rsidR="00310A2B" w:rsidRPr="00005813">
        <w:rPr>
          <w:rFonts w:ascii="Times New Roman" w:hAnsi="Times New Roman" w:cs="Times New Roman"/>
          <w:sz w:val="24"/>
          <w:szCs w:val="24"/>
        </w:rPr>
        <w:t xml:space="preserve"> </w:t>
      </w:r>
      <w:r w:rsidR="00EC67E2" w:rsidRPr="00005813">
        <w:rPr>
          <w:rFonts w:ascii="Times New Roman" w:hAnsi="Times New Roman" w:cs="Times New Roman"/>
          <w:sz w:val="24"/>
          <w:szCs w:val="24"/>
        </w:rPr>
        <w:t xml:space="preserve">2) содействие </w:t>
      </w:r>
      <w:proofErr w:type="spellStart"/>
      <w:r w:rsidR="00EC67E2" w:rsidRPr="00005813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="00EC67E2" w:rsidRPr="00005813">
        <w:rPr>
          <w:rFonts w:ascii="Times New Roman" w:hAnsi="Times New Roman" w:cs="Times New Roman"/>
          <w:sz w:val="24"/>
          <w:szCs w:val="24"/>
        </w:rPr>
        <w:t>;</w:t>
      </w:r>
      <w:r w:rsidR="00310A2B" w:rsidRPr="00005813">
        <w:rPr>
          <w:rFonts w:ascii="Times New Roman" w:hAnsi="Times New Roman" w:cs="Times New Roman"/>
          <w:sz w:val="24"/>
          <w:szCs w:val="24"/>
        </w:rPr>
        <w:t xml:space="preserve"> </w:t>
      </w:r>
      <w:r w:rsidR="00EC67E2" w:rsidRPr="00005813">
        <w:rPr>
          <w:rFonts w:ascii="Times New Roman" w:hAnsi="Times New Roman" w:cs="Times New Roman"/>
          <w:sz w:val="24"/>
          <w:szCs w:val="24"/>
        </w:rPr>
        <w:t>3) повышение доступности финансовых услуг для граждан и бизнеса;</w:t>
      </w:r>
      <w:proofErr w:type="gramEnd"/>
      <w:r w:rsidR="00310A2B" w:rsidRPr="00005813">
        <w:rPr>
          <w:rFonts w:ascii="Times New Roman" w:hAnsi="Times New Roman" w:cs="Times New Roman"/>
          <w:sz w:val="24"/>
          <w:szCs w:val="24"/>
        </w:rPr>
        <w:t xml:space="preserve"> </w:t>
      </w:r>
      <w:r w:rsidR="00EC67E2" w:rsidRPr="00005813">
        <w:rPr>
          <w:rFonts w:ascii="Times New Roman" w:hAnsi="Times New Roman" w:cs="Times New Roman"/>
          <w:sz w:val="24"/>
          <w:szCs w:val="24"/>
        </w:rPr>
        <w:t>4) содействие конкуренции на финансовом рынке;</w:t>
      </w:r>
      <w:r w:rsidR="00310A2B" w:rsidRPr="00005813">
        <w:rPr>
          <w:rFonts w:ascii="Times New Roman" w:hAnsi="Times New Roman" w:cs="Times New Roman"/>
          <w:sz w:val="24"/>
          <w:szCs w:val="24"/>
        </w:rPr>
        <w:t xml:space="preserve"> </w:t>
      </w:r>
      <w:r w:rsidR="00EC67E2" w:rsidRPr="00005813">
        <w:rPr>
          <w:rFonts w:ascii="Times New Roman" w:hAnsi="Times New Roman" w:cs="Times New Roman"/>
          <w:sz w:val="24"/>
          <w:szCs w:val="24"/>
        </w:rPr>
        <w:t>5) обеспечение финансовой стабильности;</w:t>
      </w:r>
      <w:r w:rsidR="00310A2B" w:rsidRPr="00005813">
        <w:rPr>
          <w:rFonts w:ascii="Times New Roman" w:hAnsi="Times New Roman" w:cs="Times New Roman"/>
          <w:sz w:val="24"/>
          <w:szCs w:val="24"/>
        </w:rPr>
        <w:t xml:space="preserve"> </w:t>
      </w:r>
      <w:r w:rsidR="00EC67E2" w:rsidRPr="00005813">
        <w:rPr>
          <w:rFonts w:ascii="Times New Roman" w:hAnsi="Times New Roman" w:cs="Times New Roman"/>
          <w:sz w:val="24"/>
          <w:szCs w:val="24"/>
        </w:rPr>
        <w:t xml:space="preserve">6) расширение вклада финансового рынка в достижение целей устойчивого развития и </w:t>
      </w:r>
      <w:r w:rsidR="00EC67E2" w:rsidRPr="00005813">
        <w:rPr>
          <w:rFonts w:ascii="Times New Roman" w:hAnsi="Times New Roman" w:cs="Times New Roman"/>
          <w:sz w:val="24"/>
          <w:szCs w:val="24"/>
          <w:lang w:val="en-US"/>
        </w:rPr>
        <w:t>ESG</w:t>
      </w:r>
      <w:r w:rsidR="00EC67E2" w:rsidRPr="00005813">
        <w:rPr>
          <w:rFonts w:ascii="Times New Roman" w:hAnsi="Times New Roman" w:cs="Times New Roman"/>
          <w:sz w:val="24"/>
          <w:szCs w:val="24"/>
        </w:rPr>
        <w:t>-трансформации российского бизнеса;</w:t>
      </w:r>
      <w:r w:rsidR="00310A2B" w:rsidRPr="00005813">
        <w:rPr>
          <w:rFonts w:ascii="Times New Roman" w:hAnsi="Times New Roman" w:cs="Times New Roman"/>
          <w:sz w:val="24"/>
          <w:szCs w:val="24"/>
        </w:rPr>
        <w:t xml:space="preserve"> </w:t>
      </w:r>
      <w:r w:rsidR="00EC67E2" w:rsidRPr="00005813">
        <w:rPr>
          <w:rFonts w:ascii="Times New Roman" w:hAnsi="Times New Roman" w:cs="Times New Roman"/>
          <w:sz w:val="24"/>
          <w:szCs w:val="24"/>
        </w:rPr>
        <w:t>7) содействие развитию долгосрочного финансирования (длинных денег);</w:t>
      </w:r>
      <w:r w:rsidR="00310A2B" w:rsidRPr="00005813">
        <w:rPr>
          <w:rFonts w:ascii="Times New Roman" w:hAnsi="Times New Roman" w:cs="Times New Roman"/>
          <w:sz w:val="24"/>
          <w:szCs w:val="24"/>
        </w:rPr>
        <w:t xml:space="preserve"> </w:t>
      </w:r>
      <w:r w:rsidR="00EC67E2" w:rsidRPr="00005813">
        <w:rPr>
          <w:rFonts w:ascii="Times New Roman" w:hAnsi="Times New Roman" w:cs="Times New Roman"/>
          <w:sz w:val="24"/>
          <w:szCs w:val="24"/>
        </w:rPr>
        <w:t>8) развитие регулирования секторов финансового рынка.</w:t>
      </w:r>
    </w:p>
    <w:p w14:paraId="6778D4F6" w14:textId="3639F2A1" w:rsidR="0011344C" w:rsidRPr="00005813" w:rsidRDefault="0011344C" w:rsidP="001645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13">
        <w:rPr>
          <w:rFonts w:ascii="Times New Roman" w:hAnsi="Times New Roman" w:cs="Times New Roman"/>
          <w:sz w:val="24"/>
          <w:szCs w:val="24"/>
        </w:rPr>
        <w:t>Внесем предложения в разрезе</w:t>
      </w:r>
      <w:r w:rsidR="00301F3F" w:rsidRPr="00005813">
        <w:rPr>
          <w:rFonts w:ascii="Times New Roman" w:hAnsi="Times New Roman" w:cs="Times New Roman"/>
          <w:sz w:val="24"/>
          <w:szCs w:val="24"/>
        </w:rPr>
        <w:t xml:space="preserve"> </w:t>
      </w:r>
      <w:r w:rsidR="00004412" w:rsidRPr="00005813">
        <w:rPr>
          <w:rFonts w:ascii="Times New Roman" w:hAnsi="Times New Roman" w:cs="Times New Roman"/>
          <w:sz w:val="24"/>
          <w:szCs w:val="24"/>
        </w:rPr>
        <w:t>отдельных</w:t>
      </w:r>
      <w:r w:rsidRPr="00005813">
        <w:rPr>
          <w:rFonts w:ascii="Times New Roman" w:hAnsi="Times New Roman" w:cs="Times New Roman"/>
          <w:sz w:val="24"/>
          <w:szCs w:val="24"/>
        </w:rPr>
        <w:t xml:space="preserve"> разделов </w:t>
      </w:r>
      <w:r w:rsidR="00301F3F" w:rsidRPr="00005813">
        <w:rPr>
          <w:rFonts w:ascii="Times New Roman" w:hAnsi="Times New Roman" w:cs="Times New Roman"/>
          <w:sz w:val="24"/>
          <w:szCs w:val="24"/>
        </w:rPr>
        <w:t xml:space="preserve">анализируемого </w:t>
      </w:r>
      <w:r w:rsidRPr="00005813">
        <w:rPr>
          <w:rFonts w:ascii="Times New Roman" w:hAnsi="Times New Roman" w:cs="Times New Roman"/>
          <w:sz w:val="24"/>
          <w:szCs w:val="24"/>
        </w:rPr>
        <w:t>Документа</w:t>
      </w:r>
      <w:r w:rsidR="00004412" w:rsidRPr="00005813">
        <w:rPr>
          <w:rStyle w:val="a6"/>
          <w:rFonts w:ascii="Times New Roman" w:hAnsi="Times New Roman" w:cs="Times New Roman"/>
          <w:sz w:val="24"/>
          <w:szCs w:val="24"/>
        </w:rPr>
        <w:footnoteReference w:id="3"/>
      </w:r>
      <w:r w:rsidR="00004412" w:rsidRPr="00005813">
        <w:rPr>
          <w:rFonts w:ascii="Times New Roman" w:hAnsi="Times New Roman" w:cs="Times New Roman"/>
          <w:sz w:val="24"/>
          <w:szCs w:val="24"/>
        </w:rPr>
        <w:t>.</w:t>
      </w:r>
    </w:p>
    <w:p w14:paraId="2C7DE2E8" w14:textId="77777777" w:rsidR="006212D8" w:rsidRDefault="006212D8" w:rsidP="0016455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46D107B" w14:textId="3CDBC9DC" w:rsidR="00CA07A0" w:rsidRPr="00005813" w:rsidRDefault="00CA07A0" w:rsidP="006212D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5813">
        <w:rPr>
          <w:rFonts w:ascii="Times New Roman" w:hAnsi="Times New Roman" w:cs="Times New Roman"/>
          <w:b/>
          <w:bCs/>
          <w:sz w:val="24"/>
          <w:szCs w:val="24"/>
        </w:rPr>
        <w:t xml:space="preserve">Раздел 1 </w:t>
      </w:r>
      <w:r w:rsidR="00075E3A" w:rsidRPr="00005813">
        <w:rPr>
          <w:rFonts w:ascii="Times New Roman" w:hAnsi="Times New Roman" w:cs="Times New Roman"/>
          <w:b/>
          <w:bCs/>
          <w:sz w:val="24"/>
          <w:szCs w:val="24"/>
        </w:rPr>
        <w:t>Обеспечение устойчивости финансовых организаций и раскрытие информации</w:t>
      </w:r>
    </w:p>
    <w:p w14:paraId="771E1A18" w14:textId="218EDA01" w:rsidR="00075E3A" w:rsidRPr="00005813" w:rsidRDefault="00075E3A" w:rsidP="0016455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5813">
        <w:rPr>
          <w:rFonts w:ascii="Times New Roman" w:hAnsi="Times New Roman" w:cs="Times New Roman"/>
          <w:sz w:val="24"/>
          <w:szCs w:val="24"/>
        </w:rPr>
        <w:t xml:space="preserve">Стр. 9 – несмотря на декларацию невозможности сохранения конфиденциальности банковской отчетности в течение длительного периода, </w:t>
      </w:r>
      <w:r w:rsidRPr="00005813">
        <w:rPr>
          <w:rFonts w:ascii="Times New Roman" w:hAnsi="Times New Roman" w:cs="Times New Roman"/>
          <w:sz w:val="24"/>
          <w:szCs w:val="24"/>
          <w:u w:val="single"/>
        </w:rPr>
        <w:t xml:space="preserve">сроки и «Дорожная карта» восстановления раскрытия финансовой информации не указаны. </w:t>
      </w:r>
    </w:p>
    <w:p w14:paraId="58DBFBA2" w14:textId="79B0F83C" w:rsidR="00075E3A" w:rsidRPr="00005813" w:rsidRDefault="00282429" w:rsidP="0016455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5813">
        <w:rPr>
          <w:rFonts w:ascii="Times New Roman" w:hAnsi="Times New Roman" w:cs="Times New Roman"/>
          <w:sz w:val="24"/>
          <w:szCs w:val="24"/>
        </w:rPr>
        <w:t>Стр. 9</w:t>
      </w:r>
      <w:r w:rsidR="00DF22B0" w:rsidRPr="00005813">
        <w:rPr>
          <w:rFonts w:ascii="Times New Roman" w:hAnsi="Times New Roman" w:cs="Times New Roman"/>
          <w:sz w:val="24"/>
          <w:szCs w:val="24"/>
        </w:rPr>
        <w:t>, п.2</w:t>
      </w:r>
      <w:r w:rsidRPr="00005813">
        <w:rPr>
          <w:rFonts w:ascii="Times New Roman" w:hAnsi="Times New Roman" w:cs="Times New Roman"/>
          <w:sz w:val="24"/>
          <w:szCs w:val="24"/>
        </w:rPr>
        <w:t xml:space="preserve"> </w:t>
      </w:r>
      <w:r w:rsidR="00C40FFC" w:rsidRPr="00005813">
        <w:rPr>
          <w:rFonts w:ascii="Times New Roman" w:hAnsi="Times New Roman" w:cs="Times New Roman"/>
          <w:sz w:val="24"/>
          <w:szCs w:val="24"/>
        </w:rPr>
        <w:t>–</w:t>
      </w:r>
      <w:r w:rsidRPr="00005813">
        <w:rPr>
          <w:rFonts w:ascii="Times New Roman" w:hAnsi="Times New Roman" w:cs="Times New Roman"/>
          <w:sz w:val="24"/>
          <w:szCs w:val="24"/>
        </w:rPr>
        <w:t xml:space="preserve"> </w:t>
      </w:r>
      <w:r w:rsidR="00C40FFC" w:rsidRPr="00005813">
        <w:rPr>
          <w:rFonts w:ascii="Times New Roman" w:hAnsi="Times New Roman" w:cs="Times New Roman"/>
          <w:sz w:val="24"/>
          <w:szCs w:val="24"/>
        </w:rPr>
        <w:t>п</w:t>
      </w:r>
      <w:r w:rsidR="00075E3A" w:rsidRPr="00005813">
        <w:rPr>
          <w:rFonts w:ascii="Times New Roman" w:hAnsi="Times New Roman" w:cs="Times New Roman"/>
          <w:sz w:val="24"/>
          <w:szCs w:val="24"/>
        </w:rPr>
        <w:t>омимо</w:t>
      </w:r>
      <w:r w:rsidR="00C40FFC" w:rsidRPr="00005813">
        <w:rPr>
          <w:rFonts w:ascii="Times New Roman" w:hAnsi="Times New Roman" w:cs="Times New Roman"/>
          <w:sz w:val="24"/>
          <w:szCs w:val="24"/>
        </w:rPr>
        <w:t xml:space="preserve"> </w:t>
      </w:r>
      <w:r w:rsidR="00075E3A" w:rsidRPr="00005813">
        <w:rPr>
          <w:rFonts w:ascii="Times New Roman" w:hAnsi="Times New Roman" w:cs="Times New Roman"/>
          <w:sz w:val="24"/>
          <w:szCs w:val="24"/>
        </w:rPr>
        <w:t>оперирования буферными надбавками к капиталу, счита</w:t>
      </w:r>
      <w:r w:rsidR="00C40FFC" w:rsidRPr="00005813">
        <w:rPr>
          <w:rFonts w:ascii="Times New Roman" w:hAnsi="Times New Roman" w:cs="Times New Roman"/>
          <w:sz w:val="24"/>
          <w:szCs w:val="24"/>
        </w:rPr>
        <w:t>ем</w:t>
      </w:r>
      <w:r w:rsidR="00075E3A" w:rsidRPr="00005813">
        <w:rPr>
          <w:rFonts w:ascii="Times New Roman" w:hAnsi="Times New Roman" w:cs="Times New Roman"/>
          <w:sz w:val="24"/>
          <w:szCs w:val="24"/>
        </w:rPr>
        <w:t xml:space="preserve"> целесообразным наконец-то </w:t>
      </w:r>
      <w:r w:rsidR="00075E3A" w:rsidRPr="00005813">
        <w:rPr>
          <w:rFonts w:ascii="Times New Roman" w:hAnsi="Times New Roman" w:cs="Times New Roman"/>
          <w:sz w:val="24"/>
          <w:szCs w:val="24"/>
          <w:u w:val="single"/>
        </w:rPr>
        <w:t>усовершенствовать систему формирования резервов на возможные потери по ссудам (Положение 590-П).</w:t>
      </w:r>
      <w:r w:rsidR="00075E3A" w:rsidRPr="00005813">
        <w:rPr>
          <w:rFonts w:ascii="Times New Roman" w:hAnsi="Times New Roman" w:cs="Times New Roman"/>
          <w:sz w:val="24"/>
          <w:szCs w:val="24"/>
        </w:rPr>
        <w:t xml:space="preserve"> В частности, упростить</w:t>
      </w:r>
      <w:r w:rsidRPr="00005813">
        <w:rPr>
          <w:rFonts w:ascii="Times New Roman" w:hAnsi="Times New Roman" w:cs="Times New Roman"/>
          <w:sz w:val="24"/>
          <w:szCs w:val="24"/>
        </w:rPr>
        <w:t xml:space="preserve"> классификацию финансового положения за счет использования внешних рейтингов уполномоченных рейтинговых агентств. Сейчас внешние рейтинги учитываются только в целях категоризации обеспечения.</w:t>
      </w:r>
    </w:p>
    <w:p w14:paraId="0A516BDE" w14:textId="116B9652" w:rsidR="00282429" w:rsidRPr="00005813" w:rsidRDefault="00282429" w:rsidP="0016455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13">
        <w:rPr>
          <w:rFonts w:ascii="Times New Roman" w:hAnsi="Times New Roman" w:cs="Times New Roman"/>
          <w:sz w:val="24"/>
          <w:szCs w:val="24"/>
        </w:rPr>
        <w:t>Стр. 9</w:t>
      </w:r>
      <w:r w:rsidR="00DF22B0" w:rsidRPr="00005813">
        <w:rPr>
          <w:rFonts w:ascii="Times New Roman" w:hAnsi="Times New Roman" w:cs="Times New Roman"/>
          <w:sz w:val="24"/>
          <w:szCs w:val="24"/>
        </w:rPr>
        <w:t xml:space="preserve">, п.2 </w:t>
      </w:r>
      <w:r w:rsidR="00C40FFC" w:rsidRPr="006212D8">
        <w:rPr>
          <w:rFonts w:ascii="Times New Roman" w:hAnsi="Times New Roman" w:cs="Times New Roman"/>
          <w:sz w:val="24"/>
          <w:szCs w:val="24"/>
        </w:rPr>
        <w:t>–</w:t>
      </w:r>
      <w:r w:rsidRPr="006212D8">
        <w:rPr>
          <w:rFonts w:ascii="Times New Roman" w:hAnsi="Times New Roman" w:cs="Times New Roman"/>
          <w:sz w:val="24"/>
          <w:szCs w:val="24"/>
        </w:rPr>
        <w:t xml:space="preserve"> </w:t>
      </w:r>
      <w:r w:rsidR="00C40FFC" w:rsidRPr="00005813">
        <w:rPr>
          <w:rFonts w:ascii="Times New Roman" w:hAnsi="Times New Roman" w:cs="Times New Roman"/>
          <w:sz w:val="24"/>
          <w:szCs w:val="24"/>
          <w:u w:val="single"/>
        </w:rPr>
        <w:t>б</w:t>
      </w:r>
      <w:r w:rsidRPr="00005813">
        <w:rPr>
          <w:rFonts w:ascii="Times New Roman" w:hAnsi="Times New Roman" w:cs="Times New Roman"/>
          <w:sz w:val="24"/>
          <w:szCs w:val="24"/>
          <w:u w:val="single"/>
        </w:rPr>
        <w:t>олее</w:t>
      </w:r>
      <w:r w:rsidR="00C40FFC" w:rsidRPr="000058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05813">
        <w:rPr>
          <w:rFonts w:ascii="Times New Roman" w:hAnsi="Times New Roman" w:cs="Times New Roman"/>
          <w:sz w:val="24"/>
          <w:szCs w:val="24"/>
          <w:u w:val="single"/>
        </w:rPr>
        <w:t xml:space="preserve">подробно следует описать процедуру </w:t>
      </w:r>
      <w:proofErr w:type="spellStart"/>
      <w:r w:rsidRPr="00005813">
        <w:rPr>
          <w:rFonts w:ascii="Times New Roman" w:hAnsi="Times New Roman" w:cs="Times New Roman"/>
          <w:sz w:val="24"/>
          <w:szCs w:val="24"/>
          <w:u w:val="single"/>
        </w:rPr>
        <w:t>макропруденциальных</w:t>
      </w:r>
      <w:proofErr w:type="spellEnd"/>
      <w:r w:rsidRPr="00005813">
        <w:rPr>
          <w:rFonts w:ascii="Times New Roman" w:hAnsi="Times New Roman" w:cs="Times New Roman"/>
          <w:sz w:val="24"/>
          <w:szCs w:val="24"/>
          <w:u w:val="single"/>
        </w:rPr>
        <w:t xml:space="preserve"> лимитов по необеспеченным ссудам</w:t>
      </w:r>
      <w:r w:rsidRPr="00005813">
        <w:rPr>
          <w:rFonts w:ascii="Times New Roman" w:hAnsi="Times New Roman" w:cs="Times New Roman"/>
          <w:sz w:val="24"/>
          <w:szCs w:val="24"/>
        </w:rPr>
        <w:t xml:space="preserve">. Сам по себе лимит на выдачу таких ссуд имеет смысл только относительно размера капитала, а также среднего уровня </w:t>
      </w:r>
      <w:r w:rsidRPr="00005813">
        <w:rPr>
          <w:rFonts w:ascii="Times New Roman" w:hAnsi="Times New Roman" w:cs="Times New Roman"/>
          <w:sz w:val="24"/>
          <w:szCs w:val="24"/>
          <w:lang w:val="en-US"/>
        </w:rPr>
        <w:t>PTI</w:t>
      </w:r>
      <w:r w:rsidRPr="00005813">
        <w:rPr>
          <w:rFonts w:ascii="Times New Roman" w:hAnsi="Times New Roman" w:cs="Times New Roman"/>
          <w:sz w:val="24"/>
          <w:szCs w:val="24"/>
        </w:rPr>
        <w:t xml:space="preserve"> по таким кредитам</w:t>
      </w:r>
      <w:r w:rsidR="00C40FFC" w:rsidRPr="00005813">
        <w:rPr>
          <w:rFonts w:ascii="Times New Roman" w:hAnsi="Times New Roman" w:cs="Times New Roman"/>
          <w:sz w:val="24"/>
          <w:szCs w:val="24"/>
        </w:rPr>
        <w:t>.</w:t>
      </w:r>
    </w:p>
    <w:p w14:paraId="67728096" w14:textId="77777777" w:rsidR="00905B97" w:rsidRDefault="00905B97" w:rsidP="001645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01B4BA" w14:textId="77777777" w:rsidR="003232AE" w:rsidRDefault="003232AE" w:rsidP="001645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7F1792" w14:textId="77777777" w:rsidR="003232AE" w:rsidRDefault="003232AE" w:rsidP="001645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B7E0E7" w14:textId="77777777" w:rsidR="003232AE" w:rsidRPr="003232AE" w:rsidRDefault="003232AE" w:rsidP="001645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A3DA58" w14:textId="435C1F99" w:rsidR="00282429" w:rsidRPr="00005813" w:rsidRDefault="00C40FFC" w:rsidP="006212D8">
      <w:pPr>
        <w:pStyle w:val="a3"/>
        <w:spacing w:after="0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0581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2 Банковский сектор</w:t>
      </w:r>
    </w:p>
    <w:p w14:paraId="58FC52BC" w14:textId="29235567" w:rsidR="00282429" w:rsidRPr="00005813" w:rsidRDefault="00301F3F" w:rsidP="006212D8">
      <w:pPr>
        <w:pStyle w:val="a3"/>
        <w:spacing w:after="0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05813">
        <w:rPr>
          <w:rFonts w:ascii="Times New Roman" w:hAnsi="Times New Roman" w:cs="Times New Roman"/>
          <w:b/>
          <w:bCs/>
          <w:sz w:val="24"/>
          <w:szCs w:val="24"/>
        </w:rPr>
        <w:t>Пункт</w:t>
      </w:r>
      <w:r w:rsidR="00282429" w:rsidRPr="00005813">
        <w:rPr>
          <w:rFonts w:ascii="Times New Roman" w:hAnsi="Times New Roman" w:cs="Times New Roman"/>
          <w:b/>
          <w:bCs/>
          <w:sz w:val="24"/>
          <w:szCs w:val="24"/>
        </w:rPr>
        <w:t xml:space="preserve"> 2.1 Трансформация валютной структуры банковских операций</w:t>
      </w:r>
    </w:p>
    <w:p w14:paraId="62FEDE5F" w14:textId="6CC39C4A" w:rsidR="00282429" w:rsidRPr="00005813" w:rsidRDefault="00282429" w:rsidP="0016455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13">
        <w:rPr>
          <w:rFonts w:ascii="Times New Roman" w:hAnsi="Times New Roman" w:cs="Times New Roman"/>
          <w:sz w:val="24"/>
          <w:szCs w:val="24"/>
        </w:rPr>
        <w:t>Стр.12</w:t>
      </w:r>
      <w:r w:rsidR="00182D8E" w:rsidRPr="00005813">
        <w:rPr>
          <w:rFonts w:ascii="Times New Roman" w:hAnsi="Times New Roman" w:cs="Times New Roman"/>
          <w:sz w:val="24"/>
          <w:szCs w:val="24"/>
        </w:rPr>
        <w:t>, п.1</w:t>
      </w:r>
      <w:r w:rsidRPr="00005813">
        <w:rPr>
          <w:rFonts w:ascii="Times New Roman" w:hAnsi="Times New Roman" w:cs="Times New Roman"/>
          <w:sz w:val="24"/>
          <w:szCs w:val="24"/>
        </w:rPr>
        <w:t xml:space="preserve"> – </w:t>
      </w:r>
      <w:r w:rsidR="006212D8">
        <w:rPr>
          <w:rFonts w:ascii="Times New Roman" w:hAnsi="Times New Roman" w:cs="Times New Roman"/>
          <w:sz w:val="24"/>
          <w:szCs w:val="24"/>
        </w:rPr>
        <w:t>н</w:t>
      </w:r>
      <w:r w:rsidR="00C40FFC" w:rsidRPr="00005813">
        <w:rPr>
          <w:rFonts w:ascii="Times New Roman" w:hAnsi="Times New Roman" w:cs="Times New Roman"/>
          <w:sz w:val="24"/>
          <w:szCs w:val="24"/>
        </w:rPr>
        <w:t>а наш взгляд</w:t>
      </w:r>
      <w:r w:rsidRPr="00005813">
        <w:rPr>
          <w:rFonts w:ascii="Times New Roman" w:hAnsi="Times New Roman" w:cs="Times New Roman"/>
          <w:sz w:val="24"/>
          <w:szCs w:val="24"/>
        </w:rPr>
        <w:t>, повышенные коэффициенты резервирования по обязательствам в недружественных валютах, а также коэффициенты риска по кредитам в таких валютах имеет смысл вводить с учетом особенностей конкретной ситуации. Здесь можно позаимствовать принцип, используемый при расчете ПКЛ – оценка ОЖИДАЕМОЙ задержки в расчетах с контрагентами из недружественных стран. Проще говоря, повышенные коэффициенты риск</w:t>
      </w:r>
      <w:r w:rsidR="006212D8">
        <w:rPr>
          <w:rFonts w:ascii="Times New Roman" w:hAnsi="Times New Roman" w:cs="Times New Roman"/>
          <w:sz w:val="24"/>
          <w:szCs w:val="24"/>
        </w:rPr>
        <w:t>а</w:t>
      </w:r>
      <w:r w:rsidRPr="00005813">
        <w:rPr>
          <w:rFonts w:ascii="Times New Roman" w:hAnsi="Times New Roman" w:cs="Times New Roman"/>
          <w:sz w:val="24"/>
          <w:szCs w:val="24"/>
        </w:rPr>
        <w:t xml:space="preserve"> и нормы резервирования имеет смысл вводить только в случае превышения сроков прохождения клиентскими платежами средних величин за определенны</w:t>
      </w:r>
      <w:r w:rsidR="006212D8">
        <w:rPr>
          <w:rFonts w:ascii="Times New Roman" w:hAnsi="Times New Roman" w:cs="Times New Roman"/>
          <w:sz w:val="24"/>
          <w:szCs w:val="24"/>
        </w:rPr>
        <w:t>й</w:t>
      </w:r>
      <w:r w:rsidRPr="00005813">
        <w:rPr>
          <w:rFonts w:ascii="Times New Roman" w:hAnsi="Times New Roman" w:cs="Times New Roman"/>
          <w:sz w:val="24"/>
          <w:szCs w:val="24"/>
        </w:rPr>
        <w:t xml:space="preserve"> период.</w:t>
      </w:r>
    </w:p>
    <w:p w14:paraId="00EF6696" w14:textId="38B41C4C" w:rsidR="00182D8E" w:rsidRPr="00005813" w:rsidRDefault="00301F3F" w:rsidP="0016455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813">
        <w:rPr>
          <w:rFonts w:ascii="Times New Roman" w:hAnsi="Times New Roman" w:cs="Times New Roman"/>
          <w:b/>
          <w:bCs/>
          <w:sz w:val="24"/>
          <w:szCs w:val="24"/>
        </w:rPr>
        <w:t>Пункт</w:t>
      </w:r>
      <w:r w:rsidR="00182D8E" w:rsidRPr="00005813">
        <w:rPr>
          <w:rFonts w:ascii="Times New Roman" w:hAnsi="Times New Roman" w:cs="Times New Roman"/>
          <w:b/>
          <w:bCs/>
          <w:sz w:val="24"/>
          <w:szCs w:val="24"/>
        </w:rPr>
        <w:t xml:space="preserve"> 2.2</w:t>
      </w:r>
      <w:r w:rsidR="00C40FFC" w:rsidRPr="000058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2D8E" w:rsidRPr="00005813">
        <w:rPr>
          <w:rFonts w:ascii="Times New Roman" w:hAnsi="Times New Roman" w:cs="Times New Roman"/>
          <w:b/>
          <w:bCs/>
          <w:sz w:val="24"/>
          <w:szCs w:val="24"/>
        </w:rPr>
        <w:t>Участие банков в финансировании экономического развития</w:t>
      </w:r>
    </w:p>
    <w:p w14:paraId="7FE96933" w14:textId="2709FC5F" w:rsidR="00D671A7" w:rsidRDefault="00D671A7" w:rsidP="006212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 9, 10 п. 4 – вряд ли уместны рекомендации по «увеличению внутреннего государственного долга» для финансирования приоритетных, имеющих стратегическое значение для страны инвестиционных проектов, так как вопросы государственного долга относятся к компетенции представительных и исполнительных органов государственной власти.</w:t>
      </w:r>
    </w:p>
    <w:p w14:paraId="3875B8A6" w14:textId="77777777" w:rsidR="00D671A7" w:rsidRDefault="00D671A7" w:rsidP="001645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Полагаем, что для финансирования ряда приоритетных, имеющих стратегическое значение для страны инвестиционных проектов наряду с использованием предлагаемых ЦБ РФ инструментов следует предусмотреть и возможность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адаптирования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российским условиям специфических инструментов, используемых центральными банками ряда зарубежных стран в рамках их денежно-промышленной политики, предусматривающие эмиссию валюты под выкуп Центральным Банком целевых государственных ценных бумаг, которые в дальнейшем не участвуют в обращении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финансовых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рынках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B3F2ACE" w14:textId="57447595" w:rsidR="004113C8" w:rsidRPr="00005813" w:rsidRDefault="00182D8E" w:rsidP="0016455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13">
        <w:rPr>
          <w:rFonts w:ascii="Times New Roman" w:hAnsi="Times New Roman" w:cs="Times New Roman"/>
          <w:sz w:val="24"/>
          <w:szCs w:val="24"/>
        </w:rPr>
        <w:t>Стр. 14, п. 6 – необходимо более подробно описать механизм снижения регуляторной нагрузки, в частности</w:t>
      </w:r>
      <w:r w:rsidR="00CF2C91" w:rsidRPr="00005813">
        <w:rPr>
          <w:rFonts w:ascii="Times New Roman" w:hAnsi="Times New Roman" w:cs="Times New Roman"/>
          <w:sz w:val="24"/>
          <w:szCs w:val="24"/>
        </w:rPr>
        <w:t>,</w:t>
      </w:r>
      <w:r w:rsidRPr="00005813">
        <w:rPr>
          <w:rFonts w:ascii="Times New Roman" w:hAnsi="Times New Roman" w:cs="Times New Roman"/>
          <w:sz w:val="24"/>
          <w:szCs w:val="24"/>
        </w:rPr>
        <w:t xml:space="preserve"> снижения </w:t>
      </w:r>
      <w:proofErr w:type="spellStart"/>
      <w:r w:rsidRPr="00005813">
        <w:rPr>
          <w:rFonts w:ascii="Times New Roman" w:hAnsi="Times New Roman" w:cs="Times New Roman"/>
          <w:sz w:val="24"/>
          <w:szCs w:val="24"/>
        </w:rPr>
        <w:t>критериальных</w:t>
      </w:r>
      <w:proofErr w:type="spellEnd"/>
      <w:r w:rsidRPr="00005813">
        <w:rPr>
          <w:rFonts w:ascii="Times New Roman" w:hAnsi="Times New Roman" w:cs="Times New Roman"/>
          <w:sz w:val="24"/>
          <w:szCs w:val="24"/>
        </w:rPr>
        <w:t xml:space="preserve"> значений нормативов Н</w:t>
      </w:r>
      <w:proofErr w:type="gramStart"/>
      <w:r w:rsidRPr="0000581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05813">
        <w:rPr>
          <w:rFonts w:ascii="Times New Roman" w:hAnsi="Times New Roman" w:cs="Times New Roman"/>
          <w:sz w:val="24"/>
          <w:szCs w:val="24"/>
        </w:rPr>
        <w:t xml:space="preserve"> и Н6. </w:t>
      </w:r>
      <w:proofErr w:type="gramStart"/>
      <w:r w:rsidRPr="00005813">
        <w:rPr>
          <w:rFonts w:ascii="Times New Roman" w:hAnsi="Times New Roman" w:cs="Times New Roman"/>
          <w:sz w:val="24"/>
          <w:szCs w:val="24"/>
        </w:rPr>
        <w:t xml:space="preserve">С </w:t>
      </w:r>
      <w:r w:rsidR="00C40FFC" w:rsidRPr="00005813">
        <w:rPr>
          <w:rFonts w:ascii="Times New Roman" w:hAnsi="Times New Roman" w:cs="Times New Roman"/>
          <w:sz w:val="24"/>
          <w:szCs w:val="24"/>
        </w:rPr>
        <w:t>нашей</w:t>
      </w:r>
      <w:r w:rsidRPr="00005813">
        <w:rPr>
          <w:rFonts w:ascii="Times New Roman" w:hAnsi="Times New Roman" w:cs="Times New Roman"/>
          <w:sz w:val="24"/>
          <w:szCs w:val="24"/>
        </w:rPr>
        <w:t xml:space="preserve"> точки</w:t>
      </w:r>
      <w:r w:rsidR="004113C8" w:rsidRPr="00005813">
        <w:rPr>
          <w:rFonts w:ascii="Times New Roman" w:hAnsi="Times New Roman" w:cs="Times New Roman"/>
          <w:sz w:val="24"/>
          <w:szCs w:val="24"/>
        </w:rPr>
        <w:t xml:space="preserve"> зрения, затянулся временной разрыв</w:t>
      </w:r>
      <w:r w:rsidRPr="00005813">
        <w:rPr>
          <w:rFonts w:ascii="Times New Roman" w:hAnsi="Times New Roman" w:cs="Times New Roman"/>
          <w:sz w:val="24"/>
          <w:szCs w:val="24"/>
        </w:rPr>
        <w:t xml:space="preserve"> между разделением лицензий на универсальные и базовые (а банков, де-факто – на федеральные и региональные) </w:t>
      </w:r>
      <w:r w:rsidR="004113C8" w:rsidRPr="00005813">
        <w:rPr>
          <w:rFonts w:ascii="Times New Roman" w:hAnsi="Times New Roman" w:cs="Times New Roman"/>
          <w:sz w:val="24"/>
          <w:szCs w:val="24"/>
        </w:rPr>
        <w:t xml:space="preserve">и созданием стимулов </w:t>
      </w:r>
      <w:r w:rsidRPr="00005813">
        <w:rPr>
          <w:rFonts w:ascii="Times New Roman" w:hAnsi="Times New Roman" w:cs="Times New Roman"/>
          <w:sz w:val="24"/>
          <w:szCs w:val="24"/>
        </w:rPr>
        <w:t>развивать обслуживание локальных экономических субъектов.</w:t>
      </w:r>
      <w:proofErr w:type="gramEnd"/>
    </w:p>
    <w:p w14:paraId="3ACC0D3F" w14:textId="77777777" w:rsidR="004113C8" w:rsidRPr="00005813" w:rsidRDefault="00A30E95" w:rsidP="0016455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13">
        <w:rPr>
          <w:rFonts w:ascii="Times New Roman" w:hAnsi="Times New Roman" w:cs="Times New Roman"/>
          <w:sz w:val="24"/>
          <w:szCs w:val="24"/>
        </w:rPr>
        <w:t>Применительно ко всему пункту</w:t>
      </w:r>
      <w:r w:rsidR="004113C8" w:rsidRPr="0000581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124F4F7" w14:textId="09233230" w:rsidR="004113C8" w:rsidRPr="00005813" w:rsidRDefault="004113C8" w:rsidP="0016455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5813">
        <w:rPr>
          <w:rFonts w:ascii="Times New Roman" w:hAnsi="Times New Roman" w:cs="Times New Roman"/>
          <w:sz w:val="24"/>
          <w:szCs w:val="24"/>
          <w:u w:val="single"/>
        </w:rPr>
        <w:t>Участие банков в финансировании экономического развития предполагает стимулирование долгосрочного финансирования, в частности</w:t>
      </w:r>
      <w:r w:rsidR="00CF2C91" w:rsidRPr="0000581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005813">
        <w:rPr>
          <w:rFonts w:ascii="Times New Roman" w:hAnsi="Times New Roman" w:cs="Times New Roman"/>
          <w:sz w:val="24"/>
          <w:szCs w:val="24"/>
          <w:u w:val="single"/>
        </w:rPr>
        <w:t>внедрение безотзывных вкладов физических лиц в качестве одной из мер формирования базы долгосрочного финансирования.</w:t>
      </w:r>
    </w:p>
    <w:p w14:paraId="41D681B8" w14:textId="2086D64B" w:rsidR="004113C8" w:rsidRPr="00005813" w:rsidRDefault="004113C8" w:rsidP="0016455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13">
        <w:rPr>
          <w:rFonts w:ascii="Times New Roman" w:hAnsi="Times New Roman" w:cs="Times New Roman"/>
          <w:sz w:val="24"/>
          <w:szCs w:val="24"/>
        </w:rPr>
        <w:t>На первом этапе имеет смысл ограничить привлечени</w:t>
      </w:r>
      <w:r w:rsidR="006212D8">
        <w:rPr>
          <w:rFonts w:ascii="Times New Roman" w:hAnsi="Times New Roman" w:cs="Times New Roman"/>
          <w:sz w:val="24"/>
          <w:szCs w:val="24"/>
        </w:rPr>
        <w:t>е</w:t>
      </w:r>
      <w:r w:rsidRPr="00005813">
        <w:rPr>
          <w:rFonts w:ascii="Times New Roman" w:hAnsi="Times New Roman" w:cs="Times New Roman"/>
          <w:sz w:val="24"/>
          <w:szCs w:val="24"/>
        </w:rPr>
        <w:t xml:space="preserve"> безотзывных вкладов физических лиц кредитными организациями, входящими в группы 1-2 согласно Указанию ЦБ РФ </w:t>
      </w:r>
      <w:r w:rsidR="006212D8">
        <w:rPr>
          <w:rFonts w:ascii="Times New Roman" w:hAnsi="Times New Roman" w:cs="Times New Roman"/>
          <w:sz w:val="24"/>
          <w:szCs w:val="24"/>
        </w:rPr>
        <w:t>№</w:t>
      </w:r>
      <w:r w:rsidRPr="00005813">
        <w:rPr>
          <w:rFonts w:ascii="Times New Roman" w:hAnsi="Times New Roman" w:cs="Times New Roman"/>
          <w:sz w:val="24"/>
          <w:szCs w:val="24"/>
        </w:rPr>
        <w:t xml:space="preserve"> 4336-У от 3 апреля 2017 г.</w:t>
      </w:r>
      <w:r w:rsidR="006212D8">
        <w:rPr>
          <w:rFonts w:ascii="Times New Roman" w:hAnsi="Times New Roman" w:cs="Times New Roman"/>
          <w:sz w:val="24"/>
          <w:szCs w:val="24"/>
        </w:rPr>
        <w:t>,</w:t>
      </w:r>
      <w:r w:rsidRPr="00005813">
        <w:rPr>
          <w:rFonts w:ascii="Times New Roman" w:hAnsi="Times New Roman" w:cs="Times New Roman"/>
          <w:sz w:val="24"/>
          <w:szCs w:val="24"/>
        </w:rPr>
        <w:t xml:space="preserve"> или системно значимыми кредитными организациями.</w:t>
      </w:r>
    </w:p>
    <w:p w14:paraId="5D3B4F73" w14:textId="77777777" w:rsidR="004113C8" w:rsidRPr="00005813" w:rsidRDefault="004113C8" w:rsidP="0016455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13">
        <w:rPr>
          <w:rFonts w:ascii="Times New Roman" w:hAnsi="Times New Roman" w:cs="Times New Roman"/>
          <w:sz w:val="24"/>
          <w:szCs w:val="24"/>
        </w:rPr>
        <w:t>Регулятор может своими положениями закрепить минимальную процентную ставку и максимальный срок по таким вкладам.</w:t>
      </w:r>
    </w:p>
    <w:p w14:paraId="4763E64A" w14:textId="77777777" w:rsidR="004113C8" w:rsidRPr="00005813" w:rsidRDefault="004113C8" w:rsidP="0016455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13">
        <w:rPr>
          <w:rFonts w:ascii="Times New Roman" w:hAnsi="Times New Roman" w:cs="Times New Roman"/>
          <w:sz w:val="24"/>
          <w:szCs w:val="24"/>
        </w:rPr>
        <w:t>Возможно также увеличение сумм гарантирования для безотзывных вкладов.</w:t>
      </w:r>
    </w:p>
    <w:p w14:paraId="5E8673DB" w14:textId="22BFAD63" w:rsidR="004113C8" w:rsidRPr="00005813" w:rsidRDefault="00CF2C91" w:rsidP="0016455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13">
        <w:rPr>
          <w:rFonts w:ascii="Times New Roman" w:hAnsi="Times New Roman" w:cs="Times New Roman"/>
          <w:sz w:val="24"/>
          <w:szCs w:val="24"/>
        </w:rPr>
        <w:t>К другим антикризисным мерам по стимулированию участия банков в экономическом развитии следует, с нашей точки зрения, отнести:</w:t>
      </w:r>
    </w:p>
    <w:p w14:paraId="7859C92D" w14:textId="2560BE77" w:rsidR="00CF2C91" w:rsidRPr="00005813" w:rsidRDefault="00905B97" w:rsidP="006212D8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13">
        <w:rPr>
          <w:rFonts w:ascii="Times New Roman" w:hAnsi="Times New Roman" w:cs="Times New Roman"/>
          <w:sz w:val="24"/>
          <w:szCs w:val="24"/>
        </w:rPr>
        <w:t>В</w:t>
      </w:r>
      <w:r w:rsidR="00CF2C91" w:rsidRPr="00005813">
        <w:rPr>
          <w:rFonts w:ascii="Times New Roman" w:hAnsi="Times New Roman" w:cs="Times New Roman"/>
          <w:sz w:val="24"/>
          <w:szCs w:val="24"/>
        </w:rPr>
        <w:t>недрение специальных кредитных контрактов,</w:t>
      </w:r>
      <w:r w:rsidR="00CF2C91" w:rsidRPr="00005813">
        <w:rPr>
          <w:rFonts w:ascii="Times New Roman" w:hAnsi="Times New Roman"/>
          <w:sz w:val="24"/>
          <w:szCs w:val="24"/>
        </w:rPr>
        <w:t xml:space="preserve"> по условиям которых кредитные организации, предоставляющие инвестиционные кредиты нефинансовым компаниям по ставке ниже рыночной, смогут возмещать недополученный доход за счет налогового </w:t>
      </w:r>
      <w:r w:rsidR="00CF2C91" w:rsidRPr="00005813">
        <w:rPr>
          <w:rFonts w:ascii="Times New Roman" w:hAnsi="Times New Roman"/>
          <w:sz w:val="24"/>
          <w:szCs w:val="24"/>
        </w:rPr>
        <w:lastRenderedPageBreak/>
        <w:t>вычета</w:t>
      </w:r>
      <w:r w:rsidR="00CF2C91" w:rsidRPr="00005813">
        <w:rPr>
          <w:rStyle w:val="a6"/>
          <w:rFonts w:ascii="Times New Roman" w:hAnsi="Times New Roman"/>
          <w:sz w:val="24"/>
          <w:szCs w:val="24"/>
        </w:rPr>
        <w:footnoteReference w:id="4"/>
      </w:r>
      <w:r w:rsidRPr="00005813">
        <w:rPr>
          <w:rFonts w:ascii="Times New Roman" w:hAnsi="Times New Roman"/>
          <w:sz w:val="24"/>
          <w:szCs w:val="24"/>
        </w:rPr>
        <w:t>. У</w:t>
      </w:r>
      <w:r w:rsidR="00CF2C91" w:rsidRPr="00005813">
        <w:rPr>
          <w:rFonts w:ascii="Times New Roman" w:hAnsi="Times New Roman"/>
          <w:sz w:val="24"/>
          <w:szCs w:val="24"/>
        </w:rPr>
        <w:t xml:space="preserve">словия </w:t>
      </w:r>
      <w:r w:rsidR="00EF1FEF" w:rsidRPr="00005813">
        <w:rPr>
          <w:rFonts w:ascii="Times New Roman" w:hAnsi="Times New Roman"/>
          <w:sz w:val="24"/>
          <w:szCs w:val="24"/>
        </w:rPr>
        <w:t>заключения данных контрактов могут быть интегрированы с национальной таксономией проектов технологического суверенитета и модернизации экономики (стр. 9)</w:t>
      </w:r>
      <w:r w:rsidRPr="00005813">
        <w:rPr>
          <w:rFonts w:ascii="Times New Roman" w:hAnsi="Times New Roman"/>
          <w:sz w:val="24"/>
          <w:szCs w:val="24"/>
        </w:rPr>
        <w:t>.</w:t>
      </w:r>
    </w:p>
    <w:p w14:paraId="696B651D" w14:textId="40EC3A27" w:rsidR="00CF2C91" w:rsidRDefault="00905B97" w:rsidP="006212D8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13">
        <w:rPr>
          <w:rFonts w:ascii="Times New Roman" w:hAnsi="Times New Roman" w:cs="Times New Roman"/>
          <w:sz w:val="24"/>
          <w:szCs w:val="24"/>
        </w:rPr>
        <w:t>А</w:t>
      </w:r>
      <w:r w:rsidR="00CF2C91" w:rsidRPr="00005813">
        <w:rPr>
          <w:rFonts w:ascii="Times New Roman" w:hAnsi="Times New Roman" w:cs="Times New Roman"/>
          <w:sz w:val="24"/>
          <w:szCs w:val="24"/>
        </w:rPr>
        <w:t>ктивизацию работы по реализации пилотных проектов исламского банкинга с дальнейш</w:t>
      </w:r>
      <w:r w:rsidR="006212D8">
        <w:rPr>
          <w:rFonts w:ascii="Times New Roman" w:hAnsi="Times New Roman" w:cs="Times New Roman"/>
          <w:sz w:val="24"/>
          <w:szCs w:val="24"/>
        </w:rPr>
        <w:t>и</w:t>
      </w:r>
      <w:r w:rsidR="00CF2C91" w:rsidRPr="00005813">
        <w:rPr>
          <w:rFonts w:ascii="Times New Roman" w:hAnsi="Times New Roman" w:cs="Times New Roman"/>
          <w:sz w:val="24"/>
          <w:szCs w:val="24"/>
        </w:rPr>
        <w:t xml:space="preserve">м масштабированием успешных результатов на территории регионов </w:t>
      </w:r>
      <w:r w:rsidRPr="00005813">
        <w:rPr>
          <w:rFonts w:ascii="Times New Roman" w:hAnsi="Times New Roman" w:cs="Times New Roman"/>
          <w:sz w:val="24"/>
          <w:szCs w:val="24"/>
        </w:rPr>
        <w:t>с преобладающей</w:t>
      </w:r>
      <w:r w:rsidR="00CF2C91" w:rsidRPr="00005813">
        <w:rPr>
          <w:rFonts w:ascii="Times New Roman" w:hAnsi="Times New Roman" w:cs="Times New Roman"/>
          <w:sz w:val="24"/>
          <w:szCs w:val="24"/>
        </w:rPr>
        <w:t xml:space="preserve"> долей мусульманского населения</w:t>
      </w:r>
      <w:r w:rsidRPr="00005813">
        <w:rPr>
          <w:rFonts w:ascii="Times New Roman" w:hAnsi="Times New Roman" w:cs="Times New Roman"/>
          <w:sz w:val="24"/>
          <w:szCs w:val="24"/>
        </w:rPr>
        <w:t xml:space="preserve"> и в мегаполисах, активно привлекающих потоки мигрантов из Средней Азии</w:t>
      </w:r>
      <w:r w:rsidR="00CF2C91" w:rsidRPr="00005813">
        <w:rPr>
          <w:rFonts w:ascii="Times New Roman" w:hAnsi="Times New Roman" w:cs="Times New Roman"/>
          <w:sz w:val="24"/>
          <w:szCs w:val="24"/>
        </w:rPr>
        <w:t>.</w:t>
      </w:r>
      <w:r w:rsidRPr="00005813">
        <w:rPr>
          <w:rFonts w:ascii="Times New Roman" w:hAnsi="Times New Roman" w:cs="Times New Roman"/>
          <w:sz w:val="24"/>
          <w:szCs w:val="24"/>
        </w:rPr>
        <w:t xml:space="preserve"> Данное направление развития финансового рынка будет способствовать повышению </w:t>
      </w:r>
      <w:r w:rsidR="00C171D2" w:rsidRPr="00005813">
        <w:rPr>
          <w:rFonts w:ascii="Times New Roman" w:hAnsi="Times New Roman" w:cs="Times New Roman"/>
          <w:sz w:val="24"/>
          <w:szCs w:val="24"/>
        </w:rPr>
        <w:t xml:space="preserve">доступности финансовых услуг для </w:t>
      </w:r>
      <w:r w:rsidR="0022099C" w:rsidRPr="00005813">
        <w:rPr>
          <w:rFonts w:ascii="Times New Roman" w:hAnsi="Times New Roman" w:cs="Times New Roman"/>
          <w:sz w:val="24"/>
          <w:szCs w:val="24"/>
        </w:rPr>
        <w:t xml:space="preserve">лиц, которые не обращаются в традиционные банки, </w:t>
      </w:r>
      <w:r w:rsidR="00F628F2" w:rsidRPr="00005813">
        <w:rPr>
          <w:rFonts w:ascii="Times New Roman" w:hAnsi="Times New Roman" w:cs="Times New Roman"/>
          <w:sz w:val="24"/>
          <w:szCs w:val="24"/>
        </w:rPr>
        <w:t>нарушающие требования</w:t>
      </w:r>
      <w:r w:rsidR="0022099C" w:rsidRPr="00005813">
        <w:rPr>
          <w:rFonts w:ascii="Times New Roman" w:hAnsi="Times New Roman" w:cs="Times New Roman"/>
          <w:sz w:val="24"/>
          <w:szCs w:val="24"/>
        </w:rPr>
        <w:t xml:space="preserve"> шариат</w:t>
      </w:r>
      <w:r w:rsidR="00F628F2" w:rsidRPr="00005813">
        <w:rPr>
          <w:rFonts w:ascii="Times New Roman" w:hAnsi="Times New Roman" w:cs="Times New Roman"/>
          <w:sz w:val="24"/>
          <w:szCs w:val="24"/>
        </w:rPr>
        <w:t>а</w:t>
      </w:r>
      <w:r w:rsidR="0022099C" w:rsidRPr="00005813">
        <w:rPr>
          <w:rFonts w:ascii="Times New Roman" w:hAnsi="Times New Roman" w:cs="Times New Roman"/>
          <w:sz w:val="24"/>
          <w:szCs w:val="24"/>
        </w:rPr>
        <w:t xml:space="preserve"> (запрет ссудного процента и пр.), а также повысит лояльность к банковской системе тех лиц, которые </w:t>
      </w:r>
      <w:r w:rsidR="00F628F2" w:rsidRPr="00005813">
        <w:rPr>
          <w:rFonts w:ascii="Times New Roman" w:hAnsi="Times New Roman" w:cs="Times New Roman"/>
          <w:sz w:val="24"/>
          <w:szCs w:val="24"/>
        </w:rPr>
        <w:t xml:space="preserve">по аналогичным причинам </w:t>
      </w:r>
      <w:r w:rsidR="0022099C" w:rsidRPr="00005813">
        <w:rPr>
          <w:rFonts w:ascii="Times New Roman" w:hAnsi="Times New Roman" w:cs="Times New Roman"/>
          <w:sz w:val="24"/>
          <w:szCs w:val="24"/>
        </w:rPr>
        <w:t>испытывают дискомфорт при работе с традиционными финансовыми организациями.</w:t>
      </w:r>
      <w:r w:rsidR="00F628F2" w:rsidRPr="00005813">
        <w:rPr>
          <w:rFonts w:ascii="Times New Roman" w:hAnsi="Times New Roman" w:cs="Times New Roman"/>
          <w:sz w:val="24"/>
          <w:szCs w:val="24"/>
        </w:rPr>
        <w:t xml:space="preserve"> Кроме того, исламские банки, функционирующие в Российской Федерации, могут реализовывать совместные проекты с исламскими банками и институтами развития из дружественных арабских, азиатских и африканских стран, что будет способствовать привлечению внешних источников финансирования отечественной экономики.</w:t>
      </w:r>
    </w:p>
    <w:p w14:paraId="001E6AA5" w14:textId="77777777" w:rsidR="00D671A7" w:rsidRPr="00005813" w:rsidRDefault="00D671A7" w:rsidP="0016455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9BEFDF" w14:textId="77777777" w:rsidR="001B3EB1" w:rsidRPr="00005813" w:rsidRDefault="001B3EB1" w:rsidP="00325DBA">
      <w:pPr>
        <w:pStyle w:val="a3"/>
        <w:spacing w:after="0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05813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00581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Инструменты долгосрочных сбережений для граждан</w:t>
      </w:r>
    </w:p>
    <w:p w14:paraId="474DF7C8" w14:textId="5FB8CAFC" w:rsidR="001B3EB1" w:rsidRDefault="001B3EB1" w:rsidP="00325DBA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727D">
        <w:rPr>
          <w:rFonts w:ascii="Times New Roman" w:hAnsi="Times New Roman"/>
          <w:sz w:val="24"/>
          <w:szCs w:val="24"/>
        </w:rPr>
        <w:t>Поддерживаем предложение о создании единого механизма налоговых льгот для долгосрочных инвестиций физических лиц для всех финансовых продуктов, посредством которых такие инвестиции осуществляются. Полагаем, что это предложение нуждается в конкретизации и детализации. Предлагаем введение направленного налогового  регулирования сбережений населения в российских кредитных организациях</w:t>
      </w:r>
      <w:r w:rsidR="00325D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используя </w:t>
      </w:r>
      <w:r w:rsidRPr="0012727D">
        <w:rPr>
          <w:rFonts w:ascii="Times New Roman" w:hAnsi="Times New Roman"/>
          <w:sz w:val="24"/>
          <w:szCs w:val="24"/>
        </w:rPr>
        <w:t xml:space="preserve">успешный опыт по регулированию сроков сбережения населения в Республике Беларусь: </w:t>
      </w:r>
      <w:r>
        <w:rPr>
          <w:rFonts w:ascii="Times New Roman" w:hAnsi="Times New Roman"/>
          <w:sz w:val="24"/>
          <w:szCs w:val="24"/>
        </w:rPr>
        <w:t xml:space="preserve">освобождение от обложения </w:t>
      </w:r>
      <w:r w:rsidRPr="0012727D">
        <w:rPr>
          <w:rFonts w:ascii="Times New Roman" w:hAnsi="Times New Roman"/>
          <w:sz w:val="24"/>
          <w:szCs w:val="24"/>
        </w:rPr>
        <w:t>подоходн</w:t>
      </w:r>
      <w:r>
        <w:rPr>
          <w:rFonts w:ascii="Times New Roman" w:hAnsi="Times New Roman"/>
          <w:sz w:val="24"/>
          <w:szCs w:val="24"/>
        </w:rPr>
        <w:t>ым</w:t>
      </w:r>
      <w:r w:rsidRPr="0012727D">
        <w:rPr>
          <w:rFonts w:ascii="Times New Roman" w:hAnsi="Times New Roman"/>
          <w:sz w:val="24"/>
          <w:szCs w:val="24"/>
        </w:rPr>
        <w:t xml:space="preserve"> налог</w:t>
      </w:r>
      <w:r>
        <w:rPr>
          <w:rFonts w:ascii="Times New Roman" w:hAnsi="Times New Roman"/>
          <w:sz w:val="24"/>
          <w:szCs w:val="24"/>
        </w:rPr>
        <w:t>ом</w:t>
      </w:r>
      <w:r w:rsidRPr="0012727D">
        <w:rPr>
          <w:rFonts w:ascii="Times New Roman" w:hAnsi="Times New Roman"/>
          <w:sz w:val="24"/>
          <w:szCs w:val="24"/>
        </w:rPr>
        <w:t xml:space="preserve"> доходов </w:t>
      </w:r>
      <w:r>
        <w:rPr>
          <w:rFonts w:ascii="Times New Roman" w:hAnsi="Times New Roman"/>
          <w:sz w:val="24"/>
          <w:szCs w:val="24"/>
        </w:rPr>
        <w:t xml:space="preserve">физических лиц </w:t>
      </w:r>
      <w:r w:rsidRPr="0012727D">
        <w:rPr>
          <w:rFonts w:ascii="Times New Roman" w:hAnsi="Times New Roman"/>
          <w:sz w:val="24"/>
          <w:szCs w:val="24"/>
        </w:rPr>
        <w:t xml:space="preserve">по банковским депозитам, размещенным на срок </w:t>
      </w:r>
      <w:r>
        <w:rPr>
          <w:rFonts w:ascii="Times New Roman" w:hAnsi="Times New Roman"/>
          <w:sz w:val="24"/>
          <w:szCs w:val="24"/>
        </w:rPr>
        <w:t>более</w:t>
      </w:r>
      <w:r w:rsidRPr="0012727D">
        <w:rPr>
          <w:rFonts w:ascii="Times New Roman" w:hAnsi="Times New Roman"/>
          <w:sz w:val="24"/>
          <w:szCs w:val="24"/>
        </w:rPr>
        <w:t xml:space="preserve"> 1 года</w:t>
      </w:r>
      <w:r>
        <w:rPr>
          <w:rFonts w:ascii="Times New Roman" w:hAnsi="Times New Roman"/>
          <w:sz w:val="24"/>
          <w:szCs w:val="24"/>
        </w:rPr>
        <w:t xml:space="preserve">. Считаем важным внедрение налоговых льгот </w:t>
      </w:r>
      <w:r w:rsidRPr="007305FD">
        <w:rPr>
          <w:rFonts w:ascii="Times New Roman" w:hAnsi="Times New Roman"/>
          <w:sz w:val="24"/>
          <w:szCs w:val="24"/>
        </w:rPr>
        <w:t>долгосрочных инвестиций физических лиц</w:t>
      </w:r>
      <w:r>
        <w:rPr>
          <w:rFonts w:ascii="Times New Roman" w:hAnsi="Times New Roman"/>
          <w:sz w:val="24"/>
          <w:szCs w:val="24"/>
        </w:rPr>
        <w:t xml:space="preserve"> на банковских вкладах в ближайшей перспективе, применяя к доходам, полученным в 2023 г. </w:t>
      </w:r>
    </w:p>
    <w:p w14:paraId="6C3671A0" w14:textId="77777777" w:rsidR="00325DBA" w:rsidRDefault="00325DBA" w:rsidP="006212D8">
      <w:pPr>
        <w:pStyle w:val="a3"/>
        <w:spacing w:after="0"/>
        <w:ind w:left="0" w:firstLine="709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71783A1" w14:textId="654024EB" w:rsidR="004113C8" w:rsidRPr="00005813" w:rsidRDefault="00301F3F" w:rsidP="006212D8">
      <w:pPr>
        <w:pStyle w:val="a3"/>
        <w:spacing w:after="0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05813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4113C8" w:rsidRPr="00005813">
        <w:rPr>
          <w:rFonts w:ascii="Times New Roman" w:hAnsi="Times New Roman" w:cs="Times New Roman"/>
          <w:b/>
          <w:bCs/>
          <w:sz w:val="24"/>
          <w:szCs w:val="24"/>
        </w:rPr>
        <w:t xml:space="preserve"> 5 Защита неквалифицированного розничного инвестора</w:t>
      </w:r>
    </w:p>
    <w:p w14:paraId="0C21A6FC" w14:textId="7A161F1A" w:rsidR="004113C8" w:rsidRPr="00005813" w:rsidRDefault="004113C8" w:rsidP="0016455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13">
        <w:rPr>
          <w:rFonts w:ascii="Times New Roman" w:hAnsi="Times New Roman" w:cs="Times New Roman"/>
          <w:sz w:val="24"/>
          <w:szCs w:val="24"/>
        </w:rPr>
        <w:t>Применительно ко всему разделу</w:t>
      </w:r>
      <w:r w:rsidR="00A30E95" w:rsidRPr="00005813">
        <w:rPr>
          <w:rFonts w:ascii="Times New Roman" w:hAnsi="Times New Roman" w:cs="Times New Roman"/>
          <w:sz w:val="24"/>
          <w:szCs w:val="24"/>
        </w:rPr>
        <w:t xml:space="preserve"> </w:t>
      </w:r>
      <w:r w:rsidRPr="00005813">
        <w:rPr>
          <w:rFonts w:ascii="Times New Roman" w:hAnsi="Times New Roman" w:cs="Times New Roman"/>
          <w:sz w:val="24"/>
          <w:szCs w:val="24"/>
        </w:rPr>
        <w:t>счита</w:t>
      </w:r>
      <w:r w:rsidR="00301F3F" w:rsidRPr="00005813">
        <w:rPr>
          <w:rFonts w:ascii="Times New Roman" w:hAnsi="Times New Roman" w:cs="Times New Roman"/>
          <w:sz w:val="24"/>
          <w:szCs w:val="24"/>
        </w:rPr>
        <w:t>ем</w:t>
      </w:r>
      <w:r w:rsidRPr="00005813">
        <w:rPr>
          <w:rFonts w:ascii="Times New Roman" w:hAnsi="Times New Roman" w:cs="Times New Roman"/>
          <w:sz w:val="24"/>
          <w:szCs w:val="24"/>
        </w:rPr>
        <w:t xml:space="preserve"> целесообразным </w:t>
      </w:r>
      <w:r w:rsidR="00A30E95" w:rsidRPr="00005813">
        <w:rPr>
          <w:rFonts w:ascii="Times New Roman" w:hAnsi="Times New Roman" w:cs="Times New Roman"/>
          <w:sz w:val="24"/>
          <w:szCs w:val="24"/>
        </w:rPr>
        <w:t>использование масштабных статистических данных об упущенной выгоде/отрицательной переоценке каждого вида финансовых активов неквалифицированных инвесторов. Без формирования и обсуждения с экспертным сообществом таких статистических данных подобные ограничения будут носить декларативный характер, основанны</w:t>
      </w:r>
      <w:r w:rsidR="00F7453C">
        <w:rPr>
          <w:rFonts w:ascii="Times New Roman" w:hAnsi="Times New Roman" w:cs="Times New Roman"/>
          <w:sz w:val="24"/>
          <w:szCs w:val="24"/>
        </w:rPr>
        <w:t>й</w:t>
      </w:r>
      <w:r w:rsidR="00A30E95" w:rsidRPr="00005813">
        <w:rPr>
          <w:rFonts w:ascii="Times New Roman" w:hAnsi="Times New Roman" w:cs="Times New Roman"/>
          <w:sz w:val="24"/>
          <w:szCs w:val="24"/>
        </w:rPr>
        <w:t xml:space="preserve"> на принципе «</w:t>
      </w:r>
      <w:proofErr w:type="gramStart"/>
      <w:r w:rsidR="00A30E95" w:rsidRPr="00005813">
        <w:rPr>
          <w:rFonts w:ascii="Times New Roman" w:hAnsi="Times New Roman" w:cs="Times New Roman"/>
          <w:sz w:val="24"/>
          <w:szCs w:val="24"/>
        </w:rPr>
        <w:t>дружественный-недружественный</w:t>
      </w:r>
      <w:proofErr w:type="gramEnd"/>
      <w:r w:rsidR="00A30E95" w:rsidRPr="00005813">
        <w:rPr>
          <w:rFonts w:ascii="Times New Roman" w:hAnsi="Times New Roman" w:cs="Times New Roman"/>
          <w:sz w:val="24"/>
          <w:szCs w:val="24"/>
        </w:rPr>
        <w:t>».</w:t>
      </w:r>
    </w:p>
    <w:p w14:paraId="4AE330DA" w14:textId="77777777" w:rsidR="00CB5A33" w:rsidRPr="00005813" w:rsidRDefault="00CB5A33" w:rsidP="001645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D142EE" w14:textId="5EAB8122" w:rsidR="00AD7C77" w:rsidRPr="00005813" w:rsidRDefault="00AD7C77" w:rsidP="006212D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813">
        <w:rPr>
          <w:rFonts w:ascii="Times New Roman" w:hAnsi="Times New Roman" w:cs="Times New Roman"/>
          <w:b/>
          <w:sz w:val="24"/>
          <w:szCs w:val="24"/>
        </w:rPr>
        <w:t>Раздел 6 Финансирование устойчивого развития</w:t>
      </w:r>
    </w:p>
    <w:p w14:paraId="2A9256DE" w14:textId="77777777" w:rsidR="00BD1BA1" w:rsidRPr="00005813" w:rsidRDefault="00AD7C77" w:rsidP="0016455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5813">
        <w:rPr>
          <w:rFonts w:ascii="Times New Roman" w:hAnsi="Times New Roman" w:cs="Times New Roman"/>
          <w:bCs/>
          <w:sz w:val="24"/>
          <w:szCs w:val="24"/>
        </w:rPr>
        <w:t xml:space="preserve">В рамках мероприятий по развитию национальной системы углеродного регулирования (стр. 17) следует предусмотреть, как будут связаны между собой </w:t>
      </w:r>
      <w:proofErr w:type="gramStart"/>
      <w:r w:rsidRPr="00005813">
        <w:rPr>
          <w:rFonts w:ascii="Times New Roman" w:hAnsi="Times New Roman" w:cs="Times New Roman"/>
          <w:bCs/>
          <w:sz w:val="24"/>
          <w:szCs w:val="24"/>
        </w:rPr>
        <w:t>добровольный</w:t>
      </w:r>
      <w:proofErr w:type="gramEnd"/>
      <w:r w:rsidRPr="00005813">
        <w:rPr>
          <w:rFonts w:ascii="Times New Roman" w:hAnsi="Times New Roman" w:cs="Times New Roman"/>
          <w:bCs/>
          <w:sz w:val="24"/>
          <w:szCs w:val="24"/>
        </w:rPr>
        <w:t xml:space="preserve"> и регулируемые сегменты углеродного рынка.</w:t>
      </w:r>
    </w:p>
    <w:p w14:paraId="7EA2BEEE" w14:textId="3DB40F3F" w:rsidR="00AD7C77" w:rsidRPr="00005813" w:rsidRDefault="00AD7C77" w:rsidP="0016455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5813">
        <w:rPr>
          <w:rFonts w:ascii="Times New Roman" w:hAnsi="Times New Roman" w:cs="Times New Roman"/>
          <w:bCs/>
          <w:sz w:val="24"/>
          <w:szCs w:val="24"/>
        </w:rPr>
        <w:t xml:space="preserve">К настоящему времени сформированы институциональные предпосылки для их совместной работы. В частности, функционирование добровольного сегмента углеродного рынка предусмотрено Федеральным законом от 02.07.2021 № 296-ФЗ «Об ограничении </w:t>
      </w:r>
      <w:r w:rsidRPr="0000581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выбросов парниковых газов», регулируемого </w:t>
      </w:r>
      <w:r w:rsidR="00BD1BA1" w:rsidRPr="00005813">
        <w:rPr>
          <w:rFonts w:ascii="Times New Roman" w:hAnsi="Times New Roman" w:cs="Times New Roman"/>
          <w:bCs/>
          <w:sz w:val="24"/>
          <w:szCs w:val="24"/>
        </w:rPr>
        <w:t xml:space="preserve">– Федеральным законом </w:t>
      </w:r>
      <w:r w:rsidRPr="00005813">
        <w:rPr>
          <w:rFonts w:ascii="Times New Roman" w:hAnsi="Times New Roman" w:cs="Times New Roman"/>
          <w:bCs/>
          <w:sz w:val="24"/>
          <w:szCs w:val="24"/>
        </w:rPr>
        <w:t xml:space="preserve">от 06.02.2022 </w:t>
      </w:r>
      <w:r w:rsidR="00F7453C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005813">
        <w:rPr>
          <w:rFonts w:ascii="Times New Roman" w:hAnsi="Times New Roman" w:cs="Times New Roman"/>
          <w:bCs/>
          <w:sz w:val="24"/>
          <w:szCs w:val="24"/>
        </w:rPr>
        <w:t>№34-ФЗ «О проведении регионального эксперимента по ограничению выбросов парниковых газов в отдельных субъектах РФ».</w:t>
      </w:r>
      <w:r w:rsidR="00BD1BA1" w:rsidRPr="00005813">
        <w:rPr>
          <w:rFonts w:ascii="Times New Roman" w:hAnsi="Times New Roman" w:cs="Times New Roman"/>
          <w:bCs/>
          <w:sz w:val="24"/>
          <w:szCs w:val="24"/>
        </w:rPr>
        <w:t xml:space="preserve"> Однако вопросы о том, как будет происходить «</w:t>
      </w:r>
      <w:proofErr w:type="spellStart"/>
      <w:r w:rsidR="00BD1BA1" w:rsidRPr="00005813">
        <w:rPr>
          <w:rFonts w:ascii="Times New Roman" w:hAnsi="Times New Roman" w:cs="Times New Roman"/>
          <w:bCs/>
          <w:sz w:val="24"/>
          <w:szCs w:val="24"/>
        </w:rPr>
        <w:t>неттинг</w:t>
      </w:r>
      <w:proofErr w:type="spellEnd"/>
      <w:r w:rsidR="00BD1BA1" w:rsidRPr="00005813">
        <w:rPr>
          <w:rFonts w:ascii="Times New Roman" w:hAnsi="Times New Roman" w:cs="Times New Roman"/>
          <w:bCs/>
          <w:sz w:val="24"/>
          <w:szCs w:val="24"/>
        </w:rPr>
        <w:t xml:space="preserve"> углеродного следа» (в терминологии Документа) между хозяйствующими субъектами, выпускающими углеродные единицы разными способами (как результат реализации климатического проекта – добровольный сегмент или как результат перевыполнения квоты – регулируемый сегмент), остается открытым. Представляется, что это один из важнейших вопросов для разработки эффективной системы углеродного регулирования в РФ и ее потенциальной интеграции с системами других стран (прежде всего, Китая).</w:t>
      </w:r>
    </w:p>
    <w:p w14:paraId="11E3F49E" w14:textId="2301B67D" w:rsidR="00BD1BA1" w:rsidRPr="00005813" w:rsidRDefault="00BD1BA1" w:rsidP="0016455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5813">
        <w:rPr>
          <w:rFonts w:ascii="Times New Roman" w:hAnsi="Times New Roman" w:cs="Times New Roman"/>
          <w:bCs/>
          <w:sz w:val="24"/>
          <w:szCs w:val="24"/>
        </w:rPr>
        <w:t>Кроме того, следует вынести на общественное обсуждение вопрос о региональной специфике углеродного ценообразования</w:t>
      </w:r>
      <w:r w:rsidR="00D028C5" w:rsidRPr="00005813">
        <w:rPr>
          <w:rFonts w:ascii="Times New Roman" w:hAnsi="Times New Roman" w:cs="Times New Roman"/>
          <w:bCs/>
          <w:sz w:val="24"/>
          <w:szCs w:val="24"/>
        </w:rPr>
        <w:t>, что соответствует экологической и отраслевой специфике субъектов Российской Федерации</w:t>
      </w:r>
      <w:r w:rsidRPr="00005813">
        <w:rPr>
          <w:rFonts w:ascii="Times New Roman" w:hAnsi="Times New Roman" w:cs="Times New Roman"/>
          <w:bCs/>
          <w:sz w:val="24"/>
          <w:szCs w:val="24"/>
        </w:rPr>
        <w:t>. Если регулируемый сегмент углеродного рынка, как планируется, будет функционировать на базе пилотных проектов в регионах, это создает предпосылки для многообразия подходов к углеродному ценообразованию, которые потенциально могут носить налоговый, рыночный или смешанный характер.</w:t>
      </w:r>
      <w:r w:rsidR="00D028C5" w:rsidRPr="00005813">
        <w:rPr>
          <w:rFonts w:ascii="Times New Roman" w:hAnsi="Times New Roman" w:cs="Times New Roman"/>
          <w:bCs/>
          <w:sz w:val="24"/>
          <w:szCs w:val="24"/>
        </w:rPr>
        <w:t xml:space="preserve"> В дальнейшем следует предусмотреть механизмы </w:t>
      </w:r>
      <w:proofErr w:type="spellStart"/>
      <w:r w:rsidR="00D028C5" w:rsidRPr="00005813">
        <w:rPr>
          <w:rFonts w:ascii="Times New Roman" w:hAnsi="Times New Roman" w:cs="Times New Roman"/>
          <w:bCs/>
          <w:sz w:val="24"/>
          <w:szCs w:val="24"/>
        </w:rPr>
        <w:t>неттинга</w:t>
      </w:r>
      <w:proofErr w:type="spellEnd"/>
      <w:r w:rsidR="00D028C5" w:rsidRPr="00005813">
        <w:rPr>
          <w:rFonts w:ascii="Times New Roman" w:hAnsi="Times New Roman" w:cs="Times New Roman"/>
          <w:bCs/>
          <w:sz w:val="24"/>
          <w:szCs w:val="24"/>
        </w:rPr>
        <w:t xml:space="preserve"> углеродного следа на национальном уровне вне зависимости от того, каким способом и на каком сегменте рынка были выпущены углеродные единицы.</w:t>
      </w:r>
    </w:p>
    <w:p w14:paraId="2D3BE5D8" w14:textId="77777777" w:rsidR="003232AE" w:rsidRDefault="003232AE" w:rsidP="00F7453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A4363B" w14:textId="0620B472" w:rsidR="00A30E95" w:rsidRPr="00005813" w:rsidRDefault="00301F3F" w:rsidP="00F7453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5813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A30E95" w:rsidRPr="00005813">
        <w:rPr>
          <w:rFonts w:ascii="Times New Roman" w:hAnsi="Times New Roman" w:cs="Times New Roman"/>
          <w:b/>
          <w:bCs/>
          <w:sz w:val="24"/>
          <w:szCs w:val="24"/>
        </w:rPr>
        <w:t xml:space="preserve"> 10 Регулирование </w:t>
      </w:r>
      <w:r w:rsidRPr="00005813">
        <w:rPr>
          <w:rFonts w:ascii="Times New Roman" w:hAnsi="Times New Roman" w:cs="Times New Roman"/>
          <w:b/>
          <w:bCs/>
          <w:sz w:val="24"/>
          <w:szCs w:val="24"/>
        </w:rPr>
        <w:t>экосистем и платформ</w:t>
      </w:r>
    </w:p>
    <w:p w14:paraId="3DC13CD8" w14:textId="1E46A599" w:rsidR="00A30E95" w:rsidRPr="00005813" w:rsidRDefault="00D93C94" w:rsidP="0016455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13">
        <w:rPr>
          <w:rFonts w:ascii="Times New Roman" w:hAnsi="Times New Roman" w:cs="Times New Roman"/>
          <w:sz w:val="24"/>
          <w:szCs w:val="24"/>
        </w:rPr>
        <w:t>Стр. 24</w:t>
      </w:r>
      <w:r w:rsidR="00A30E95" w:rsidRPr="00005813">
        <w:rPr>
          <w:rFonts w:ascii="Times New Roman" w:hAnsi="Times New Roman" w:cs="Times New Roman"/>
          <w:sz w:val="24"/>
          <w:szCs w:val="24"/>
        </w:rPr>
        <w:t xml:space="preserve">, п.1 – </w:t>
      </w:r>
      <w:r w:rsidR="00A30E95" w:rsidRPr="00005813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AD7C77" w:rsidRPr="00005813">
        <w:rPr>
          <w:rFonts w:ascii="Times New Roman" w:hAnsi="Times New Roman" w:cs="Times New Roman"/>
          <w:sz w:val="24"/>
          <w:szCs w:val="24"/>
          <w:u w:val="single"/>
        </w:rPr>
        <w:t>нашей</w:t>
      </w:r>
      <w:r w:rsidR="00A30E95" w:rsidRPr="00005813">
        <w:rPr>
          <w:rFonts w:ascii="Times New Roman" w:hAnsi="Times New Roman" w:cs="Times New Roman"/>
          <w:sz w:val="24"/>
          <w:szCs w:val="24"/>
          <w:u w:val="single"/>
        </w:rPr>
        <w:t xml:space="preserve"> точки зрения, необходимо лишить экосистемы идеологических аспектов, оставив в рамках регулирования исключительно оценку влияния развития экосистем на финансовые результаты банков</w:t>
      </w:r>
      <w:r w:rsidR="00A30E95" w:rsidRPr="00005813">
        <w:rPr>
          <w:rFonts w:ascii="Times New Roman" w:hAnsi="Times New Roman" w:cs="Times New Roman"/>
          <w:sz w:val="24"/>
          <w:szCs w:val="24"/>
        </w:rPr>
        <w:t>. Например, внедрение экосистем, приведшее к существенному снижению банковского капитала или падению ключевых нор</w:t>
      </w:r>
      <w:r w:rsidRPr="00005813">
        <w:rPr>
          <w:rFonts w:ascii="Times New Roman" w:hAnsi="Times New Roman" w:cs="Times New Roman"/>
          <w:sz w:val="24"/>
          <w:szCs w:val="24"/>
        </w:rPr>
        <w:t>мативов достаточности капитала и ликвидности, должно приводить к регуляторным ограничениям, вводимым ЦБ РФ в отношении таких кредитных организаций. В частности, активы, связанные с развитием экосистем, должны оцениваться с повышенными коэффициентами риска, а в рамках Н</w:t>
      </w:r>
      <w:proofErr w:type="gramStart"/>
      <w:r w:rsidRPr="0000581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05813">
        <w:rPr>
          <w:rFonts w:ascii="Times New Roman" w:hAnsi="Times New Roman" w:cs="Times New Roman"/>
          <w:sz w:val="24"/>
          <w:szCs w:val="24"/>
        </w:rPr>
        <w:t xml:space="preserve"> выделить отдельный </w:t>
      </w:r>
      <w:proofErr w:type="spellStart"/>
      <w:r w:rsidRPr="00005813">
        <w:rPr>
          <w:rFonts w:ascii="Times New Roman" w:hAnsi="Times New Roman" w:cs="Times New Roman"/>
          <w:sz w:val="24"/>
          <w:szCs w:val="24"/>
        </w:rPr>
        <w:t>субпоказатель</w:t>
      </w:r>
      <w:proofErr w:type="spellEnd"/>
      <w:r w:rsidRPr="00005813">
        <w:rPr>
          <w:rFonts w:ascii="Times New Roman" w:hAnsi="Times New Roman" w:cs="Times New Roman"/>
          <w:sz w:val="24"/>
          <w:szCs w:val="24"/>
        </w:rPr>
        <w:t xml:space="preserve"> (Н1.5) – отношение капитала к активам, связанным с экосистемами (с повышенными минимальными критериями)</w:t>
      </w:r>
      <w:r w:rsidR="00AD7C77" w:rsidRPr="00005813">
        <w:rPr>
          <w:rFonts w:ascii="Times New Roman" w:hAnsi="Times New Roman" w:cs="Times New Roman"/>
          <w:sz w:val="24"/>
          <w:szCs w:val="24"/>
        </w:rPr>
        <w:t>.</w:t>
      </w:r>
    </w:p>
    <w:p w14:paraId="174BA491" w14:textId="77777777" w:rsidR="00CB5A33" w:rsidRPr="00005813" w:rsidRDefault="00CB5A33" w:rsidP="001645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253008" w14:textId="664F59ED" w:rsidR="00D93C94" w:rsidRPr="00005813" w:rsidRDefault="00AD7C77" w:rsidP="00F7453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5813">
        <w:rPr>
          <w:rFonts w:ascii="Times New Roman" w:hAnsi="Times New Roman" w:cs="Times New Roman"/>
          <w:b/>
          <w:bCs/>
          <w:sz w:val="24"/>
          <w:szCs w:val="24"/>
        </w:rPr>
        <w:t xml:space="preserve">Раздел 11 </w:t>
      </w:r>
      <w:r w:rsidR="00905B97" w:rsidRPr="00005813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005813">
        <w:rPr>
          <w:rFonts w:ascii="Times New Roman" w:hAnsi="Times New Roman" w:cs="Times New Roman"/>
          <w:b/>
          <w:bCs/>
          <w:sz w:val="24"/>
          <w:szCs w:val="24"/>
        </w:rPr>
        <w:t>еализация и развитие цифровых инфраструктурных проектов</w:t>
      </w:r>
    </w:p>
    <w:p w14:paraId="42B06285" w14:textId="0D39D64E" w:rsidR="00D93C94" w:rsidRPr="00005813" w:rsidRDefault="00D93C94" w:rsidP="0016455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13">
        <w:rPr>
          <w:rFonts w:ascii="Times New Roman" w:hAnsi="Times New Roman" w:cs="Times New Roman"/>
          <w:sz w:val="24"/>
          <w:szCs w:val="24"/>
        </w:rPr>
        <w:t>Стр. 26, п.</w:t>
      </w:r>
      <w:r w:rsidR="00905B97" w:rsidRPr="00005813">
        <w:rPr>
          <w:rFonts w:ascii="Times New Roman" w:hAnsi="Times New Roman" w:cs="Times New Roman"/>
          <w:sz w:val="24"/>
          <w:szCs w:val="24"/>
        </w:rPr>
        <w:t xml:space="preserve"> </w:t>
      </w:r>
      <w:r w:rsidRPr="00005813">
        <w:rPr>
          <w:rFonts w:ascii="Times New Roman" w:hAnsi="Times New Roman" w:cs="Times New Roman"/>
          <w:sz w:val="24"/>
          <w:szCs w:val="24"/>
        </w:rPr>
        <w:t xml:space="preserve">2.1 – </w:t>
      </w:r>
      <w:r w:rsidRPr="00005813">
        <w:rPr>
          <w:rFonts w:ascii="Times New Roman" w:hAnsi="Times New Roman" w:cs="Times New Roman"/>
          <w:sz w:val="24"/>
          <w:szCs w:val="24"/>
          <w:u w:val="single"/>
        </w:rPr>
        <w:t>еще не поздно в кратчайшие сроки провести с банками дискуссию относительно выбора модели функционирования цифрового рубля, позволив</w:t>
      </w:r>
      <w:r w:rsidRPr="00005813">
        <w:rPr>
          <w:rFonts w:ascii="Times New Roman" w:hAnsi="Times New Roman" w:cs="Times New Roman"/>
          <w:sz w:val="24"/>
          <w:szCs w:val="24"/>
        </w:rPr>
        <w:t xml:space="preserve">: а) банкам работать на платформе ЦБ РФ, б) сформулировать критерии рефинансирования банков при оттоке средств населения из безналичной формы </w:t>
      </w:r>
      <w:proofErr w:type="gramStart"/>
      <w:r w:rsidRPr="0000581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05813">
        <w:rPr>
          <w:rFonts w:ascii="Times New Roman" w:hAnsi="Times New Roman" w:cs="Times New Roman"/>
          <w:sz w:val="24"/>
          <w:szCs w:val="24"/>
        </w:rPr>
        <w:t xml:space="preserve"> цифровую</w:t>
      </w:r>
      <w:r w:rsidR="00AD7C77" w:rsidRPr="00005813">
        <w:rPr>
          <w:rFonts w:ascii="Times New Roman" w:hAnsi="Times New Roman" w:cs="Times New Roman"/>
          <w:sz w:val="24"/>
          <w:szCs w:val="24"/>
        </w:rPr>
        <w:t>.</w:t>
      </w:r>
    </w:p>
    <w:p w14:paraId="03C06A54" w14:textId="77777777" w:rsidR="00D93C94" w:rsidRPr="00005813" w:rsidRDefault="00D93C94" w:rsidP="0016455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13">
        <w:rPr>
          <w:rFonts w:ascii="Times New Roman" w:hAnsi="Times New Roman" w:cs="Times New Roman"/>
          <w:sz w:val="24"/>
          <w:szCs w:val="24"/>
        </w:rPr>
        <w:t xml:space="preserve">Применительно ко всему разделу: </w:t>
      </w:r>
    </w:p>
    <w:p w14:paraId="07BBBC1C" w14:textId="54E6CC46" w:rsidR="00D93C94" w:rsidRPr="00005813" w:rsidRDefault="00AD7C77" w:rsidP="00F7453C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13">
        <w:rPr>
          <w:rFonts w:ascii="Times New Roman" w:hAnsi="Times New Roman" w:cs="Times New Roman"/>
          <w:sz w:val="24"/>
          <w:szCs w:val="24"/>
        </w:rPr>
        <w:t>К</w:t>
      </w:r>
      <w:r w:rsidR="00D93C94" w:rsidRPr="00005813">
        <w:rPr>
          <w:rFonts w:ascii="Times New Roman" w:hAnsi="Times New Roman" w:cs="Times New Roman"/>
          <w:sz w:val="24"/>
          <w:szCs w:val="24"/>
        </w:rPr>
        <w:t xml:space="preserve">омплексное регулирование оборота данных на финансовых рынках должно включать, в том числе, </w:t>
      </w:r>
      <w:r w:rsidR="00D93C94" w:rsidRPr="00005813">
        <w:rPr>
          <w:rFonts w:ascii="Times New Roman" w:hAnsi="Times New Roman" w:cs="Times New Roman"/>
          <w:sz w:val="24"/>
          <w:szCs w:val="24"/>
          <w:u w:val="single"/>
        </w:rPr>
        <w:t xml:space="preserve">концепцию непрерывного банковского </w:t>
      </w:r>
      <w:r w:rsidR="00F7453C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D93C94" w:rsidRPr="00005813">
        <w:rPr>
          <w:rFonts w:ascii="Times New Roman" w:hAnsi="Times New Roman" w:cs="Times New Roman"/>
          <w:sz w:val="24"/>
          <w:szCs w:val="24"/>
          <w:u w:val="single"/>
        </w:rPr>
        <w:t xml:space="preserve">бслуживания/переносимых банковских счетов, </w:t>
      </w:r>
      <w:r w:rsidR="00D93C94" w:rsidRPr="00005813">
        <w:rPr>
          <w:rFonts w:ascii="Times New Roman" w:hAnsi="Times New Roman" w:cs="Times New Roman"/>
          <w:sz w:val="24"/>
          <w:szCs w:val="24"/>
        </w:rPr>
        <w:t>обеспечивающих зачисление денежных средств получателю даже при изменении его банковских реквизитов при его переходе на обслуживание в другой банк</w:t>
      </w:r>
      <w:r w:rsidRPr="00005813">
        <w:rPr>
          <w:rFonts w:ascii="Times New Roman" w:hAnsi="Times New Roman" w:cs="Times New Roman"/>
          <w:sz w:val="24"/>
          <w:szCs w:val="24"/>
        </w:rPr>
        <w:t>.</w:t>
      </w:r>
    </w:p>
    <w:p w14:paraId="482C3C5D" w14:textId="3537821B" w:rsidR="00D93C94" w:rsidRPr="00005813" w:rsidRDefault="00AD7C77" w:rsidP="00F7453C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5813">
        <w:rPr>
          <w:rFonts w:ascii="Times New Roman" w:hAnsi="Times New Roman" w:cs="Times New Roman"/>
          <w:sz w:val="24"/>
          <w:szCs w:val="24"/>
        </w:rPr>
        <w:t>В</w:t>
      </w:r>
      <w:r w:rsidR="00D93C94" w:rsidRPr="00005813">
        <w:rPr>
          <w:rFonts w:ascii="Times New Roman" w:hAnsi="Times New Roman" w:cs="Times New Roman"/>
          <w:sz w:val="24"/>
          <w:szCs w:val="24"/>
        </w:rPr>
        <w:t xml:space="preserve"> рамках создания цифрового профиля юридического лица необходима </w:t>
      </w:r>
      <w:r w:rsidR="00D93C94" w:rsidRPr="00005813">
        <w:rPr>
          <w:rFonts w:ascii="Times New Roman" w:hAnsi="Times New Roman" w:cs="Times New Roman"/>
          <w:sz w:val="24"/>
          <w:szCs w:val="24"/>
          <w:u w:val="single"/>
        </w:rPr>
        <w:t>проработка механизма оперативного обновления данных ЕГРЮЛ (или иных баз данных), исключающих получение банками и иными финансовыми учреждениями устаревших данных о лицах, имеющих право действовать без доверенности от юридического лица.</w:t>
      </w:r>
    </w:p>
    <w:p w14:paraId="64148C7B" w14:textId="695C4BD0" w:rsidR="00D93C94" w:rsidRPr="00005813" w:rsidRDefault="00AD7C77" w:rsidP="00F7453C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5813">
        <w:rPr>
          <w:rFonts w:ascii="Times New Roman" w:hAnsi="Times New Roman" w:cs="Times New Roman"/>
          <w:sz w:val="24"/>
          <w:szCs w:val="24"/>
          <w:u w:val="single"/>
        </w:rPr>
        <w:lastRenderedPageBreak/>
        <w:t>Следует провести с</w:t>
      </w:r>
      <w:r w:rsidR="00D93C94" w:rsidRPr="00005813">
        <w:rPr>
          <w:rFonts w:ascii="Times New Roman" w:hAnsi="Times New Roman" w:cs="Times New Roman"/>
          <w:sz w:val="24"/>
          <w:szCs w:val="24"/>
          <w:u w:val="single"/>
        </w:rPr>
        <w:t xml:space="preserve">огласование с Минфином единой концепции </w:t>
      </w:r>
      <w:proofErr w:type="spellStart"/>
      <w:r w:rsidR="00D93C94" w:rsidRPr="00005813">
        <w:rPr>
          <w:rFonts w:ascii="Times New Roman" w:hAnsi="Times New Roman" w:cs="Times New Roman"/>
          <w:sz w:val="24"/>
          <w:szCs w:val="24"/>
          <w:u w:val="single"/>
        </w:rPr>
        <w:t>криптовалюты</w:t>
      </w:r>
      <w:proofErr w:type="spellEnd"/>
      <w:r w:rsidR="00D93C94" w:rsidRPr="00005813">
        <w:rPr>
          <w:rFonts w:ascii="Times New Roman" w:hAnsi="Times New Roman" w:cs="Times New Roman"/>
          <w:sz w:val="24"/>
          <w:szCs w:val="24"/>
          <w:u w:val="single"/>
        </w:rPr>
        <w:t>, исключающей ее полный запрет на территории РФ</w:t>
      </w:r>
      <w:r w:rsidRPr="0000581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35E3C94" w14:textId="27E5EF33" w:rsidR="00D93C94" w:rsidRPr="00005813" w:rsidRDefault="00AD7C77" w:rsidP="00F7453C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5813">
        <w:rPr>
          <w:rFonts w:ascii="Times New Roman" w:hAnsi="Times New Roman" w:cs="Times New Roman"/>
          <w:sz w:val="24"/>
          <w:szCs w:val="24"/>
          <w:u w:val="single"/>
        </w:rPr>
        <w:t>Целесообразно с</w:t>
      </w:r>
      <w:r w:rsidR="00D93C94" w:rsidRPr="00005813">
        <w:rPr>
          <w:rFonts w:ascii="Times New Roman" w:hAnsi="Times New Roman" w:cs="Times New Roman"/>
          <w:sz w:val="24"/>
          <w:szCs w:val="24"/>
          <w:u w:val="single"/>
        </w:rPr>
        <w:t>оздание «Дорожной карты» внедрения биометрии дл</w:t>
      </w:r>
      <w:r w:rsidR="00DF22B0" w:rsidRPr="00005813">
        <w:rPr>
          <w:rFonts w:ascii="Times New Roman" w:hAnsi="Times New Roman" w:cs="Times New Roman"/>
          <w:sz w:val="24"/>
          <w:szCs w:val="24"/>
          <w:u w:val="single"/>
        </w:rPr>
        <w:t>я идентификации юридических лиц</w:t>
      </w:r>
      <w:r w:rsidRPr="0000581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B61F93B" w14:textId="11ED796E" w:rsidR="00AD7C77" w:rsidRPr="00005813" w:rsidRDefault="00AD7C77" w:rsidP="00F7453C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13">
        <w:rPr>
          <w:rFonts w:ascii="Times New Roman" w:hAnsi="Times New Roman" w:cs="Times New Roman"/>
          <w:sz w:val="24"/>
          <w:szCs w:val="24"/>
        </w:rPr>
        <w:t>Д</w:t>
      </w:r>
      <w:r w:rsidR="00DF22B0" w:rsidRPr="00005813">
        <w:rPr>
          <w:rFonts w:ascii="Times New Roman" w:hAnsi="Times New Roman" w:cs="Times New Roman"/>
          <w:sz w:val="24"/>
          <w:szCs w:val="24"/>
        </w:rPr>
        <w:t xml:space="preserve">ля развития конкуренции и содействия </w:t>
      </w:r>
      <w:proofErr w:type="spellStart"/>
      <w:r w:rsidR="00DF22B0" w:rsidRPr="00005813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="00DF22B0" w:rsidRPr="007354D6">
        <w:rPr>
          <w:rFonts w:ascii="Times New Roman" w:hAnsi="Times New Roman" w:cs="Times New Roman"/>
          <w:sz w:val="24"/>
          <w:szCs w:val="24"/>
        </w:rPr>
        <w:t xml:space="preserve"> </w:t>
      </w:r>
      <w:r w:rsidR="00DF22B0" w:rsidRPr="00005813">
        <w:rPr>
          <w:rFonts w:ascii="Times New Roman" w:hAnsi="Times New Roman" w:cs="Times New Roman"/>
          <w:sz w:val="24"/>
          <w:szCs w:val="24"/>
          <w:u w:val="single"/>
        </w:rPr>
        <w:t>предлагается переход к функциональному регулированию финансовых рынков</w:t>
      </w:r>
      <w:r w:rsidR="00DF22B0" w:rsidRPr="00005813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="00DF22B0" w:rsidRPr="00005813">
        <w:rPr>
          <w:rFonts w:ascii="Times New Roman" w:hAnsi="Times New Roman" w:cs="Times New Roman"/>
          <w:sz w:val="24"/>
          <w:szCs w:val="24"/>
        </w:rPr>
        <w:t xml:space="preserve"> Так, например, в рамках такой формы регулирования </w:t>
      </w:r>
      <w:proofErr w:type="spellStart"/>
      <w:r w:rsidR="00DF22B0" w:rsidRPr="00005813">
        <w:rPr>
          <w:rFonts w:ascii="Times New Roman" w:hAnsi="Times New Roman" w:cs="Times New Roman"/>
          <w:sz w:val="24"/>
          <w:szCs w:val="24"/>
        </w:rPr>
        <w:t>финтехкомпании</w:t>
      </w:r>
      <w:proofErr w:type="spellEnd"/>
      <w:r w:rsidR="00DF22B0" w:rsidRPr="00005813">
        <w:rPr>
          <w:rFonts w:ascii="Times New Roman" w:hAnsi="Times New Roman" w:cs="Times New Roman"/>
          <w:sz w:val="24"/>
          <w:szCs w:val="24"/>
        </w:rPr>
        <w:t xml:space="preserve"> получат возможность лицензировать ряд видов финансовой деятельности (например, платежи), не прибегая к процедуре получения банковской лицензии</w:t>
      </w:r>
      <w:r w:rsidRPr="00005813">
        <w:rPr>
          <w:rFonts w:ascii="Times New Roman" w:hAnsi="Times New Roman" w:cs="Times New Roman"/>
          <w:sz w:val="24"/>
          <w:szCs w:val="24"/>
        </w:rPr>
        <w:t>.</w:t>
      </w:r>
    </w:p>
    <w:p w14:paraId="7450178A" w14:textId="0066E253" w:rsidR="00DF22B0" w:rsidRPr="00005813" w:rsidRDefault="00AD7C77" w:rsidP="00F7453C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13">
        <w:rPr>
          <w:rFonts w:ascii="Times New Roman" w:hAnsi="Times New Roman" w:cs="Times New Roman"/>
          <w:sz w:val="24"/>
          <w:szCs w:val="24"/>
        </w:rPr>
        <w:t>Д</w:t>
      </w:r>
      <w:r w:rsidR="00DF22B0" w:rsidRPr="00005813">
        <w:rPr>
          <w:rFonts w:ascii="Times New Roman" w:hAnsi="Times New Roman" w:cs="Times New Roman"/>
          <w:sz w:val="24"/>
          <w:szCs w:val="24"/>
        </w:rPr>
        <w:t xml:space="preserve">авно назревшей задачей видится </w:t>
      </w:r>
      <w:r w:rsidR="00DF22B0" w:rsidRPr="00005813">
        <w:rPr>
          <w:rFonts w:ascii="Times New Roman" w:hAnsi="Times New Roman" w:cs="Times New Roman"/>
          <w:sz w:val="24"/>
          <w:szCs w:val="24"/>
          <w:u w:val="single"/>
        </w:rPr>
        <w:t>измеримость достижения стратегических и тактических целей регулирования.</w:t>
      </w:r>
      <w:r w:rsidR="00DF22B0" w:rsidRPr="00005813">
        <w:rPr>
          <w:rFonts w:ascii="Times New Roman" w:hAnsi="Times New Roman" w:cs="Times New Roman"/>
          <w:sz w:val="24"/>
          <w:szCs w:val="24"/>
        </w:rPr>
        <w:t xml:space="preserve"> Если проще – создание системы оценки затрат рынка на соблюдение вводимых требований/внедрение технического решения. Так, одной из причин постоянного переноса сроков соблюдения банками требований по внедрению систем сбора биометрических данных явилось отсутствие четкого понимания необходимых для этого ресурсов – технических и финансовых. Более того, на текущий момент срыв сроков сбора биометрических данных и их внедрения в практику банковского обслуживания повлекло за собой идею о безусловной передач</w:t>
      </w:r>
      <w:r w:rsidR="00F7453C">
        <w:rPr>
          <w:rFonts w:ascii="Times New Roman" w:hAnsi="Times New Roman" w:cs="Times New Roman"/>
          <w:sz w:val="24"/>
          <w:szCs w:val="24"/>
        </w:rPr>
        <w:t>е</w:t>
      </w:r>
      <w:r w:rsidR="00DF22B0" w:rsidRPr="00005813">
        <w:rPr>
          <w:rFonts w:ascii="Times New Roman" w:hAnsi="Times New Roman" w:cs="Times New Roman"/>
          <w:sz w:val="24"/>
          <w:szCs w:val="24"/>
        </w:rPr>
        <w:t xml:space="preserve"> биометрических данных без согласия клиента в ЕБС. При этом уже на данном этапе все участники признают несовместимость технологических платформ банков и ЕБС, а значит – невозможность «гладко</w:t>
      </w:r>
      <w:r w:rsidR="00EE3AC1" w:rsidRPr="00005813">
        <w:rPr>
          <w:rFonts w:ascii="Times New Roman" w:hAnsi="Times New Roman" w:cs="Times New Roman"/>
          <w:sz w:val="24"/>
          <w:szCs w:val="24"/>
        </w:rPr>
        <w:t>й</w:t>
      </w:r>
      <w:r w:rsidR="00DF22B0" w:rsidRPr="00005813">
        <w:rPr>
          <w:rFonts w:ascii="Times New Roman" w:hAnsi="Times New Roman" w:cs="Times New Roman"/>
          <w:sz w:val="24"/>
          <w:szCs w:val="24"/>
        </w:rPr>
        <w:t xml:space="preserve">» передачи данных. </w:t>
      </w:r>
      <w:r w:rsidR="001C0A47" w:rsidRPr="00005813">
        <w:rPr>
          <w:rFonts w:ascii="Times New Roman" w:hAnsi="Times New Roman" w:cs="Times New Roman"/>
          <w:sz w:val="24"/>
          <w:szCs w:val="24"/>
        </w:rPr>
        <w:t>Представляется нецелесообразным</w:t>
      </w:r>
      <w:r w:rsidR="00DF22B0" w:rsidRPr="00005813">
        <w:rPr>
          <w:rFonts w:ascii="Times New Roman" w:hAnsi="Times New Roman" w:cs="Times New Roman"/>
          <w:sz w:val="24"/>
          <w:szCs w:val="24"/>
        </w:rPr>
        <w:t xml:space="preserve"> начинать столь значимый процесс без соответствующей технической синхронизации</w:t>
      </w:r>
      <w:r w:rsidR="001C0A47" w:rsidRPr="00005813">
        <w:rPr>
          <w:rFonts w:ascii="Times New Roman" w:hAnsi="Times New Roman" w:cs="Times New Roman"/>
          <w:sz w:val="24"/>
          <w:szCs w:val="24"/>
        </w:rPr>
        <w:t>.</w:t>
      </w:r>
    </w:p>
    <w:p w14:paraId="6DED66D5" w14:textId="77777777" w:rsidR="003232AE" w:rsidRDefault="003232AE" w:rsidP="0016455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BDBDFB" w14:textId="2552A943" w:rsidR="00CF2C91" w:rsidRPr="00005813" w:rsidRDefault="001D403E" w:rsidP="0016455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5813">
        <w:rPr>
          <w:rFonts w:ascii="Times New Roman" w:hAnsi="Times New Roman" w:cs="Times New Roman"/>
          <w:b/>
          <w:bCs/>
          <w:sz w:val="24"/>
          <w:szCs w:val="24"/>
        </w:rPr>
        <w:t>Раздел 12</w:t>
      </w:r>
      <w:r w:rsidR="00CF2C91" w:rsidRPr="000058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3AC8" w:rsidRPr="00005813">
        <w:rPr>
          <w:rFonts w:ascii="Times New Roman" w:hAnsi="Times New Roman" w:cs="Times New Roman"/>
          <w:b/>
          <w:bCs/>
          <w:sz w:val="24"/>
          <w:szCs w:val="24"/>
        </w:rPr>
        <w:t>Выстраивание</w:t>
      </w:r>
      <w:r w:rsidR="00CF2C91" w:rsidRPr="00005813">
        <w:rPr>
          <w:rFonts w:ascii="Times New Roman" w:hAnsi="Times New Roman" w:cs="Times New Roman"/>
          <w:b/>
          <w:bCs/>
          <w:sz w:val="24"/>
          <w:szCs w:val="24"/>
        </w:rPr>
        <w:t xml:space="preserve"> системы внешнеторговых и финансовых расчетов</w:t>
      </w:r>
    </w:p>
    <w:p w14:paraId="4DA3E2AD" w14:textId="77777777" w:rsidR="006B56AC" w:rsidRPr="00005813" w:rsidRDefault="00A53AC8" w:rsidP="0016455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813">
        <w:rPr>
          <w:rFonts w:ascii="Times New Roman" w:hAnsi="Times New Roman" w:cs="Times New Roman"/>
          <w:color w:val="000000" w:themeColor="text1"/>
          <w:sz w:val="24"/>
          <w:szCs w:val="24"/>
        </w:rPr>
        <w:t>В контексте</w:t>
      </w:r>
      <w:r w:rsidR="00310A2B" w:rsidRPr="0000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антикризисных задач, рассматриваемых в данном разделе, было бы уместно, по нашему мнению, обсудить мероприятия по реабилитации международного статуса российских финансовых центров. В условиях повышенного </w:t>
      </w:r>
      <w:proofErr w:type="spellStart"/>
      <w:r w:rsidR="00310A2B" w:rsidRPr="00005813">
        <w:rPr>
          <w:rFonts w:ascii="Times New Roman" w:hAnsi="Times New Roman" w:cs="Times New Roman"/>
          <w:color w:val="000000" w:themeColor="text1"/>
          <w:sz w:val="24"/>
          <w:szCs w:val="24"/>
        </w:rPr>
        <w:t>странового</w:t>
      </w:r>
      <w:proofErr w:type="spellEnd"/>
      <w:r w:rsidR="00310A2B" w:rsidRPr="0000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риска этот статус, очевидно, не может быть глобальным. Однако Москва, Санкт-Петербург и потенциально другие мегаполисы России (например, Казань) могут претендовать на статус региональных финансовых центров с индивидуальной специализацией.</w:t>
      </w:r>
    </w:p>
    <w:p w14:paraId="55F5B50B" w14:textId="77777777" w:rsidR="006B56AC" w:rsidRPr="00005813" w:rsidRDefault="00310A2B" w:rsidP="0016455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813">
        <w:rPr>
          <w:rFonts w:ascii="Times New Roman" w:hAnsi="Times New Roman" w:cs="Times New Roman"/>
          <w:color w:val="000000" w:themeColor="text1"/>
          <w:sz w:val="24"/>
          <w:szCs w:val="24"/>
        </w:rPr>
        <w:t>В этой связи было бы уместно инициировать проекты национального и евразийского рейтинга финансовых центров, которые</w:t>
      </w:r>
      <w:r w:rsidR="004300B6" w:rsidRPr="0000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позволят выявить </w:t>
      </w:r>
      <w:r w:rsidR="00E029AB" w:rsidRPr="0000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ключевые </w:t>
      </w:r>
      <w:r w:rsidR="004300B6" w:rsidRPr="00005813">
        <w:rPr>
          <w:rFonts w:ascii="Times New Roman" w:hAnsi="Times New Roman" w:cs="Times New Roman"/>
          <w:color w:val="000000" w:themeColor="text1"/>
          <w:sz w:val="24"/>
          <w:szCs w:val="24"/>
        </w:rPr>
        <w:t>проблемы</w:t>
      </w:r>
      <w:r w:rsidR="00E029AB" w:rsidRPr="0000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преимущества </w:t>
      </w:r>
      <w:r w:rsidR="004300B6" w:rsidRPr="00005813">
        <w:rPr>
          <w:rFonts w:ascii="Times New Roman" w:hAnsi="Times New Roman" w:cs="Times New Roman"/>
          <w:color w:val="000000" w:themeColor="text1"/>
          <w:sz w:val="24"/>
          <w:szCs w:val="24"/>
        </w:rPr>
        <w:t>и перспективы их развития</w:t>
      </w:r>
      <w:r w:rsidR="000D4FEA" w:rsidRPr="0000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Российской Федерации (признание, доступность, институциональные условия и пр.).</w:t>
      </w:r>
    </w:p>
    <w:p w14:paraId="6B8E5D8B" w14:textId="4A55BB0D" w:rsidR="000D4FEA" w:rsidRPr="00005813" w:rsidRDefault="000D4FEA" w:rsidP="0016455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813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российских финансовых центров, повышение их значимости для дружественных стран будут способствовать совершенствованию системы внешнеторговых и финансовых расчетов в разрезе предусмотренных направлений деятельности (стр. 24, 25).</w:t>
      </w:r>
    </w:p>
    <w:p w14:paraId="088BD331" w14:textId="4E2F403C" w:rsidR="005D6490" w:rsidRPr="00005813" w:rsidRDefault="005D6490" w:rsidP="00164554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993A97" w14:textId="31FDEAAC" w:rsidR="00D93C94" w:rsidRPr="00005813" w:rsidRDefault="00301F3F" w:rsidP="00F7453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5813">
        <w:rPr>
          <w:rFonts w:ascii="Times New Roman" w:hAnsi="Times New Roman" w:cs="Times New Roman"/>
          <w:b/>
          <w:bCs/>
          <w:sz w:val="24"/>
          <w:szCs w:val="24"/>
        </w:rPr>
        <w:t xml:space="preserve">Раздел 14 Оптимизация и облегчения системы </w:t>
      </w:r>
      <w:r w:rsidR="00905B97" w:rsidRPr="00005813">
        <w:rPr>
          <w:rFonts w:ascii="Times New Roman" w:hAnsi="Times New Roman" w:cs="Times New Roman"/>
          <w:b/>
          <w:bCs/>
          <w:sz w:val="24"/>
          <w:szCs w:val="24"/>
        </w:rPr>
        <w:t>ПОД/ФТ</w:t>
      </w:r>
    </w:p>
    <w:p w14:paraId="62695BB1" w14:textId="1319EFA8" w:rsidR="00965E43" w:rsidRPr="00005813" w:rsidRDefault="00D93C94" w:rsidP="0016455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813">
        <w:rPr>
          <w:rFonts w:ascii="Times New Roman" w:hAnsi="Times New Roman" w:cs="Times New Roman"/>
          <w:sz w:val="24"/>
          <w:szCs w:val="24"/>
        </w:rPr>
        <w:t>Применительно ко всему разделу</w:t>
      </w:r>
      <w:r w:rsidR="00F7453C">
        <w:rPr>
          <w:rFonts w:ascii="Times New Roman" w:hAnsi="Times New Roman" w:cs="Times New Roman"/>
          <w:sz w:val="24"/>
          <w:szCs w:val="24"/>
        </w:rPr>
        <w:t>:</w:t>
      </w:r>
      <w:r w:rsidRPr="00005813">
        <w:rPr>
          <w:rFonts w:ascii="Times New Roman" w:hAnsi="Times New Roman" w:cs="Times New Roman"/>
          <w:sz w:val="24"/>
          <w:szCs w:val="24"/>
        </w:rPr>
        <w:t xml:space="preserve"> разработка механизма поэтапной реабилитации </w:t>
      </w:r>
      <w:proofErr w:type="gramStart"/>
      <w:r w:rsidRPr="00005813">
        <w:rPr>
          <w:rFonts w:ascii="Times New Roman" w:hAnsi="Times New Roman" w:cs="Times New Roman"/>
          <w:sz w:val="24"/>
          <w:szCs w:val="24"/>
        </w:rPr>
        <w:t>клиентов-юридических</w:t>
      </w:r>
      <w:proofErr w:type="gramEnd"/>
      <w:r w:rsidRPr="00005813">
        <w:rPr>
          <w:rFonts w:ascii="Times New Roman" w:hAnsi="Times New Roman" w:cs="Times New Roman"/>
          <w:sz w:val="24"/>
          <w:szCs w:val="24"/>
        </w:rPr>
        <w:t xml:space="preserve"> лиц, попавших в так называемые «черные списки» ЦБ РФ и </w:t>
      </w:r>
      <w:proofErr w:type="spellStart"/>
      <w:r w:rsidRPr="00005813">
        <w:rPr>
          <w:rFonts w:ascii="Times New Roman" w:hAnsi="Times New Roman" w:cs="Times New Roman"/>
          <w:sz w:val="24"/>
          <w:szCs w:val="24"/>
        </w:rPr>
        <w:t>Росфинмониторинга</w:t>
      </w:r>
      <w:proofErr w:type="spellEnd"/>
      <w:r w:rsidRPr="00005813">
        <w:rPr>
          <w:rFonts w:ascii="Times New Roman" w:hAnsi="Times New Roman" w:cs="Times New Roman"/>
          <w:sz w:val="24"/>
          <w:szCs w:val="24"/>
        </w:rPr>
        <w:t xml:space="preserve"> согласно 550-П</w:t>
      </w:r>
      <w:r w:rsidR="00301F3F" w:rsidRPr="00005813">
        <w:rPr>
          <w:rFonts w:ascii="Times New Roman" w:hAnsi="Times New Roman" w:cs="Times New Roman"/>
          <w:b/>
          <w:sz w:val="24"/>
          <w:szCs w:val="24"/>
        </w:rPr>
        <w:t>.</w:t>
      </w:r>
    </w:p>
    <w:p w14:paraId="664ED164" w14:textId="033DAFA8" w:rsidR="00301F3F" w:rsidRPr="00005813" w:rsidRDefault="00301F3F" w:rsidP="0016455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5813">
        <w:rPr>
          <w:rFonts w:ascii="Times New Roman" w:hAnsi="Times New Roman" w:cs="Times New Roman"/>
          <w:bCs/>
          <w:sz w:val="24"/>
          <w:szCs w:val="24"/>
        </w:rPr>
        <w:t>Антикризисные меры в этом направлении, на наш взгляд, должны сопровождаться дальнейшей работой по увеличению доли безналичных расчетов в общей структуре платежей. В рамках Документа были бы уместны комментарии по этому вопросу.</w:t>
      </w:r>
    </w:p>
    <w:p w14:paraId="7EEF6EE9" w14:textId="0697C4A4" w:rsidR="00965E43" w:rsidRPr="00005813" w:rsidRDefault="00965E43" w:rsidP="0016455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5FCC82" w14:textId="77777777" w:rsidR="000F789D" w:rsidRPr="00005813" w:rsidRDefault="000F789D" w:rsidP="0016455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5813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Общий вывод</w:t>
      </w:r>
    </w:p>
    <w:p w14:paraId="765F219B" w14:textId="383A7486" w:rsidR="00671BF4" w:rsidRDefault="000F789D" w:rsidP="001645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13">
        <w:rPr>
          <w:rFonts w:ascii="Times New Roman" w:hAnsi="Times New Roman" w:cs="Times New Roman"/>
          <w:sz w:val="24"/>
          <w:szCs w:val="24"/>
        </w:rPr>
        <w:t xml:space="preserve">Представленный на экспертизу документ «Финансовый рынок: новые задачи в современных условиях» </w:t>
      </w:r>
      <w:r w:rsidR="00EE3AC1" w:rsidRPr="00005813">
        <w:rPr>
          <w:rFonts w:ascii="Times New Roman" w:hAnsi="Times New Roman" w:cs="Times New Roman"/>
          <w:sz w:val="24"/>
          <w:szCs w:val="24"/>
        </w:rPr>
        <w:t xml:space="preserve">является конструктивным ответом на текущие вызовы, ставит закономерные акценты и в целом соответствует той стратегии, которая предусмотрена программными документами по развитию финансовой системы и российской экономики. Однако Документ </w:t>
      </w:r>
      <w:r w:rsidRPr="00005813">
        <w:rPr>
          <w:rFonts w:ascii="Times New Roman" w:hAnsi="Times New Roman" w:cs="Times New Roman"/>
          <w:sz w:val="24"/>
          <w:szCs w:val="24"/>
        </w:rPr>
        <w:t xml:space="preserve">требует некоторой доработки с учетом </w:t>
      </w:r>
      <w:r w:rsidR="00EE3AC1" w:rsidRPr="00005813">
        <w:rPr>
          <w:rFonts w:ascii="Times New Roman" w:hAnsi="Times New Roman" w:cs="Times New Roman"/>
          <w:sz w:val="24"/>
          <w:szCs w:val="24"/>
        </w:rPr>
        <w:t xml:space="preserve">результатов общественного обсуждения, включая </w:t>
      </w:r>
      <w:r w:rsidRPr="00005813">
        <w:rPr>
          <w:rFonts w:ascii="Times New Roman" w:hAnsi="Times New Roman" w:cs="Times New Roman"/>
          <w:sz w:val="24"/>
          <w:szCs w:val="24"/>
        </w:rPr>
        <w:t>замечани</w:t>
      </w:r>
      <w:r w:rsidR="00EE3AC1" w:rsidRPr="00005813">
        <w:rPr>
          <w:rFonts w:ascii="Times New Roman" w:hAnsi="Times New Roman" w:cs="Times New Roman"/>
          <w:sz w:val="24"/>
          <w:szCs w:val="24"/>
        </w:rPr>
        <w:t>я</w:t>
      </w:r>
      <w:r w:rsidRPr="00005813">
        <w:rPr>
          <w:rFonts w:ascii="Times New Roman" w:hAnsi="Times New Roman" w:cs="Times New Roman"/>
          <w:sz w:val="24"/>
          <w:szCs w:val="24"/>
        </w:rPr>
        <w:t xml:space="preserve"> и предложени</w:t>
      </w:r>
      <w:r w:rsidR="00EE3AC1" w:rsidRPr="00005813">
        <w:rPr>
          <w:rFonts w:ascii="Times New Roman" w:hAnsi="Times New Roman" w:cs="Times New Roman"/>
          <w:sz w:val="24"/>
          <w:szCs w:val="24"/>
        </w:rPr>
        <w:t>я</w:t>
      </w:r>
      <w:r w:rsidRPr="00005813">
        <w:rPr>
          <w:rFonts w:ascii="Times New Roman" w:hAnsi="Times New Roman" w:cs="Times New Roman"/>
          <w:sz w:val="24"/>
          <w:szCs w:val="24"/>
        </w:rPr>
        <w:t>, изложенны</w:t>
      </w:r>
      <w:r w:rsidR="00EE3AC1" w:rsidRPr="00005813">
        <w:rPr>
          <w:rFonts w:ascii="Times New Roman" w:hAnsi="Times New Roman" w:cs="Times New Roman"/>
          <w:sz w:val="24"/>
          <w:szCs w:val="24"/>
        </w:rPr>
        <w:t>е</w:t>
      </w:r>
      <w:r w:rsidRPr="00005813">
        <w:rPr>
          <w:rFonts w:ascii="Times New Roman" w:hAnsi="Times New Roman" w:cs="Times New Roman"/>
          <w:sz w:val="24"/>
          <w:szCs w:val="24"/>
        </w:rPr>
        <w:t xml:space="preserve"> в данном заключении.</w:t>
      </w:r>
    </w:p>
    <w:p w14:paraId="2ACADD14" w14:textId="4C4C276E" w:rsidR="007354D6" w:rsidRPr="00005813" w:rsidRDefault="007354D6" w:rsidP="007354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подготовлено экспертами</w:t>
      </w:r>
      <w:r w:rsidRPr="007354D6">
        <w:rPr>
          <w:rFonts w:ascii="Times New Roman" w:hAnsi="Times New Roman" w:cs="Times New Roman"/>
          <w:sz w:val="24"/>
          <w:szCs w:val="24"/>
        </w:rPr>
        <w:t xml:space="preserve"> СПбГУ: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54D6">
        <w:rPr>
          <w:rFonts w:ascii="Times New Roman" w:hAnsi="Times New Roman" w:cs="Times New Roman"/>
          <w:sz w:val="24"/>
          <w:szCs w:val="24"/>
        </w:rPr>
        <w:t>Казански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354D6">
        <w:rPr>
          <w:rFonts w:ascii="Times New Roman" w:hAnsi="Times New Roman" w:cs="Times New Roman"/>
          <w:sz w:val="24"/>
          <w:szCs w:val="24"/>
        </w:rPr>
        <w:t xml:space="preserve"> А.В., к.э.н., доцент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354D6">
        <w:rPr>
          <w:rFonts w:ascii="Times New Roman" w:hAnsi="Times New Roman" w:cs="Times New Roman"/>
          <w:sz w:val="24"/>
          <w:szCs w:val="24"/>
        </w:rPr>
        <w:t xml:space="preserve"> кафедры теории кредита и финансового менеджмента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4D6">
        <w:rPr>
          <w:rFonts w:ascii="Times New Roman" w:hAnsi="Times New Roman" w:cs="Times New Roman"/>
          <w:sz w:val="24"/>
          <w:szCs w:val="24"/>
        </w:rPr>
        <w:t>СПбГУ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354D6">
        <w:rPr>
          <w:rFonts w:ascii="Times New Roman" w:hAnsi="Times New Roman" w:cs="Times New Roman"/>
          <w:sz w:val="24"/>
          <w:szCs w:val="24"/>
        </w:rPr>
        <w:t>Иванов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7354D6">
        <w:rPr>
          <w:rFonts w:ascii="Times New Roman" w:hAnsi="Times New Roman" w:cs="Times New Roman"/>
          <w:sz w:val="24"/>
          <w:szCs w:val="24"/>
        </w:rPr>
        <w:t xml:space="preserve"> В.В., д.э.н., профессор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354D6">
        <w:rPr>
          <w:rFonts w:ascii="Times New Roman" w:hAnsi="Times New Roman" w:cs="Times New Roman"/>
          <w:sz w:val="24"/>
          <w:szCs w:val="24"/>
        </w:rPr>
        <w:t xml:space="preserve"> кафедры теории кредита и финансового менеджмента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4D6">
        <w:rPr>
          <w:rFonts w:ascii="Times New Roman" w:hAnsi="Times New Roman" w:cs="Times New Roman"/>
          <w:sz w:val="24"/>
          <w:szCs w:val="24"/>
        </w:rPr>
        <w:t>СПбГУ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354D6">
        <w:rPr>
          <w:rFonts w:ascii="Times New Roman" w:hAnsi="Times New Roman" w:cs="Times New Roman"/>
          <w:sz w:val="24"/>
          <w:szCs w:val="24"/>
        </w:rPr>
        <w:t>Львов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354D6">
        <w:rPr>
          <w:rFonts w:ascii="Times New Roman" w:hAnsi="Times New Roman" w:cs="Times New Roman"/>
          <w:sz w:val="24"/>
          <w:szCs w:val="24"/>
        </w:rPr>
        <w:t xml:space="preserve"> Н.А., д.э.н., профессор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354D6">
        <w:rPr>
          <w:rFonts w:ascii="Times New Roman" w:hAnsi="Times New Roman" w:cs="Times New Roman"/>
          <w:sz w:val="24"/>
          <w:szCs w:val="24"/>
        </w:rPr>
        <w:t xml:space="preserve"> кафедры теории кр</w:t>
      </w:r>
      <w:r>
        <w:rPr>
          <w:rFonts w:ascii="Times New Roman" w:hAnsi="Times New Roman" w:cs="Times New Roman"/>
          <w:sz w:val="24"/>
          <w:szCs w:val="24"/>
        </w:rPr>
        <w:t xml:space="preserve">едита и финансового менеджмента </w:t>
      </w:r>
      <w:r w:rsidRPr="007354D6">
        <w:rPr>
          <w:rFonts w:ascii="Times New Roman" w:hAnsi="Times New Roman" w:cs="Times New Roman"/>
          <w:sz w:val="24"/>
          <w:szCs w:val="24"/>
        </w:rPr>
        <w:t>СПбГУ</w:t>
      </w:r>
      <w:r w:rsidR="003232AE">
        <w:rPr>
          <w:rFonts w:ascii="Times New Roman" w:hAnsi="Times New Roman" w:cs="Times New Roman"/>
          <w:sz w:val="24"/>
          <w:szCs w:val="24"/>
        </w:rPr>
        <w:t xml:space="preserve">, </w:t>
      </w:r>
      <w:r w:rsidR="003232AE" w:rsidRPr="003232AE">
        <w:rPr>
          <w:rFonts w:ascii="Times New Roman" w:hAnsi="Times New Roman" w:cs="Times New Roman"/>
          <w:sz w:val="24"/>
          <w:szCs w:val="24"/>
        </w:rPr>
        <w:t>Покровск</w:t>
      </w:r>
      <w:r w:rsidR="003232AE">
        <w:rPr>
          <w:rFonts w:ascii="Times New Roman" w:hAnsi="Times New Roman" w:cs="Times New Roman"/>
          <w:sz w:val="24"/>
          <w:szCs w:val="24"/>
        </w:rPr>
        <w:t>ой</w:t>
      </w:r>
      <w:r w:rsidR="003232AE" w:rsidRPr="003232AE">
        <w:rPr>
          <w:rFonts w:ascii="Times New Roman" w:hAnsi="Times New Roman" w:cs="Times New Roman"/>
          <w:sz w:val="24"/>
          <w:szCs w:val="24"/>
        </w:rPr>
        <w:t xml:space="preserve"> Н.В., к.э.н., доцент</w:t>
      </w:r>
      <w:r w:rsidR="003232AE">
        <w:rPr>
          <w:rFonts w:ascii="Times New Roman" w:hAnsi="Times New Roman" w:cs="Times New Roman"/>
          <w:sz w:val="24"/>
          <w:szCs w:val="24"/>
        </w:rPr>
        <w:t>ом</w:t>
      </w:r>
      <w:r w:rsidR="003232AE" w:rsidRPr="003232AE">
        <w:rPr>
          <w:rFonts w:ascii="Times New Roman" w:hAnsi="Times New Roman" w:cs="Times New Roman"/>
          <w:sz w:val="24"/>
          <w:szCs w:val="24"/>
        </w:rPr>
        <w:t xml:space="preserve"> кафедры теории кредита и финансового менеджмента</w:t>
      </w:r>
      <w:r w:rsidR="005F3170">
        <w:rPr>
          <w:rFonts w:ascii="Times New Roman" w:hAnsi="Times New Roman" w:cs="Times New Roman"/>
          <w:sz w:val="24"/>
          <w:szCs w:val="24"/>
        </w:rPr>
        <w:t xml:space="preserve"> СПбГУ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594FDC4" w14:textId="3C259387" w:rsidR="00216876" w:rsidRDefault="00216876" w:rsidP="001645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16876" w:rsidSect="003232AE">
      <w:footerReference w:type="default" r:id="rId9"/>
      <w:pgSz w:w="11906" w:h="16838"/>
      <w:pgMar w:top="1134" w:right="567" w:bottom="1134" w:left="1701" w:header="73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53980" w14:textId="77777777" w:rsidR="00A4658B" w:rsidRDefault="00A4658B" w:rsidP="00671BF4">
      <w:pPr>
        <w:spacing w:after="0" w:line="240" w:lineRule="auto"/>
      </w:pPr>
      <w:r>
        <w:separator/>
      </w:r>
    </w:p>
  </w:endnote>
  <w:endnote w:type="continuationSeparator" w:id="0">
    <w:p w14:paraId="1A404703" w14:textId="77777777" w:rsidR="00A4658B" w:rsidRDefault="00A4658B" w:rsidP="00671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em Text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eliosCon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549994"/>
      <w:docPartObj>
        <w:docPartGallery w:val="Page Numbers (Bottom of Page)"/>
        <w:docPartUnique/>
      </w:docPartObj>
    </w:sdtPr>
    <w:sdtEndPr/>
    <w:sdtContent>
      <w:p w14:paraId="721DBCFA" w14:textId="4AF81183" w:rsidR="007354D6" w:rsidRDefault="007354D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1CB">
          <w:rPr>
            <w:noProof/>
          </w:rPr>
          <w:t>7</w:t>
        </w:r>
        <w:r>
          <w:fldChar w:fldCharType="end"/>
        </w:r>
      </w:p>
    </w:sdtContent>
  </w:sdt>
  <w:p w14:paraId="590D862A" w14:textId="77777777" w:rsidR="005D6490" w:rsidRPr="005D6490" w:rsidRDefault="005D6490" w:rsidP="005D6490">
    <w:pPr>
      <w:pStyle w:val="aa"/>
      <w:spacing w:line="36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D72940" w14:textId="77777777" w:rsidR="00A4658B" w:rsidRDefault="00A4658B" w:rsidP="00671BF4">
      <w:pPr>
        <w:spacing w:after="0" w:line="240" w:lineRule="auto"/>
      </w:pPr>
      <w:r>
        <w:separator/>
      </w:r>
    </w:p>
  </w:footnote>
  <w:footnote w:type="continuationSeparator" w:id="0">
    <w:p w14:paraId="53F29BE4" w14:textId="77777777" w:rsidR="00A4658B" w:rsidRDefault="00A4658B" w:rsidP="00671BF4">
      <w:pPr>
        <w:spacing w:after="0" w:line="240" w:lineRule="auto"/>
      </w:pPr>
      <w:r>
        <w:continuationSeparator/>
      </w:r>
    </w:p>
  </w:footnote>
  <w:footnote w:id="1">
    <w:p w14:paraId="6386C9F7" w14:textId="0C4E710A" w:rsidR="00671BF4" w:rsidRPr="00671BF4" w:rsidRDefault="00671BF4" w:rsidP="00671BF4">
      <w:pPr>
        <w:pStyle w:val="a4"/>
        <w:jc w:val="both"/>
        <w:rPr>
          <w:rFonts w:ascii="Times New Roman" w:hAnsi="Times New Roman" w:cs="Times New Roman"/>
        </w:rPr>
      </w:pPr>
      <w:r w:rsidRPr="00671BF4">
        <w:rPr>
          <w:rStyle w:val="a6"/>
          <w:rFonts w:ascii="Times New Roman" w:hAnsi="Times New Roman" w:cs="Times New Roman"/>
        </w:rPr>
        <w:footnoteRef/>
      </w:r>
      <w:r w:rsidRPr="00671BF4">
        <w:rPr>
          <w:rFonts w:ascii="Times New Roman" w:hAnsi="Times New Roman" w:cs="Times New Roman"/>
        </w:rPr>
        <w:t xml:space="preserve"> Основные направления развития финансового рынка Российской Федерации на 2022 год и период 2023 и 2024 годов. М.: ЦБ РФ, 2021. 104 с.</w:t>
      </w:r>
    </w:p>
  </w:footnote>
  <w:footnote w:id="2">
    <w:p w14:paraId="356538D5" w14:textId="387A7361" w:rsidR="006B6C07" w:rsidRPr="00C40FFC" w:rsidRDefault="006B6C07" w:rsidP="00C40FFC">
      <w:pPr>
        <w:pStyle w:val="a4"/>
        <w:jc w:val="both"/>
        <w:rPr>
          <w:rFonts w:ascii="Times New Roman" w:hAnsi="Times New Roman" w:cs="Times New Roman"/>
        </w:rPr>
      </w:pPr>
      <w:r w:rsidRPr="00C40FFC">
        <w:rPr>
          <w:rStyle w:val="a6"/>
          <w:rFonts w:ascii="Times New Roman" w:hAnsi="Times New Roman" w:cs="Times New Roman"/>
        </w:rPr>
        <w:footnoteRef/>
      </w:r>
      <w:r w:rsidRPr="00C40FFC">
        <w:rPr>
          <w:rFonts w:ascii="Times New Roman" w:hAnsi="Times New Roman" w:cs="Times New Roman"/>
        </w:rPr>
        <w:t xml:space="preserve"> </w:t>
      </w:r>
      <w:r w:rsidR="00C40FFC" w:rsidRPr="00C40FFC">
        <w:rPr>
          <w:rFonts w:ascii="Times New Roman" w:hAnsi="Times New Roman" w:cs="Times New Roman"/>
        </w:rPr>
        <w:t xml:space="preserve">См.: </w:t>
      </w:r>
      <w:r w:rsidRPr="00C40FFC">
        <w:rPr>
          <w:rFonts w:ascii="Times New Roman" w:hAnsi="Times New Roman" w:cs="Times New Roman"/>
        </w:rPr>
        <w:t xml:space="preserve">Основные направления развития финансового рынка Российской Федерации на 2022 год и период 2023 и 2024 годов. </w:t>
      </w:r>
      <w:r w:rsidR="00C40FFC" w:rsidRPr="00C40FFC">
        <w:rPr>
          <w:rFonts w:ascii="Times New Roman" w:hAnsi="Times New Roman" w:cs="Times New Roman"/>
        </w:rPr>
        <w:t>С. 97.</w:t>
      </w:r>
    </w:p>
  </w:footnote>
  <w:footnote w:id="3">
    <w:p w14:paraId="73E9D34D" w14:textId="330850CF" w:rsidR="00004412" w:rsidRPr="00004412" w:rsidRDefault="00004412" w:rsidP="00004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4412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004412">
        <w:rPr>
          <w:rFonts w:ascii="Times New Roman" w:hAnsi="Times New Roman" w:cs="Times New Roman"/>
          <w:sz w:val="20"/>
          <w:szCs w:val="20"/>
        </w:rPr>
        <w:t xml:space="preserve"> Названия разделов приводятся по тексту Документа.</w:t>
      </w:r>
    </w:p>
  </w:footnote>
  <w:footnote w:id="4">
    <w:p w14:paraId="771DECFF" w14:textId="2ED68000" w:rsidR="00CF2C91" w:rsidRPr="00CF2C91" w:rsidRDefault="00CF2C91" w:rsidP="00CF2C91">
      <w:pPr>
        <w:pStyle w:val="a4"/>
        <w:jc w:val="both"/>
        <w:rPr>
          <w:rFonts w:ascii="Times New Roman" w:hAnsi="Times New Roman" w:cs="Times New Roman"/>
        </w:rPr>
      </w:pPr>
      <w:r w:rsidRPr="00CF2C91">
        <w:rPr>
          <w:rStyle w:val="a6"/>
          <w:rFonts w:ascii="Times New Roman" w:hAnsi="Times New Roman" w:cs="Times New Roman"/>
        </w:rPr>
        <w:footnoteRef/>
      </w:r>
      <w:r w:rsidRPr="00CF2C91">
        <w:rPr>
          <w:rFonts w:ascii="Times New Roman" w:hAnsi="Times New Roman" w:cs="Times New Roman"/>
        </w:rPr>
        <w:t xml:space="preserve"> См. подробнее: </w:t>
      </w:r>
      <w:r w:rsidRPr="00CF2C91">
        <w:rPr>
          <w:rFonts w:ascii="Times New Roman" w:hAnsi="Times New Roman"/>
        </w:rPr>
        <w:t xml:space="preserve">Иванов В.В., Львова Н.А., Покровская Н.А., Андрианов А.Ю. Региональные детерминанты налогового стимулирования инвестиционной активности бизнеса в Российской Федерации // Финансы. 2020. </w:t>
      </w:r>
      <w:r w:rsidR="002200F3">
        <w:rPr>
          <w:rFonts w:ascii="Times New Roman" w:hAnsi="Times New Roman"/>
        </w:rPr>
        <w:t xml:space="preserve">           </w:t>
      </w:r>
      <w:r w:rsidRPr="00CF2C91">
        <w:rPr>
          <w:rFonts w:ascii="Times New Roman" w:hAnsi="Times New Roman"/>
        </w:rPr>
        <w:t>№ 11. С. 15.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018F5"/>
    <w:multiLevelType w:val="hybridMultilevel"/>
    <w:tmpl w:val="5F746152"/>
    <w:lvl w:ilvl="0" w:tplc="60A89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10706"/>
    <w:multiLevelType w:val="hybridMultilevel"/>
    <w:tmpl w:val="AF467D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E310CB"/>
    <w:multiLevelType w:val="hybridMultilevel"/>
    <w:tmpl w:val="C49E9850"/>
    <w:lvl w:ilvl="0" w:tplc="60A898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1E1EC9"/>
    <w:multiLevelType w:val="hybridMultilevel"/>
    <w:tmpl w:val="9BEE8F34"/>
    <w:lvl w:ilvl="0" w:tplc="60A898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B653284"/>
    <w:multiLevelType w:val="hybridMultilevel"/>
    <w:tmpl w:val="6CECF20E"/>
    <w:lvl w:ilvl="0" w:tplc="60A89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45733"/>
    <w:multiLevelType w:val="hybridMultilevel"/>
    <w:tmpl w:val="92704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A44F6"/>
    <w:multiLevelType w:val="hybridMultilevel"/>
    <w:tmpl w:val="AE5A2BE6"/>
    <w:lvl w:ilvl="0" w:tplc="60A898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E001FFC"/>
    <w:multiLevelType w:val="hybridMultilevel"/>
    <w:tmpl w:val="20FE0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7A0"/>
    <w:rsid w:val="00004412"/>
    <w:rsid w:val="00005813"/>
    <w:rsid w:val="000463B3"/>
    <w:rsid w:val="00075E3A"/>
    <w:rsid w:val="000C79C5"/>
    <w:rsid w:val="000D4FEA"/>
    <w:rsid w:val="000F789D"/>
    <w:rsid w:val="0011344C"/>
    <w:rsid w:val="00143C08"/>
    <w:rsid w:val="00164554"/>
    <w:rsid w:val="00182D8E"/>
    <w:rsid w:val="001B3EB1"/>
    <w:rsid w:val="001C0A47"/>
    <w:rsid w:val="001C3FD0"/>
    <w:rsid w:val="001D403E"/>
    <w:rsid w:val="00216876"/>
    <w:rsid w:val="002200F3"/>
    <w:rsid w:val="0022099C"/>
    <w:rsid w:val="00282429"/>
    <w:rsid w:val="002E6A2F"/>
    <w:rsid w:val="00301F3F"/>
    <w:rsid w:val="00310A2B"/>
    <w:rsid w:val="003232AE"/>
    <w:rsid w:val="00325DBA"/>
    <w:rsid w:val="00344662"/>
    <w:rsid w:val="003608E5"/>
    <w:rsid w:val="003770C3"/>
    <w:rsid w:val="0038635A"/>
    <w:rsid w:val="003E6D27"/>
    <w:rsid w:val="004113C8"/>
    <w:rsid w:val="004142CC"/>
    <w:rsid w:val="004300B6"/>
    <w:rsid w:val="004D61FA"/>
    <w:rsid w:val="005A15EE"/>
    <w:rsid w:val="005D6490"/>
    <w:rsid w:val="005F3170"/>
    <w:rsid w:val="006212D8"/>
    <w:rsid w:val="00671BF4"/>
    <w:rsid w:val="00674A6E"/>
    <w:rsid w:val="00697D60"/>
    <w:rsid w:val="006B56AC"/>
    <w:rsid w:val="006B6C07"/>
    <w:rsid w:val="006D11B3"/>
    <w:rsid w:val="007354D6"/>
    <w:rsid w:val="008C6B19"/>
    <w:rsid w:val="00905B97"/>
    <w:rsid w:val="009301CB"/>
    <w:rsid w:val="00965E43"/>
    <w:rsid w:val="00A30E95"/>
    <w:rsid w:val="00A4658B"/>
    <w:rsid w:val="00A53AC8"/>
    <w:rsid w:val="00AB3ED6"/>
    <w:rsid w:val="00AD7C77"/>
    <w:rsid w:val="00BD1BA1"/>
    <w:rsid w:val="00C171D2"/>
    <w:rsid w:val="00C40FFC"/>
    <w:rsid w:val="00C54E40"/>
    <w:rsid w:val="00C83993"/>
    <w:rsid w:val="00CA07A0"/>
    <w:rsid w:val="00CB5A33"/>
    <w:rsid w:val="00CB7779"/>
    <w:rsid w:val="00CD1FAB"/>
    <w:rsid w:val="00CF2C91"/>
    <w:rsid w:val="00D028C5"/>
    <w:rsid w:val="00D27E85"/>
    <w:rsid w:val="00D671A7"/>
    <w:rsid w:val="00D93C94"/>
    <w:rsid w:val="00DE7410"/>
    <w:rsid w:val="00DF22B0"/>
    <w:rsid w:val="00E029AB"/>
    <w:rsid w:val="00E3469E"/>
    <w:rsid w:val="00E36AA0"/>
    <w:rsid w:val="00EC67E2"/>
    <w:rsid w:val="00EE3AC1"/>
    <w:rsid w:val="00EF1FEF"/>
    <w:rsid w:val="00F628F2"/>
    <w:rsid w:val="00F62C6A"/>
    <w:rsid w:val="00F7453C"/>
    <w:rsid w:val="00F9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2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07A0"/>
    <w:pPr>
      <w:ind w:left="720"/>
      <w:contextualSpacing/>
    </w:pPr>
  </w:style>
  <w:style w:type="paragraph" w:customStyle="1" w:styleId="Default">
    <w:name w:val="Default"/>
    <w:uiPriority w:val="99"/>
    <w:rsid w:val="00671BF4"/>
    <w:pPr>
      <w:autoSpaceDE w:val="0"/>
      <w:autoSpaceDN w:val="0"/>
      <w:adjustRightInd w:val="0"/>
      <w:spacing w:after="0" w:line="240" w:lineRule="auto"/>
    </w:pPr>
    <w:rPr>
      <w:rFonts w:ascii="Stem Text" w:hAnsi="Stem Text" w:cs="Stem Text"/>
      <w:color w:val="000000"/>
      <w:sz w:val="24"/>
      <w:szCs w:val="24"/>
    </w:rPr>
  </w:style>
  <w:style w:type="character" w:customStyle="1" w:styleId="A9">
    <w:name w:val="A9"/>
    <w:uiPriority w:val="99"/>
    <w:rsid w:val="00671BF4"/>
    <w:rPr>
      <w:rFonts w:ascii="HeliosCond" w:eastAsia="HeliosCond" w:cs="HeliosCond"/>
      <w:color w:val="211D1E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671BF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71BF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71BF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D6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6490"/>
  </w:style>
  <w:style w:type="paragraph" w:styleId="aa">
    <w:name w:val="footer"/>
    <w:basedOn w:val="a"/>
    <w:link w:val="ab"/>
    <w:uiPriority w:val="99"/>
    <w:unhideWhenUsed/>
    <w:rsid w:val="005D6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6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07A0"/>
    <w:pPr>
      <w:ind w:left="720"/>
      <w:contextualSpacing/>
    </w:pPr>
  </w:style>
  <w:style w:type="paragraph" w:customStyle="1" w:styleId="Default">
    <w:name w:val="Default"/>
    <w:uiPriority w:val="99"/>
    <w:rsid w:val="00671BF4"/>
    <w:pPr>
      <w:autoSpaceDE w:val="0"/>
      <w:autoSpaceDN w:val="0"/>
      <w:adjustRightInd w:val="0"/>
      <w:spacing w:after="0" w:line="240" w:lineRule="auto"/>
    </w:pPr>
    <w:rPr>
      <w:rFonts w:ascii="Stem Text" w:hAnsi="Stem Text" w:cs="Stem Text"/>
      <w:color w:val="000000"/>
      <w:sz w:val="24"/>
      <w:szCs w:val="24"/>
    </w:rPr>
  </w:style>
  <w:style w:type="character" w:customStyle="1" w:styleId="A9">
    <w:name w:val="A9"/>
    <w:uiPriority w:val="99"/>
    <w:rsid w:val="00671BF4"/>
    <w:rPr>
      <w:rFonts w:ascii="HeliosCond" w:eastAsia="HeliosCond" w:cs="HeliosCond"/>
      <w:color w:val="211D1E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671BF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71BF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71BF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D6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6490"/>
  </w:style>
  <w:style w:type="paragraph" w:styleId="aa">
    <w:name w:val="footer"/>
    <w:basedOn w:val="a"/>
    <w:link w:val="ab"/>
    <w:uiPriority w:val="99"/>
    <w:unhideWhenUsed/>
    <w:rsid w:val="005D6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6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A7C33-CB03-4BBB-BBB3-55E9E453B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2684</Words>
  <Characters>15300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Корсакова Дарья Владимировна</cp:lastModifiedBy>
  <cp:revision>41</cp:revision>
  <dcterms:created xsi:type="dcterms:W3CDTF">2022-08-23T10:55:00Z</dcterms:created>
  <dcterms:modified xsi:type="dcterms:W3CDTF">2022-08-25T10:01:00Z</dcterms:modified>
</cp:coreProperties>
</file>