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C5B" w:rsidRPr="00C02EF1" w:rsidRDefault="00751C5B" w:rsidP="00751C5B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EF1">
        <w:rPr>
          <w:rFonts w:ascii="Times New Roman" w:hAnsi="Times New Roman" w:cs="Times New Roman"/>
          <w:b/>
          <w:sz w:val="28"/>
          <w:szCs w:val="28"/>
        </w:rPr>
        <w:t xml:space="preserve">РЕЦЕНЗИЯ НА ВЫПУСКНУЮ КВАЛИФИКАЦИОННУЮ РАБОТУ СОИСКАТЕЛЯ НА СТЕПЕНЬ БАКАЛАВРА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СТАРКОВА АЛЕКСАНДРА АЛЕКСАНДРОВИЧА </w:t>
      </w:r>
      <w:r w:rsidRPr="00C02EF1">
        <w:rPr>
          <w:rFonts w:ascii="Times New Roman" w:hAnsi="Times New Roman" w:cs="Times New Roman"/>
          <w:b/>
          <w:sz w:val="28"/>
          <w:szCs w:val="28"/>
        </w:rPr>
        <w:t xml:space="preserve">НА ТЕМУ </w:t>
      </w:r>
      <w:r>
        <w:rPr>
          <w:rFonts w:ascii="Times New Roman" w:hAnsi="Times New Roman" w:cs="Times New Roman"/>
          <w:b/>
          <w:sz w:val="28"/>
          <w:szCs w:val="28"/>
        </w:rPr>
        <w:t>«КОНЦЕПЦИЯ ЧЕЛОВЕКА ФИХТЕ В ЕЕ СВЯЗИ С ФИЛОСОФИЕЙ КАНТА»</w:t>
      </w:r>
    </w:p>
    <w:p w:rsidR="00FB4031" w:rsidRDefault="00FB4031">
      <w:pPr>
        <w:rPr>
          <w:rFonts w:ascii="Times New Roman" w:hAnsi="Times New Roman" w:cs="Times New Roman"/>
          <w:sz w:val="28"/>
          <w:szCs w:val="28"/>
        </w:rPr>
      </w:pPr>
    </w:p>
    <w:p w:rsidR="00751C5B" w:rsidRDefault="00751C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Иоганн Готлиб Фихте – ключевая фигура в истории послекантовского классического идеализма, к которой в последнее время все чаще и чаще – и вполне заслуженно – обращается внимание исследователей. </w:t>
      </w:r>
      <w:r w:rsidR="003A2166">
        <w:rPr>
          <w:rFonts w:ascii="Times New Roman" w:hAnsi="Times New Roman" w:cs="Times New Roman"/>
          <w:sz w:val="28"/>
          <w:szCs w:val="28"/>
        </w:rPr>
        <w:t xml:space="preserve">При этом в философии Фихте видят не давно уже преодоленный и оставленный на обочине историко-философского процесса казус, маркируемый с помощью таких ходячих ярлыков, как «солипсизм» и «субъективный идеализм», а наследие, бережное изучение которого может много дать и для осмысления актуальных и сегодня философских проблем – проблемы свободы, отношения человека к миру, другим людям и Богу, проблемы нравственного деяния и его возможности в круге природного бытия. </w:t>
      </w:r>
      <w:r>
        <w:rPr>
          <w:rFonts w:ascii="Times New Roman" w:hAnsi="Times New Roman" w:cs="Times New Roman"/>
          <w:sz w:val="28"/>
          <w:szCs w:val="28"/>
        </w:rPr>
        <w:t xml:space="preserve">Думается, что квалификационная работа А.А. Старкова </w:t>
      </w:r>
      <w:r w:rsidR="0019425F">
        <w:rPr>
          <w:rFonts w:ascii="Times New Roman" w:hAnsi="Times New Roman" w:cs="Times New Roman"/>
          <w:sz w:val="28"/>
          <w:szCs w:val="28"/>
        </w:rPr>
        <w:t xml:space="preserve">выполнена в </w:t>
      </w:r>
      <w:r w:rsidR="00EB4B46">
        <w:rPr>
          <w:rFonts w:ascii="Times New Roman" w:hAnsi="Times New Roman" w:cs="Times New Roman"/>
          <w:sz w:val="28"/>
          <w:szCs w:val="28"/>
        </w:rPr>
        <w:t>рамках</w:t>
      </w:r>
      <w:r w:rsidR="0019425F">
        <w:rPr>
          <w:rFonts w:ascii="Times New Roman" w:hAnsi="Times New Roman" w:cs="Times New Roman"/>
          <w:sz w:val="28"/>
          <w:szCs w:val="28"/>
        </w:rPr>
        <w:t xml:space="preserve"> этой же самой тенденции</w:t>
      </w:r>
      <w:r w:rsidR="00EC6672">
        <w:rPr>
          <w:rFonts w:ascii="Times New Roman" w:hAnsi="Times New Roman" w:cs="Times New Roman"/>
          <w:sz w:val="28"/>
          <w:szCs w:val="28"/>
        </w:rPr>
        <w:t>.</w:t>
      </w:r>
      <w:r w:rsidR="0019425F">
        <w:rPr>
          <w:rFonts w:ascii="Times New Roman" w:hAnsi="Times New Roman" w:cs="Times New Roman"/>
          <w:sz w:val="28"/>
          <w:szCs w:val="28"/>
        </w:rPr>
        <w:t xml:space="preserve"> В подходе Александра Александровича привлекает и то, что Фихте интересен ему как самостоятельная философская величина, а «не лишь в качестве подспорья к гегелевской системе». (С. 4 работы).</w:t>
      </w:r>
      <w:r w:rsidR="00EC6672">
        <w:rPr>
          <w:rFonts w:ascii="Times New Roman" w:hAnsi="Times New Roman" w:cs="Times New Roman"/>
          <w:sz w:val="28"/>
          <w:szCs w:val="28"/>
        </w:rPr>
        <w:t xml:space="preserve"> </w:t>
      </w:r>
      <w:r w:rsidR="0019425F">
        <w:rPr>
          <w:rFonts w:ascii="Times New Roman" w:hAnsi="Times New Roman" w:cs="Times New Roman"/>
          <w:sz w:val="28"/>
          <w:szCs w:val="28"/>
        </w:rPr>
        <w:t xml:space="preserve">Для </w:t>
      </w:r>
      <w:r w:rsidR="00D80C6A">
        <w:rPr>
          <w:rFonts w:ascii="Times New Roman" w:hAnsi="Times New Roman" w:cs="Times New Roman"/>
          <w:sz w:val="28"/>
          <w:szCs w:val="28"/>
        </w:rPr>
        <w:t>Старкова</w:t>
      </w:r>
      <w:r w:rsidR="0019425F">
        <w:rPr>
          <w:rFonts w:ascii="Times New Roman" w:hAnsi="Times New Roman" w:cs="Times New Roman"/>
          <w:sz w:val="28"/>
          <w:szCs w:val="28"/>
        </w:rPr>
        <w:t xml:space="preserve"> Фихте – «уникальный философ», каковым тот, безусловно, и был. </w:t>
      </w:r>
      <w:r w:rsidR="00EC6672">
        <w:rPr>
          <w:rFonts w:ascii="Times New Roman" w:hAnsi="Times New Roman" w:cs="Times New Roman"/>
          <w:sz w:val="28"/>
          <w:szCs w:val="28"/>
        </w:rPr>
        <w:t xml:space="preserve">Автор </w:t>
      </w:r>
      <w:r w:rsidR="00EB4B46">
        <w:rPr>
          <w:rFonts w:ascii="Times New Roman" w:hAnsi="Times New Roman" w:cs="Times New Roman"/>
          <w:sz w:val="28"/>
          <w:szCs w:val="28"/>
        </w:rPr>
        <w:t>работы</w:t>
      </w:r>
      <w:r w:rsidR="00EC6672">
        <w:rPr>
          <w:rFonts w:ascii="Times New Roman" w:hAnsi="Times New Roman" w:cs="Times New Roman"/>
          <w:sz w:val="28"/>
          <w:szCs w:val="28"/>
        </w:rPr>
        <w:t xml:space="preserve"> видит свою исследовательскую цель в том, чтобы «</w:t>
      </w:r>
      <w:r w:rsidR="00EC6672" w:rsidRPr="00EC6672">
        <w:rPr>
          <w:rFonts w:ascii="Times New Roman" w:hAnsi="Times New Roman" w:cs="Times New Roman"/>
          <w:sz w:val="28"/>
          <w:szCs w:val="28"/>
        </w:rPr>
        <w:t xml:space="preserve">проанализировать концепцию </w:t>
      </w:r>
      <w:r w:rsidR="00EC6672">
        <w:rPr>
          <w:rFonts w:ascii="Times New Roman" w:hAnsi="Times New Roman" w:cs="Times New Roman"/>
          <w:sz w:val="28"/>
          <w:szCs w:val="28"/>
        </w:rPr>
        <w:t>человека Фихте в ее связи с кан</w:t>
      </w:r>
      <w:r w:rsidR="00EC6672" w:rsidRPr="00EC6672">
        <w:rPr>
          <w:rFonts w:ascii="Times New Roman" w:hAnsi="Times New Roman" w:cs="Times New Roman"/>
          <w:sz w:val="28"/>
          <w:szCs w:val="28"/>
        </w:rPr>
        <w:t>товской критической философией</w:t>
      </w:r>
      <w:r w:rsidR="00EC6672">
        <w:rPr>
          <w:rFonts w:ascii="Times New Roman" w:hAnsi="Times New Roman" w:cs="Times New Roman"/>
          <w:sz w:val="28"/>
          <w:szCs w:val="28"/>
        </w:rPr>
        <w:t xml:space="preserve">» (С. 6). </w:t>
      </w:r>
      <w:r w:rsidR="0019425F">
        <w:rPr>
          <w:rFonts w:ascii="Times New Roman" w:hAnsi="Times New Roman" w:cs="Times New Roman"/>
          <w:sz w:val="28"/>
          <w:szCs w:val="28"/>
        </w:rPr>
        <w:t xml:space="preserve">Это, впрочем, не означает, что прослеживание связи фихтевской концепции человека с концепцией человека у Канта свидетельствует о вторичности и зависимости для автора рецензируемой работы мысли Фихте </w:t>
      </w:r>
      <w:r w:rsidR="00541A3D">
        <w:rPr>
          <w:rFonts w:ascii="Times New Roman" w:hAnsi="Times New Roman" w:cs="Times New Roman"/>
          <w:sz w:val="28"/>
          <w:szCs w:val="28"/>
        </w:rPr>
        <w:t>по отношению к</w:t>
      </w:r>
      <w:r w:rsidR="0019425F">
        <w:rPr>
          <w:rFonts w:ascii="Times New Roman" w:hAnsi="Times New Roman" w:cs="Times New Roman"/>
          <w:sz w:val="28"/>
          <w:szCs w:val="28"/>
        </w:rPr>
        <w:t xml:space="preserve"> кантовской, без которой, разумеется, </w:t>
      </w:r>
      <w:r w:rsidR="00E674E0">
        <w:rPr>
          <w:rFonts w:ascii="Times New Roman" w:hAnsi="Times New Roman" w:cs="Times New Roman"/>
          <w:sz w:val="28"/>
          <w:szCs w:val="28"/>
        </w:rPr>
        <w:t>та</w:t>
      </w:r>
      <w:r w:rsidR="0019425F">
        <w:rPr>
          <w:rFonts w:ascii="Times New Roman" w:hAnsi="Times New Roman" w:cs="Times New Roman"/>
          <w:sz w:val="28"/>
          <w:szCs w:val="28"/>
        </w:rPr>
        <w:t xml:space="preserve"> никогда бы не состоялась. Сопоставление с Кантом нужно Старкову для того, чтобы точнее оттенить позицию самого Фихте, а также имеющие место в ней антропологические импликаты.</w:t>
      </w:r>
    </w:p>
    <w:p w:rsidR="0019425F" w:rsidRDefault="00194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выполнения работы Старков демонстрирует основательное знание материала – трудов Канта и, особенно, Фихте, комментаторской литературы, оригинальное видение проблемного поля философии Канта и послекантовского идеализма. </w:t>
      </w:r>
      <w:r w:rsidR="00F82AC7">
        <w:rPr>
          <w:rFonts w:ascii="Times New Roman" w:hAnsi="Times New Roman" w:cs="Times New Roman"/>
          <w:sz w:val="28"/>
          <w:szCs w:val="28"/>
        </w:rPr>
        <w:t>Прежде всего, в этой связи хотелось бы указать на данную Старковым интерпретацию тезис</w:t>
      </w:r>
      <w:r w:rsidR="00E674E0">
        <w:rPr>
          <w:rFonts w:ascii="Times New Roman" w:hAnsi="Times New Roman" w:cs="Times New Roman"/>
          <w:sz w:val="28"/>
          <w:szCs w:val="28"/>
        </w:rPr>
        <w:t>а</w:t>
      </w:r>
      <w:r w:rsidR="00F82AC7">
        <w:rPr>
          <w:rFonts w:ascii="Times New Roman" w:hAnsi="Times New Roman" w:cs="Times New Roman"/>
          <w:sz w:val="28"/>
          <w:szCs w:val="28"/>
        </w:rPr>
        <w:t xml:space="preserve"> приоритета практического разума над теоретическим у Канта и Фихте, которая, как </w:t>
      </w:r>
      <w:r w:rsidR="00CC4AD2">
        <w:rPr>
          <w:rFonts w:ascii="Times New Roman" w:hAnsi="Times New Roman" w:cs="Times New Roman"/>
          <w:sz w:val="28"/>
          <w:szCs w:val="28"/>
        </w:rPr>
        <w:t>кажется</w:t>
      </w:r>
      <w:bookmarkStart w:id="0" w:name="_GoBack"/>
      <w:bookmarkEnd w:id="0"/>
      <w:r w:rsidR="00F82AC7">
        <w:rPr>
          <w:rFonts w:ascii="Times New Roman" w:hAnsi="Times New Roman" w:cs="Times New Roman"/>
          <w:sz w:val="28"/>
          <w:szCs w:val="28"/>
        </w:rPr>
        <w:t xml:space="preserve">, вообще лежит в основе </w:t>
      </w:r>
      <w:r w:rsidR="00E674E0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F82AC7">
        <w:rPr>
          <w:rFonts w:ascii="Times New Roman" w:hAnsi="Times New Roman" w:cs="Times New Roman"/>
          <w:sz w:val="28"/>
          <w:szCs w:val="28"/>
        </w:rPr>
        <w:t xml:space="preserve">концептуального строя данного исследования. Достойны похвалы ясность и внятность, которые отличают проведенную Старковым реконструкцию дедукции принципов фихтевской философии – </w:t>
      </w:r>
      <w:r w:rsidR="00F82AC7">
        <w:rPr>
          <w:rFonts w:ascii="Times New Roman" w:hAnsi="Times New Roman" w:cs="Times New Roman"/>
          <w:sz w:val="28"/>
          <w:szCs w:val="28"/>
        </w:rPr>
        <w:lastRenderedPageBreak/>
        <w:t xml:space="preserve">далеко не самую простую задачу для историка философии, даже если он будет ограничиваться формальными схемами, которых более чем достаточно и в трудах самого классика. </w:t>
      </w:r>
      <w:r w:rsidR="00050264">
        <w:rPr>
          <w:rFonts w:ascii="Times New Roman" w:hAnsi="Times New Roman" w:cs="Times New Roman"/>
          <w:sz w:val="28"/>
          <w:szCs w:val="28"/>
        </w:rPr>
        <w:t xml:space="preserve">Кроме того, безусловной удачей автора исследования является и прояснение соотношения понятий трансцендентального, эмпирического, конечного и бесконечного Я у Фихте – быть может, не бесспорное, но зато весьма наглядное, а стало быть, способное служить отправной точкой для дальнейшей проблематизации указанного соотношения. </w:t>
      </w:r>
    </w:p>
    <w:p w:rsidR="00716394" w:rsidRDefault="007163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Пожалуй, наиболее творческим и самостоятельным периодом работы Старкова является сравнение концепций нравственности у Канта и Фихте. Соглашаясь с большинством выводов, полученных Александром Александровичем в ходе такого сопоставления, все же хотелось бы отметить, что его замечания о том, «</w:t>
      </w:r>
      <w:r w:rsidRPr="00716394">
        <w:rPr>
          <w:rFonts w:ascii="Times New Roman" w:hAnsi="Times New Roman" w:cs="Times New Roman"/>
          <w:sz w:val="28"/>
          <w:szCs w:val="28"/>
        </w:rPr>
        <w:t>что, несмотря на критику кантовской формальности, этика Фихте так же чужда всякой материаль</w:t>
      </w:r>
      <w:r>
        <w:rPr>
          <w:rFonts w:ascii="Times New Roman" w:hAnsi="Times New Roman" w:cs="Times New Roman"/>
          <w:sz w:val="28"/>
          <w:szCs w:val="28"/>
        </w:rPr>
        <w:t>ности, она не предполагает гото</w:t>
      </w:r>
      <w:r w:rsidRPr="00716394">
        <w:rPr>
          <w:rFonts w:ascii="Times New Roman" w:hAnsi="Times New Roman" w:cs="Times New Roman"/>
          <w:sz w:val="28"/>
          <w:szCs w:val="28"/>
        </w:rPr>
        <w:t>вых рецептов и четких правил поведения,</w:t>
      </w:r>
      <w:r>
        <w:rPr>
          <w:rFonts w:ascii="Times New Roman" w:hAnsi="Times New Roman" w:cs="Times New Roman"/>
          <w:sz w:val="28"/>
          <w:szCs w:val="28"/>
        </w:rPr>
        <w:t xml:space="preserve"> она тоже формальна, но это фор</w:t>
      </w:r>
      <w:r w:rsidRPr="00716394">
        <w:rPr>
          <w:rFonts w:ascii="Times New Roman" w:hAnsi="Times New Roman" w:cs="Times New Roman"/>
          <w:sz w:val="28"/>
          <w:szCs w:val="28"/>
        </w:rPr>
        <w:t>мальность несколько иного рода, она более человечна, поскольку базируется на интенции субъекта – на любви</w:t>
      </w:r>
      <w:r>
        <w:rPr>
          <w:rFonts w:ascii="Times New Roman" w:hAnsi="Times New Roman" w:cs="Times New Roman"/>
          <w:sz w:val="28"/>
          <w:szCs w:val="28"/>
        </w:rPr>
        <w:t xml:space="preserve">» (С. 37), все же страдает двусмысленностью. Причем такая двусмысленность носит принципиальный, а не привходящий характер. Может ли формальность вообще быть «более человечной»? Может ли любовь, хотя она и «не предполагает готовых рецептов и четких правил поведения», рассматриваться как формальность? </w:t>
      </w:r>
      <w:r w:rsidR="009D0F4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остаточно ли </w:t>
      </w:r>
      <w:r w:rsidR="009D0F42">
        <w:rPr>
          <w:rFonts w:ascii="Times New Roman" w:hAnsi="Times New Roman" w:cs="Times New Roman"/>
          <w:sz w:val="28"/>
          <w:szCs w:val="28"/>
        </w:rPr>
        <w:t xml:space="preserve">вообще </w:t>
      </w:r>
      <w:r>
        <w:rPr>
          <w:rFonts w:ascii="Times New Roman" w:hAnsi="Times New Roman" w:cs="Times New Roman"/>
          <w:sz w:val="28"/>
          <w:szCs w:val="28"/>
        </w:rPr>
        <w:t>такое негативное определение как чуждость «всякой материальности» для характеристики чего-то как только формального; ведь – и, как мне кажется, в этом состоит важный урок всего послекантовского идеализма – содержание, присущее некоторой форме, не должно иметь непременно материальный характер? Так или иначе, Старков прав, что формализм Фихте не совпадает с формализмом Канта, но, пожалуй, позитивный смысл формализма у Фихте в работе остался все же недостаточно уточнен. В остальном же работа не содержит каких-то существенных недостатков. Конечно, в ней, особенно ближе к концу, встречаются стилистические огрехи и грамматические ошибки, но эти упущения не являются существенными.</w:t>
      </w:r>
    </w:p>
    <w:p w:rsidR="00716394" w:rsidRDefault="007163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целом, я считаю, что, несмотря на сделанное замечание, которое, на с</w:t>
      </w:r>
      <w:r w:rsidR="00360ECB">
        <w:rPr>
          <w:rFonts w:ascii="Times New Roman" w:hAnsi="Times New Roman" w:cs="Times New Roman"/>
          <w:sz w:val="28"/>
          <w:szCs w:val="28"/>
        </w:rPr>
        <w:t>амом деле,</w:t>
      </w:r>
      <w:r>
        <w:rPr>
          <w:rFonts w:ascii="Times New Roman" w:hAnsi="Times New Roman" w:cs="Times New Roman"/>
          <w:sz w:val="28"/>
          <w:szCs w:val="28"/>
        </w:rPr>
        <w:t xml:space="preserve"> имеет всецело рекомендательный смысл, квалификационная работа соискателя на степень бакалавра А.А. Старкова на тему «Концепция человека Фихте в ее связи с философией Канта» соответствует всем требованиям, предъявляемым работам такого уровня, она оригинальна и свидетельствует о </w:t>
      </w:r>
      <w:r>
        <w:rPr>
          <w:rFonts w:ascii="Times New Roman" w:hAnsi="Times New Roman" w:cs="Times New Roman"/>
          <w:sz w:val="28"/>
          <w:szCs w:val="28"/>
        </w:rPr>
        <w:lastRenderedPageBreak/>
        <w:t>историко-философской эрудиции автора, безусловно, она может быть оценена на «</w:t>
      </w:r>
      <w:r w:rsidRPr="00716394">
        <w:rPr>
          <w:rFonts w:ascii="Times New Roman" w:hAnsi="Times New Roman" w:cs="Times New Roman"/>
          <w:i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9425F" w:rsidRDefault="0019425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3597B" w:rsidTr="003951E3">
        <w:tc>
          <w:tcPr>
            <w:tcW w:w="4672" w:type="dxa"/>
          </w:tcPr>
          <w:p w:rsidR="00D3597B" w:rsidRDefault="00D3597B" w:rsidP="003951E3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 философских наук, старший преподаватель кафедры онтологии и теории познания Института философии СПбГУ</w:t>
            </w:r>
          </w:p>
        </w:tc>
        <w:tc>
          <w:tcPr>
            <w:tcW w:w="4673" w:type="dxa"/>
          </w:tcPr>
          <w:p w:rsidR="00D3597B" w:rsidRDefault="00D3597B" w:rsidP="003951E3">
            <w:pPr>
              <w:spacing w:line="2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97B" w:rsidRDefault="00D3597B" w:rsidP="003951E3">
            <w:pPr>
              <w:spacing w:line="2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97B" w:rsidRDefault="00D3597B" w:rsidP="003951E3">
            <w:pPr>
              <w:spacing w:line="2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Паткуль А.Б.</w:t>
            </w:r>
          </w:p>
        </w:tc>
      </w:tr>
    </w:tbl>
    <w:p w:rsidR="00D3597B" w:rsidRPr="00751C5B" w:rsidRDefault="00D3597B">
      <w:pPr>
        <w:rPr>
          <w:rFonts w:ascii="Times New Roman" w:hAnsi="Times New Roman" w:cs="Times New Roman"/>
          <w:sz w:val="28"/>
          <w:szCs w:val="28"/>
        </w:rPr>
      </w:pPr>
    </w:p>
    <w:sectPr w:rsidR="00D3597B" w:rsidRPr="00751C5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50D" w:rsidRDefault="00C6250D" w:rsidP="007842A3">
      <w:pPr>
        <w:spacing w:after="0" w:line="240" w:lineRule="auto"/>
      </w:pPr>
      <w:r>
        <w:separator/>
      </w:r>
    </w:p>
  </w:endnote>
  <w:endnote w:type="continuationSeparator" w:id="0">
    <w:p w:rsidR="00C6250D" w:rsidRDefault="00C6250D" w:rsidP="0078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0407749"/>
      <w:docPartObj>
        <w:docPartGallery w:val="Page Numbers (Bottom of Page)"/>
        <w:docPartUnique/>
      </w:docPartObj>
    </w:sdtPr>
    <w:sdtEndPr/>
    <w:sdtContent>
      <w:p w:rsidR="007842A3" w:rsidRDefault="007842A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C94">
          <w:rPr>
            <w:noProof/>
          </w:rPr>
          <w:t>3</w:t>
        </w:r>
        <w:r>
          <w:fldChar w:fldCharType="end"/>
        </w:r>
      </w:p>
    </w:sdtContent>
  </w:sdt>
  <w:p w:rsidR="007842A3" w:rsidRDefault="007842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50D" w:rsidRDefault="00C6250D" w:rsidP="007842A3">
      <w:pPr>
        <w:spacing w:after="0" w:line="240" w:lineRule="auto"/>
      </w:pPr>
      <w:r>
        <w:separator/>
      </w:r>
    </w:p>
  </w:footnote>
  <w:footnote w:type="continuationSeparator" w:id="0">
    <w:p w:rsidR="00C6250D" w:rsidRDefault="00C6250D" w:rsidP="0078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D23"/>
    <w:rsid w:val="00050264"/>
    <w:rsid w:val="0019425F"/>
    <w:rsid w:val="00360ECB"/>
    <w:rsid w:val="003A2166"/>
    <w:rsid w:val="00541A3D"/>
    <w:rsid w:val="00716394"/>
    <w:rsid w:val="00751C5B"/>
    <w:rsid w:val="007842A3"/>
    <w:rsid w:val="00813D23"/>
    <w:rsid w:val="009D0F42"/>
    <w:rsid w:val="00C6250D"/>
    <w:rsid w:val="00CC4AD2"/>
    <w:rsid w:val="00D3597B"/>
    <w:rsid w:val="00D80C6A"/>
    <w:rsid w:val="00E674E0"/>
    <w:rsid w:val="00EB4B46"/>
    <w:rsid w:val="00EC6672"/>
    <w:rsid w:val="00F76C94"/>
    <w:rsid w:val="00F82AC7"/>
    <w:rsid w:val="00FB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C5B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42A3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unhideWhenUsed/>
    <w:rsid w:val="00784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42A3"/>
    <w:rPr>
      <w:rFonts w:ascii="Calibri" w:eastAsia="Calibri" w:hAnsi="Calibri" w:cs="Calibri"/>
    </w:rPr>
  </w:style>
  <w:style w:type="table" w:styleId="a7">
    <w:name w:val="Table Grid"/>
    <w:basedOn w:val="a1"/>
    <w:uiPriority w:val="39"/>
    <w:rsid w:val="00D35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C5B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42A3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unhideWhenUsed/>
    <w:rsid w:val="00784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42A3"/>
    <w:rPr>
      <w:rFonts w:ascii="Calibri" w:eastAsia="Calibri" w:hAnsi="Calibri" w:cs="Calibri"/>
    </w:rPr>
  </w:style>
  <w:style w:type="table" w:styleId="a7">
    <w:name w:val="Table Grid"/>
    <w:basedOn w:val="a1"/>
    <w:uiPriority w:val="39"/>
    <w:rsid w:val="00D35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Patkul</dc:creator>
  <cp:lastModifiedBy>Дом</cp:lastModifiedBy>
  <cp:revision>2</cp:revision>
  <dcterms:created xsi:type="dcterms:W3CDTF">2016-05-12T08:31:00Z</dcterms:created>
  <dcterms:modified xsi:type="dcterms:W3CDTF">2016-05-12T08:31:00Z</dcterms:modified>
</cp:coreProperties>
</file>