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2B13" w:rsidRDefault="00992B13" w:rsidP="00992B13">
      <w:pPr>
        <w:spacing w:after="120" w:line="360" w:lineRule="auto"/>
        <w:jc w:val="center"/>
        <w:rPr>
          <w:rFonts w:ascii="Times New Roman" w:hAnsi="Times New Roman"/>
          <w:color w:val="181818"/>
          <w:sz w:val="24"/>
          <w:szCs w:val="24"/>
        </w:rPr>
      </w:pPr>
      <w:r w:rsidRPr="0055499D">
        <w:rPr>
          <w:rFonts w:ascii="Times New Roman" w:hAnsi="Times New Roman"/>
          <w:color w:val="181818"/>
          <w:sz w:val="24"/>
          <w:szCs w:val="24"/>
        </w:rPr>
        <w:t xml:space="preserve">Рецензия на выпускную квалификационную работу на </w:t>
      </w:r>
      <w:bookmarkStart w:id="0" w:name="_GoBack"/>
      <w:bookmarkEnd w:id="0"/>
      <w:r w:rsidRPr="0055499D">
        <w:rPr>
          <w:rFonts w:ascii="Times New Roman" w:hAnsi="Times New Roman"/>
          <w:color w:val="181818"/>
          <w:sz w:val="24"/>
          <w:szCs w:val="24"/>
        </w:rPr>
        <w:t xml:space="preserve">соискание степени бакалавра </w:t>
      </w:r>
      <w:r>
        <w:rPr>
          <w:rFonts w:ascii="Times New Roman" w:hAnsi="Times New Roman"/>
          <w:color w:val="181818"/>
          <w:sz w:val="24"/>
          <w:szCs w:val="24"/>
        </w:rPr>
        <w:t>филологии/</w:t>
      </w:r>
      <w:r w:rsidRPr="0055499D">
        <w:rPr>
          <w:rFonts w:ascii="Times New Roman" w:hAnsi="Times New Roman"/>
          <w:color w:val="181818"/>
          <w:sz w:val="24"/>
          <w:szCs w:val="24"/>
        </w:rPr>
        <w:t>лингвис</w:t>
      </w:r>
      <w:r>
        <w:rPr>
          <w:rFonts w:ascii="Times New Roman" w:hAnsi="Times New Roman"/>
          <w:color w:val="181818"/>
          <w:sz w:val="24"/>
          <w:szCs w:val="24"/>
        </w:rPr>
        <w:t>тики Екатерины Юрьевны Яковлевой «Особенности перевода авторских окказионализмов в романе Джорджа Оруэлла «1984» на русский и испанский язык»</w:t>
      </w:r>
    </w:p>
    <w:p w:rsidR="00992B13" w:rsidRPr="0055499D" w:rsidRDefault="00992B13" w:rsidP="00992B13">
      <w:pPr>
        <w:spacing w:after="120" w:line="360" w:lineRule="auto"/>
        <w:jc w:val="center"/>
        <w:rPr>
          <w:rFonts w:ascii="Times New Roman" w:hAnsi="Times New Roman"/>
          <w:color w:val="181818"/>
          <w:sz w:val="24"/>
          <w:szCs w:val="24"/>
        </w:rPr>
      </w:pPr>
    </w:p>
    <w:p w:rsidR="00992B13" w:rsidRPr="0055499D" w:rsidRDefault="00992B13" w:rsidP="00992B13">
      <w:pPr>
        <w:spacing w:after="12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55499D">
        <w:rPr>
          <w:rFonts w:ascii="Times New Roman" w:hAnsi="Times New Roman"/>
          <w:color w:val="181818"/>
          <w:sz w:val="24"/>
          <w:szCs w:val="24"/>
        </w:rPr>
        <w:t>Выпускная квалификационная раб</w:t>
      </w:r>
      <w:r w:rsidR="000304E6">
        <w:rPr>
          <w:rFonts w:ascii="Times New Roman" w:hAnsi="Times New Roman"/>
          <w:color w:val="181818"/>
          <w:sz w:val="24"/>
          <w:szCs w:val="24"/>
        </w:rPr>
        <w:t>ота Екатерины Юрьевны Яковлевой</w:t>
      </w:r>
      <w:r w:rsidRPr="0055499D">
        <w:rPr>
          <w:rFonts w:ascii="Times New Roman" w:hAnsi="Times New Roman"/>
          <w:color w:val="181818"/>
          <w:sz w:val="24"/>
          <w:szCs w:val="24"/>
        </w:rPr>
        <w:t xml:space="preserve"> представляе</w:t>
      </w:r>
      <w:r w:rsidR="000304E6">
        <w:rPr>
          <w:rFonts w:ascii="Times New Roman" w:hAnsi="Times New Roman"/>
          <w:color w:val="181818"/>
          <w:sz w:val="24"/>
          <w:szCs w:val="24"/>
        </w:rPr>
        <w:t xml:space="preserve">т собой глубокое и полновесное филологическое исследование, представляющее несомненный интерес. </w:t>
      </w:r>
      <w:r w:rsidRPr="0055499D">
        <w:rPr>
          <w:rFonts w:ascii="Times New Roman" w:hAnsi="Times New Roman"/>
          <w:color w:val="181818"/>
          <w:sz w:val="24"/>
          <w:szCs w:val="24"/>
        </w:rPr>
        <w:t>Оно посвящено</w:t>
      </w:r>
      <w:r w:rsidR="000304E6">
        <w:rPr>
          <w:rFonts w:ascii="Times New Roman" w:hAnsi="Times New Roman"/>
          <w:color w:val="181818"/>
          <w:sz w:val="24"/>
          <w:szCs w:val="24"/>
        </w:rPr>
        <w:t xml:space="preserve"> одному из ключевых произведений в жанре антиутопии и – конкретнее – одной из основных характеристик, отличающих поэтику этого жанра, а именно авторскому стремлению к языкотворчеству.</w:t>
      </w:r>
      <w:r w:rsidR="000F49C0">
        <w:rPr>
          <w:rFonts w:ascii="Times New Roman" w:hAnsi="Times New Roman"/>
          <w:color w:val="181818"/>
          <w:sz w:val="24"/>
          <w:szCs w:val="24"/>
        </w:rPr>
        <w:t xml:space="preserve"> Не теряющий актуальности на протяжении всей эпохи постмодерна дискурс антиутопии, безусловно, в большой степени реализуется через многочисленные авторские окказионализмы. Это справедливо для англоязычной литературы, зачастую прямо заимствующей принципы новояза у Оруэлла (ср. язык тоталитарного общества муравьев в «Мече в камне» Теренса Х. Уайта), для русскоязычной (вплоть до неочевидных образцов жанра, например, романа В. Аксенова «Остров Крым») и даже для испаноязычной, где антиутопия представлена относительно малым количеством текстов</w:t>
      </w:r>
      <w:r w:rsidR="000F742C">
        <w:rPr>
          <w:rFonts w:ascii="Times New Roman" w:hAnsi="Times New Roman"/>
          <w:color w:val="181818"/>
          <w:sz w:val="24"/>
          <w:szCs w:val="24"/>
        </w:rPr>
        <w:t xml:space="preserve">, в частности, романом М. Пуига «Ангельский пол». С другой стороны, именно оруэлловские окказионализмы как единицы переводного текста со временем органично вошли в иные языки, например, «новояз» - в русский, а </w:t>
      </w:r>
      <w:r w:rsidR="000F742C" w:rsidRPr="000F742C">
        <w:rPr>
          <w:rFonts w:ascii="Times New Roman" w:hAnsi="Times New Roman"/>
          <w:color w:val="181818"/>
          <w:sz w:val="24"/>
          <w:szCs w:val="24"/>
        </w:rPr>
        <w:t>“</w:t>
      </w:r>
      <w:r w:rsidR="000F742C">
        <w:rPr>
          <w:rFonts w:ascii="Times New Roman" w:hAnsi="Times New Roman"/>
          <w:color w:val="181818"/>
          <w:sz w:val="24"/>
          <w:szCs w:val="24"/>
          <w:lang w:val="es-ES"/>
        </w:rPr>
        <w:t>no</w:t>
      </w:r>
      <w:r w:rsidR="000F742C" w:rsidRPr="000F742C"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0F742C">
        <w:rPr>
          <w:rFonts w:ascii="Times New Roman" w:hAnsi="Times New Roman"/>
          <w:color w:val="181818"/>
          <w:sz w:val="24"/>
          <w:szCs w:val="24"/>
          <w:lang w:val="es-ES"/>
        </w:rPr>
        <w:t>persona</w:t>
      </w:r>
      <w:r w:rsidR="000F742C" w:rsidRPr="000F742C">
        <w:rPr>
          <w:rFonts w:ascii="Times New Roman" w:hAnsi="Times New Roman"/>
          <w:color w:val="181818"/>
          <w:sz w:val="24"/>
          <w:szCs w:val="24"/>
        </w:rPr>
        <w:t>”</w:t>
      </w:r>
      <w:r w:rsidR="000F742C">
        <w:rPr>
          <w:rFonts w:ascii="Times New Roman" w:hAnsi="Times New Roman"/>
          <w:color w:val="181818"/>
          <w:sz w:val="24"/>
          <w:szCs w:val="24"/>
        </w:rPr>
        <w:t xml:space="preserve"> - в испанский.</w:t>
      </w:r>
      <w:r w:rsidRPr="0055499D"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BF7336">
        <w:rPr>
          <w:rFonts w:ascii="Times New Roman" w:hAnsi="Times New Roman"/>
          <w:color w:val="181818"/>
          <w:sz w:val="24"/>
          <w:szCs w:val="24"/>
        </w:rPr>
        <w:t>Необходимость переводоведческого исследования, подобного рецензируемому, таким образом, не подлежит сомнению.</w:t>
      </w:r>
    </w:p>
    <w:p w:rsidR="00992B13" w:rsidRPr="0055499D" w:rsidRDefault="00BF7336" w:rsidP="00992B13">
      <w:pPr>
        <w:spacing w:after="12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Работа Екатерины Юрьевны Яковлевой имеет четкую логическую структуру и состоит из введения, трех</w:t>
      </w:r>
      <w:r w:rsidR="00992B13" w:rsidRPr="0055499D">
        <w:rPr>
          <w:rFonts w:ascii="Times New Roman" w:hAnsi="Times New Roman"/>
          <w:color w:val="181818"/>
          <w:sz w:val="24"/>
          <w:szCs w:val="24"/>
        </w:rPr>
        <w:t xml:space="preserve"> глав, заключения, списка использованной литератур</w:t>
      </w:r>
      <w:r>
        <w:rPr>
          <w:rFonts w:ascii="Times New Roman" w:hAnsi="Times New Roman"/>
          <w:color w:val="181818"/>
          <w:sz w:val="24"/>
          <w:szCs w:val="24"/>
        </w:rPr>
        <w:t>ы и приложения. Общий объем работы – 83</w:t>
      </w:r>
      <w:r w:rsidR="00992B13" w:rsidRPr="0055499D">
        <w:rPr>
          <w:rFonts w:ascii="Times New Roman" w:hAnsi="Times New Roman"/>
          <w:color w:val="181818"/>
          <w:sz w:val="24"/>
          <w:szCs w:val="24"/>
        </w:rPr>
        <w:t xml:space="preserve"> страницы.</w:t>
      </w:r>
    </w:p>
    <w:p w:rsidR="00992B13" w:rsidRPr="0055499D" w:rsidRDefault="00BF7336" w:rsidP="00992B13">
      <w:pPr>
        <w:spacing w:after="12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Во введении, помимо традиционных обоснований актуальности, научной новизны и цели исследования, высказывается важнейшее, на наш взгляд, намерение «выявить, насколько в переводах учитываются правила, характеризующие новояз как единую языковую систему» (стр. 4)</w:t>
      </w:r>
      <w:r w:rsidR="00992B13" w:rsidRPr="0055499D">
        <w:rPr>
          <w:rFonts w:ascii="Times New Roman" w:hAnsi="Times New Roman"/>
          <w:color w:val="181818"/>
          <w:sz w:val="24"/>
          <w:szCs w:val="24"/>
        </w:rPr>
        <w:t>.</w:t>
      </w:r>
      <w:r>
        <w:rPr>
          <w:rFonts w:ascii="Times New Roman" w:hAnsi="Times New Roman"/>
          <w:color w:val="181818"/>
          <w:sz w:val="24"/>
          <w:szCs w:val="24"/>
        </w:rPr>
        <w:t xml:space="preserve"> Именно описанная проблема отражает титанический вызов, который представляет «1984» для переводчика</w:t>
      </w:r>
      <w:r w:rsidR="0042204B">
        <w:rPr>
          <w:rFonts w:ascii="Times New Roman" w:hAnsi="Times New Roman"/>
          <w:color w:val="181818"/>
          <w:sz w:val="24"/>
          <w:szCs w:val="24"/>
        </w:rPr>
        <w:t>, и сразу следует отметить, что автор выпускной квалификационной работы блестяще справляется с поставленной задачей.</w:t>
      </w:r>
    </w:p>
    <w:p w:rsidR="00A375E8" w:rsidRDefault="00992B13" w:rsidP="00992B13">
      <w:pPr>
        <w:spacing w:after="12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Первая глава – «Ист</w:t>
      </w:r>
      <w:r w:rsidR="0042204B">
        <w:rPr>
          <w:rFonts w:ascii="Times New Roman" w:hAnsi="Times New Roman"/>
          <w:color w:val="181818"/>
          <w:sz w:val="24"/>
          <w:szCs w:val="24"/>
        </w:rPr>
        <w:t>ория создания романа «1984»</w:t>
      </w:r>
      <w:r>
        <w:rPr>
          <w:rFonts w:ascii="Times New Roman" w:hAnsi="Times New Roman"/>
          <w:color w:val="181818"/>
          <w:sz w:val="24"/>
          <w:szCs w:val="24"/>
        </w:rPr>
        <w:t xml:space="preserve"> - </w:t>
      </w:r>
      <w:r w:rsidR="0042204B">
        <w:rPr>
          <w:rFonts w:ascii="Times New Roman" w:hAnsi="Times New Roman"/>
          <w:color w:val="181818"/>
          <w:sz w:val="24"/>
          <w:szCs w:val="24"/>
        </w:rPr>
        <w:t>содержит краткую биографию Джорджа Оруэлла, характеристику художественного мира его центрального романа, в частности, ключевых идеологических понятий, выраженных новоязом, и общее описание последнего. Структура гла</w:t>
      </w:r>
      <w:r w:rsidR="00A375E8">
        <w:rPr>
          <w:rFonts w:ascii="Times New Roman" w:hAnsi="Times New Roman"/>
          <w:color w:val="181818"/>
          <w:sz w:val="24"/>
          <w:szCs w:val="24"/>
        </w:rPr>
        <w:t xml:space="preserve">вы представляется закономерной, поскольку убедительно </w:t>
      </w:r>
      <w:r w:rsidR="00A375E8">
        <w:rPr>
          <w:rFonts w:ascii="Times New Roman" w:hAnsi="Times New Roman"/>
          <w:color w:val="181818"/>
          <w:sz w:val="24"/>
          <w:szCs w:val="24"/>
        </w:rPr>
        <w:lastRenderedPageBreak/>
        <w:t xml:space="preserve">иллюстрирует то, каким образом Оруэлл в течение жизни приходит к своей концепции тоталитарного общества и, соответственно, к идее новояза.  </w:t>
      </w:r>
    </w:p>
    <w:p w:rsidR="00EC1328" w:rsidRDefault="00A375E8" w:rsidP="00912BC0">
      <w:pPr>
        <w:spacing w:after="12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Вторая глава – «Особенности функционирования окказионализмов в романе Дж. Оруэлла «1984»</w:t>
      </w:r>
      <w:r w:rsidR="00032A2B">
        <w:rPr>
          <w:rFonts w:ascii="Times New Roman" w:hAnsi="Times New Roman"/>
          <w:color w:val="181818"/>
          <w:sz w:val="24"/>
          <w:szCs w:val="24"/>
        </w:rPr>
        <w:t xml:space="preserve"> - открывается ясным и лаконичным теоретическим разделом, в достаточной, впрочем, мере освещающим проблему окказионализмов в современном переводоведении. Основная часть главы содержит</w:t>
      </w:r>
      <w:r w:rsidR="00B62956">
        <w:rPr>
          <w:rFonts w:ascii="Times New Roman" w:hAnsi="Times New Roman"/>
          <w:color w:val="181818"/>
          <w:sz w:val="24"/>
          <w:szCs w:val="24"/>
        </w:rPr>
        <w:t xml:space="preserve"> практически исчерпывающий анализ способов перевода оруэлловских окказионализмов в сравнении со способами образования этих единиц в англоязычном оригинале, классифицированными, в свою очередь, на основе деления, предложенного классиками отечественной переводоведческой школы В. Комиссаровым, </w:t>
      </w:r>
      <w:r w:rsidR="00912BC0">
        <w:rPr>
          <w:rFonts w:ascii="Times New Roman" w:hAnsi="Times New Roman"/>
          <w:color w:val="181818"/>
          <w:sz w:val="24"/>
          <w:szCs w:val="24"/>
        </w:rPr>
        <w:t xml:space="preserve">                      </w:t>
      </w:r>
      <w:r w:rsidR="00B62956">
        <w:rPr>
          <w:rFonts w:ascii="Times New Roman" w:hAnsi="Times New Roman"/>
          <w:color w:val="181818"/>
          <w:sz w:val="24"/>
          <w:szCs w:val="24"/>
        </w:rPr>
        <w:t xml:space="preserve">Я. Рецкером и В. Тарховым. </w:t>
      </w:r>
      <w:r w:rsidR="00912BC0">
        <w:rPr>
          <w:rFonts w:ascii="Times New Roman" w:hAnsi="Times New Roman"/>
          <w:color w:val="181818"/>
          <w:sz w:val="24"/>
          <w:szCs w:val="24"/>
        </w:rPr>
        <w:t xml:space="preserve">Проведенный Екатериной Юрьевной анализ примеров содержит ряд тонких и интересных замечаний, например, о единице «нарпит» (передающей оригинальное </w:t>
      </w:r>
      <w:r w:rsidR="00912BC0" w:rsidRPr="00912BC0">
        <w:rPr>
          <w:rFonts w:ascii="Times New Roman" w:hAnsi="Times New Roman"/>
          <w:i/>
          <w:color w:val="181818"/>
          <w:sz w:val="24"/>
          <w:szCs w:val="24"/>
          <w:lang w:val="es-ES"/>
        </w:rPr>
        <w:t>prolefeed</w:t>
      </w:r>
      <w:r w:rsidR="00912BC0" w:rsidRPr="00912BC0">
        <w:rPr>
          <w:rFonts w:ascii="Times New Roman" w:hAnsi="Times New Roman"/>
          <w:color w:val="181818"/>
          <w:sz w:val="24"/>
          <w:szCs w:val="24"/>
        </w:rPr>
        <w:t>)</w:t>
      </w:r>
      <w:r w:rsidR="00912BC0">
        <w:rPr>
          <w:rFonts w:ascii="Times New Roman" w:hAnsi="Times New Roman"/>
          <w:color w:val="181818"/>
          <w:sz w:val="24"/>
          <w:szCs w:val="24"/>
        </w:rPr>
        <w:t>, предложенной Виктором Голышевым, автором русского перевода, и являющейся, как справедливо отмечено в работе, советизмом. В связи с этим мы хотели бы отметить, что «нарпит» - не единственный советизм, вводимый Голышевым в русский вариант новояза.  Советизмами нам видятся также субстантивированное «политические» (</w:t>
      </w:r>
      <w:r w:rsidR="00912BC0" w:rsidRPr="00912BC0">
        <w:rPr>
          <w:rFonts w:ascii="Times New Roman" w:hAnsi="Times New Roman"/>
          <w:i/>
          <w:color w:val="181818"/>
          <w:sz w:val="24"/>
          <w:szCs w:val="24"/>
          <w:lang w:val="en-US"/>
        </w:rPr>
        <w:t>polits</w:t>
      </w:r>
      <w:r w:rsidR="00912BC0" w:rsidRPr="00912BC0">
        <w:rPr>
          <w:rFonts w:ascii="Times New Roman" w:hAnsi="Times New Roman"/>
          <w:color w:val="181818"/>
          <w:sz w:val="24"/>
          <w:szCs w:val="24"/>
        </w:rPr>
        <w:t xml:space="preserve">) </w:t>
      </w:r>
      <w:r w:rsidR="00912BC0">
        <w:rPr>
          <w:rFonts w:ascii="Times New Roman" w:hAnsi="Times New Roman"/>
          <w:color w:val="181818"/>
          <w:sz w:val="24"/>
          <w:szCs w:val="24"/>
        </w:rPr>
        <w:t>и образованное по принципу аналогии с «ГУЛаг», «Минлаг», «Особлаг» и прочими (и вызывающее у русскоязычного чита</w:t>
      </w:r>
      <w:r w:rsidR="00F146F5">
        <w:rPr>
          <w:rFonts w:ascii="Times New Roman" w:hAnsi="Times New Roman"/>
          <w:color w:val="181818"/>
          <w:sz w:val="24"/>
          <w:szCs w:val="24"/>
        </w:rPr>
        <w:t>теля соответствующие ассоциации) «радлаг» (</w:t>
      </w:r>
      <w:r w:rsidR="00F146F5" w:rsidRPr="00F146F5">
        <w:rPr>
          <w:rFonts w:ascii="Times New Roman" w:hAnsi="Times New Roman"/>
          <w:i/>
          <w:color w:val="181818"/>
          <w:sz w:val="24"/>
          <w:szCs w:val="24"/>
          <w:lang w:val="en-US"/>
        </w:rPr>
        <w:t>joycamp</w:t>
      </w:r>
      <w:r w:rsidR="00F146F5" w:rsidRPr="00F146F5">
        <w:rPr>
          <w:rFonts w:ascii="Times New Roman" w:hAnsi="Times New Roman"/>
          <w:color w:val="181818"/>
          <w:sz w:val="24"/>
          <w:szCs w:val="24"/>
        </w:rPr>
        <w:t xml:space="preserve">). </w:t>
      </w:r>
      <w:r w:rsidR="00F146F5">
        <w:rPr>
          <w:rFonts w:ascii="Times New Roman" w:hAnsi="Times New Roman"/>
          <w:color w:val="181818"/>
          <w:sz w:val="24"/>
          <w:szCs w:val="24"/>
        </w:rPr>
        <w:t>На основе этих наблюдений возникает вопрос к автору работы: можно ли говорить о том, чт</w:t>
      </w:r>
      <w:r w:rsidR="00A10D7C">
        <w:rPr>
          <w:rFonts w:ascii="Times New Roman" w:hAnsi="Times New Roman"/>
          <w:color w:val="181818"/>
          <w:sz w:val="24"/>
          <w:szCs w:val="24"/>
        </w:rPr>
        <w:t>о тенденция использования</w:t>
      </w:r>
      <w:r w:rsidR="00F146F5">
        <w:rPr>
          <w:rFonts w:ascii="Times New Roman" w:hAnsi="Times New Roman"/>
          <w:color w:val="181818"/>
          <w:sz w:val="24"/>
          <w:szCs w:val="24"/>
        </w:rPr>
        <w:t xml:space="preserve"> в русс</w:t>
      </w:r>
      <w:r w:rsidR="00A10D7C">
        <w:rPr>
          <w:rFonts w:ascii="Times New Roman" w:hAnsi="Times New Roman"/>
          <w:color w:val="181818"/>
          <w:sz w:val="24"/>
          <w:szCs w:val="24"/>
        </w:rPr>
        <w:t>ком</w:t>
      </w:r>
      <w:r w:rsidR="00F146F5">
        <w:rPr>
          <w:rFonts w:ascii="Times New Roman" w:hAnsi="Times New Roman"/>
          <w:color w:val="181818"/>
          <w:sz w:val="24"/>
          <w:szCs w:val="24"/>
        </w:rPr>
        <w:t xml:space="preserve"> переводе оруэлловских окказионализмов большего</w:t>
      </w:r>
      <w:r w:rsidR="00A10D7C">
        <w:rPr>
          <w:rFonts w:ascii="Times New Roman" w:hAnsi="Times New Roman"/>
          <w:color w:val="181818"/>
          <w:sz w:val="24"/>
          <w:szCs w:val="24"/>
        </w:rPr>
        <w:t xml:space="preserve">, по сравнению с испанским, </w:t>
      </w:r>
      <w:r w:rsidR="00F146F5">
        <w:rPr>
          <w:rFonts w:ascii="Times New Roman" w:hAnsi="Times New Roman"/>
          <w:color w:val="181818"/>
          <w:sz w:val="24"/>
          <w:szCs w:val="24"/>
        </w:rPr>
        <w:t>количества семантических неологизмов и функциональных аналогов имеет и экстралингвистические причины? Ведь послевоенная франкистская Испания, где работал Рафаэль Васкес-Самора, испанский переводчик «1984», не выработала особого языка диктатуры, в то время как советское общество, где как языковая личность и профессиональный переводчик сформировался Виктор Голышев, не только обла</w:t>
      </w:r>
      <w:r w:rsidR="00EC1328">
        <w:rPr>
          <w:rFonts w:ascii="Times New Roman" w:hAnsi="Times New Roman"/>
          <w:color w:val="181818"/>
          <w:sz w:val="24"/>
          <w:szCs w:val="24"/>
        </w:rPr>
        <w:t xml:space="preserve">дало собственным новоязом, но и отчасти подсказало его принципы Оруэллу (см. пассаж о </w:t>
      </w:r>
      <w:r w:rsidR="00EC1328" w:rsidRPr="00EC1328">
        <w:rPr>
          <w:rFonts w:ascii="Times New Roman" w:hAnsi="Times New Roman"/>
          <w:i/>
          <w:color w:val="181818"/>
          <w:sz w:val="24"/>
          <w:szCs w:val="24"/>
          <w:lang w:val="en-US"/>
        </w:rPr>
        <w:t>telescoped</w:t>
      </w:r>
      <w:r w:rsidR="00EC1328" w:rsidRPr="00EC1328">
        <w:rPr>
          <w:rFonts w:ascii="Times New Roman" w:hAnsi="Times New Roman"/>
          <w:i/>
          <w:color w:val="181818"/>
          <w:sz w:val="24"/>
          <w:szCs w:val="24"/>
        </w:rPr>
        <w:t xml:space="preserve"> </w:t>
      </w:r>
      <w:r w:rsidR="00EC1328" w:rsidRPr="00EC1328">
        <w:rPr>
          <w:rFonts w:ascii="Times New Roman" w:hAnsi="Times New Roman"/>
          <w:i/>
          <w:color w:val="181818"/>
          <w:sz w:val="24"/>
          <w:szCs w:val="24"/>
          <w:lang w:val="en-US"/>
        </w:rPr>
        <w:t>words</w:t>
      </w:r>
      <w:r w:rsidR="00EC1328" w:rsidRPr="00EC1328"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EC1328">
        <w:rPr>
          <w:rFonts w:ascii="Times New Roman" w:hAnsi="Times New Roman"/>
          <w:color w:val="181818"/>
          <w:sz w:val="24"/>
          <w:szCs w:val="24"/>
        </w:rPr>
        <w:t>–</w:t>
      </w:r>
      <w:r w:rsidR="00EC1328" w:rsidRPr="00EC1328"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EC1328">
        <w:rPr>
          <w:rFonts w:ascii="Times New Roman" w:hAnsi="Times New Roman"/>
          <w:color w:val="181818"/>
          <w:sz w:val="24"/>
          <w:szCs w:val="24"/>
        </w:rPr>
        <w:t xml:space="preserve">«словах-цепнях» в голышевском переводе – в Приложении к роману). </w:t>
      </w:r>
    </w:p>
    <w:p w:rsidR="00912BC0" w:rsidRPr="00EC1328" w:rsidRDefault="00EC1328" w:rsidP="00912BC0">
      <w:pPr>
        <w:spacing w:after="12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В третьей главе – «Анализ перевода Приложения к роману Дж. Оруэлла «1984» - мы вновь находим блестящий критический анализ испанского и русского перевода авторских окказионализмов – уже в соответствии с поставленной во введении задачей оценки адекватности передачи новояза как единой языковой системы</w:t>
      </w:r>
      <w:r w:rsidR="002B6404">
        <w:rPr>
          <w:rFonts w:ascii="Times New Roman" w:hAnsi="Times New Roman"/>
          <w:color w:val="181818"/>
          <w:sz w:val="24"/>
          <w:szCs w:val="24"/>
        </w:rPr>
        <w:t>. Возвращаясь к нашему вопросу по второй главе, мы должны заметить, что</w:t>
      </w: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2B6404">
        <w:rPr>
          <w:rFonts w:ascii="Times New Roman" w:hAnsi="Times New Roman"/>
          <w:color w:val="181818"/>
          <w:sz w:val="24"/>
          <w:szCs w:val="24"/>
        </w:rPr>
        <w:t>о</w:t>
      </w:r>
      <w:r>
        <w:rPr>
          <w:rFonts w:ascii="Times New Roman" w:hAnsi="Times New Roman"/>
          <w:color w:val="181818"/>
          <w:sz w:val="24"/>
          <w:szCs w:val="24"/>
        </w:rPr>
        <w:t xml:space="preserve">б экстралингвистеской природе переводческих решений </w:t>
      </w:r>
      <w:r w:rsidR="002B6404">
        <w:rPr>
          <w:rFonts w:ascii="Times New Roman" w:hAnsi="Times New Roman"/>
          <w:color w:val="181818"/>
          <w:sz w:val="24"/>
          <w:szCs w:val="24"/>
        </w:rPr>
        <w:t xml:space="preserve">Голышева </w:t>
      </w:r>
      <w:r>
        <w:rPr>
          <w:rFonts w:ascii="Times New Roman" w:hAnsi="Times New Roman"/>
          <w:color w:val="181818"/>
          <w:sz w:val="24"/>
          <w:szCs w:val="24"/>
        </w:rPr>
        <w:t>говорят и упо</w:t>
      </w:r>
      <w:r w:rsidR="002B6404">
        <w:rPr>
          <w:rFonts w:ascii="Times New Roman" w:hAnsi="Times New Roman"/>
          <w:color w:val="181818"/>
          <w:sz w:val="24"/>
          <w:szCs w:val="24"/>
        </w:rPr>
        <w:t xml:space="preserve">минаемые в третьей главе </w:t>
      </w:r>
      <w:r>
        <w:rPr>
          <w:rFonts w:ascii="Times New Roman" w:hAnsi="Times New Roman"/>
          <w:color w:val="181818"/>
          <w:sz w:val="24"/>
          <w:szCs w:val="24"/>
        </w:rPr>
        <w:t>советизированные клише типа</w:t>
      </w:r>
      <w:r w:rsidR="002B6404">
        <w:rPr>
          <w:rFonts w:ascii="Times New Roman" w:hAnsi="Times New Roman"/>
          <w:color w:val="181818"/>
          <w:sz w:val="24"/>
          <w:szCs w:val="24"/>
        </w:rPr>
        <w:t xml:space="preserve"> «наращивание ускорения темпов развития» (стр. 58), - что, по мнению автора работы, являет собой «ничем не обоснованное» нововведение (стр. 59) – «отоварить» и – с точки зрения </w:t>
      </w:r>
      <w:r w:rsidR="002B6404">
        <w:rPr>
          <w:rFonts w:ascii="Times New Roman" w:hAnsi="Times New Roman"/>
          <w:color w:val="181818"/>
          <w:sz w:val="24"/>
          <w:szCs w:val="24"/>
        </w:rPr>
        <w:lastRenderedPageBreak/>
        <w:t xml:space="preserve">морфологической структуры – «зарыбление». </w:t>
      </w: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2B6404">
        <w:rPr>
          <w:rFonts w:ascii="Times New Roman" w:hAnsi="Times New Roman"/>
          <w:color w:val="181818"/>
          <w:sz w:val="24"/>
          <w:szCs w:val="24"/>
        </w:rPr>
        <w:t xml:space="preserve">Так называемая деятельностная парадигма перевода, приходящая на смену лингвистической концепции (см., например, недавнюю монографию В. Иовенко «Национально-культурное мировидение в переводческом измерении»), как нам </w:t>
      </w:r>
      <w:r w:rsidR="007F7E9A">
        <w:rPr>
          <w:rFonts w:ascii="Times New Roman" w:hAnsi="Times New Roman"/>
          <w:color w:val="181818"/>
          <w:sz w:val="24"/>
          <w:szCs w:val="24"/>
        </w:rPr>
        <w:t>представляется</w:t>
      </w:r>
      <w:r w:rsidR="002B6404">
        <w:rPr>
          <w:rFonts w:ascii="Times New Roman" w:hAnsi="Times New Roman"/>
          <w:color w:val="181818"/>
          <w:sz w:val="24"/>
          <w:szCs w:val="24"/>
        </w:rPr>
        <w:t xml:space="preserve">, могла бы оказаться эффективной при сравнительном анализе русского и испанского перевода, хотя собственно лингвистические проблемы (например, </w:t>
      </w:r>
      <w:r w:rsidR="007F7E9A">
        <w:rPr>
          <w:rFonts w:ascii="Times New Roman" w:hAnsi="Times New Roman"/>
          <w:color w:val="181818"/>
          <w:sz w:val="24"/>
          <w:szCs w:val="24"/>
        </w:rPr>
        <w:t xml:space="preserve">легкость конверсии «глагол-существительное» в английском и испанском и невозможность ее в русском), разумеется, также проливают свет на стратегии В. Голышева и Р. Васкеса-Саморы в Приложении.  </w:t>
      </w:r>
    </w:p>
    <w:p w:rsidR="007F7E9A" w:rsidRDefault="00992B13" w:rsidP="00992B13">
      <w:pPr>
        <w:spacing w:after="12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В заключении подведены итоги исследования. </w:t>
      </w:r>
    </w:p>
    <w:p w:rsidR="004369D1" w:rsidRPr="004369D1" w:rsidRDefault="004369D1" w:rsidP="004369D1">
      <w:pPr>
        <w:spacing w:after="0" w:line="360" w:lineRule="auto"/>
        <w:ind w:firstLine="709"/>
        <w:jc w:val="both"/>
        <w:rPr>
          <w:rFonts w:ascii="Times New Roman" w:hAnsi="Times New Roman"/>
          <w:color w:val="171717"/>
          <w:sz w:val="24"/>
        </w:rPr>
      </w:pPr>
      <w:r w:rsidRPr="004369D1">
        <w:rPr>
          <w:rFonts w:ascii="Times New Roman" w:hAnsi="Times New Roman"/>
          <w:color w:val="171717"/>
          <w:sz w:val="24"/>
        </w:rPr>
        <w:t xml:space="preserve">По результатам проверки программой </w:t>
      </w:r>
      <w:r w:rsidRPr="004369D1">
        <w:rPr>
          <w:rFonts w:ascii="Times New Roman" w:hAnsi="Times New Roman"/>
          <w:i/>
          <w:color w:val="171717"/>
          <w:sz w:val="24"/>
          <w:lang w:val="en-US"/>
        </w:rPr>
        <w:t>SafeAssign</w:t>
      </w:r>
      <w:r w:rsidRPr="004369D1">
        <w:rPr>
          <w:rFonts w:ascii="Times New Roman" w:hAnsi="Times New Roman"/>
          <w:color w:val="171717"/>
          <w:sz w:val="24"/>
        </w:rPr>
        <w:t xml:space="preserve"> в системе </w:t>
      </w:r>
      <w:r w:rsidRPr="004369D1">
        <w:rPr>
          <w:rFonts w:ascii="Times New Roman" w:hAnsi="Times New Roman"/>
          <w:i/>
          <w:color w:val="171717"/>
          <w:sz w:val="24"/>
          <w:lang w:val="en-US"/>
        </w:rPr>
        <w:t>Blackboard</w:t>
      </w:r>
      <w:r w:rsidRPr="004369D1">
        <w:rPr>
          <w:rFonts w:ascii="Times New Roman" w:hAnsi="Times New Roman"/>
          <w:color w:val="171717"/>
          <w:sz w:val="24"/>
        </w:rPr>
        <w:t xml:space="preserve"> было выявлено, что процент совпадений составляет 18% и включает, в основном, распространенные клише. Данный процент не препятствует допуску выпускной квалификационной работы к защите.   </w:t>
      </w:r>
    </w:p>
    <w:p w:rsidR="00992B13" w:rsidRDefault="00992B13" w:rsidP="00992B13">
      <w:pPr>
        <w:spacing w:after="12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Мелк</w:t>
      </w:r>
      <w:r w:rsidR="004369D1">
        <w:rPr>
          <w:rFonts w:ascii="Times New Roman" w:hAnsi="Times New Roman"/>
          <w:color w:val="181818"/>
          <w:sz w:val="24"/>
          <w:szCs w:val="24"/>
        </w:rPr>
        <w:t>ие замечания (не вполне корректно оформление ряда подстраничных ссылок – стр. 8, 10, повторяющиеся на стр. 31 и 32 идентичные заключения абзацев</w:t>
      </w:r>
      <w:r>
        <w:rPr>
          <w:rFonts w:ascii="Times New Roman" w:hAnsi="Times New Roman"/>
          <w:color w:val="181818"/>
          <w:sz w:val="24"/>
          <w:szCs w:val="24"/>
        </w:rPr>
        <w:t>) нисколько не снижают высокой ценности представленной к рецензированию выпускной квалификационной работы. Речь идет</w:t>
      </w:r>
      <w:r w:rsidR="004369D1">
        <w:rPr>
          <w:rFonts w:ascii="Times New Roman" w:hAnsi="Times New Roman"/>
          <w:color w:val="181818"/>
          <w:sz w:val="24"/>
          <w:szCs w:val="24"/>
        </w:rPr>
        <w:t xml:space="preserve"> о самостоятельном, обстоятельном и</w:t>
      </w:r>
      <w:r>
        <w:rPr>
          <w:rFonts w:ascii="Times New Roman" w:hAnsi="Times New Roman"/>
          <w:color w:val="181818"/>
          <w:sz w:val="24"/>
          <w:szCs w:val="24"/>
        </w:rPr>
        <w:t xml:space="preserve"> увлекательно написанном научном труде, который, вне всяких сомнений, отвечает всем требованиям, предъявляем</w:t>
      </w:r>
      <w:r w:rsidR="004369D1">
        <w:rPr>
          <w:rFonts w:ascii="Times New Roman" w:hAnsi="Times New Roman"/>
          <w:color w:val="181818"/>
          <w:sz w:val="24"/>
          <w:szCs w:val="24"/>
        </w:rPr>
        <w:t xml:space="preserve">ым к сочинениям подобного рода и заслуживает положительной оценки. </w:t>
      </w:r>
    </w:p>
    <w:p w:rsidR="00992B13" w:rsidRDefault="00992B13" w:rsidP="00992B13">
      <w:pPr>
        <w:spacing w:after="12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992B13" w:rsidRPr="00452A45" w:rsidRDefault="00992B13" w:rsidP="00992B13">
      <w:pPr>
        <w:spacing w:after="12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К. ф. н., ст. преп. Д. И. Синицына</w:t>
      </w:r>
    </w:p>
    <w:p w:rsidR="00992B13" w:rsidRPr="00452A45" w:rsidRDefault="00992B13" w:rsidP="00992B13">
      <w:pPr>
        <w:spacing w:after="12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BD2892" w:rsidRDefault="00BD2892"/>
    <w:sectPr w:rsidR="00BD2892" w:rsidSect="00B80B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3"/>
    <w:rsid w:val="000304E6"/>
    <w:rsid w:val="00032A2B"/>
    <w:rsid w:val="000F49C0"/>
    <w:rsid w:val="000F742C"/>
    <w:rsid w:val="002B6404"/>
    <w:rsid w:val="0042204B"/>
    <w:rsid w:val="004369D1"/>
    <w:rsid w:val="007F7E9A"/>
    <w:rsid w:val="00912BC0"/>
    <w:rsid w:val="00992B13"/>
    <w:rsid w:val="00A10D7C"/>
    <w:rsid w:val="00A375E8"/>
    <w:rsid w:val="00B62956"/>
    <w:rsid w:val="00BD2892"/>
    <w:rsid w:val="00BF7336"/>
    <w:rsid w:val="00EC1328"/>
    <w:rsid w:val="00F1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00559B27-9D17-461E-BD1D-C5E92186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A7A7A"/>
      </a:dk1>
      <a:lt1>
        <a:sysClr val="window" lastClr="ECEC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Sinitsyna</dc:creator>
  <cp:keywords/>
  <dc:description/>
  <cp:lastModifiedBy>Daria Sinitsyna</cp:lastModifiedBy>
  <cp:revision>5</cp:revision>
  <dcterms:created xsi:type="dcterms:W3CDTF">2016-05-27T16:44:00Z</dcterms:created>
  <dcterms:modified xsi:type="dcterms:W3CDTF">2016-05-27T18:49:00Z</dcterms:modified>
</cp:coreProperties>
</file>