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bookmarkStart w:id="0" w:name="_GoBack"/>
      <w:bookmarkEnd w:id="0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AB703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ФАМИЛИЯ ИМЯ ОТЧЕСТВО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92679C" w:rsidRPr="009267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:rsidR="0092679C" w:rsidRPr="0092679C" w:rsidRDefault="00D07BB0" w:rsidP="0092679C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2679C" w:rsidRPr="009267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РАЗРАБОТКА ПРОГРАММЫ БРЕНДИНГА</w:t>
      </w:r>
    </w:p>
    <w:p w:rsidR="009E4993" w:rsidRPr="00360B60" w:rsidRDefault="0092679C" w:rsidP="0092679C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 w:rsidRPr="009267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АЛЕКСАНДРИНСКОГО ТЕАТРА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92679C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D07BB0" w:rsidRDefault="006C7DD3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Регулярное</w:t>
            </w:r>
            <w:r w:rsidR="007D4FFC" w:rsidRPr="00D07BB0">
              <w:rPr>
                <w:rFonts w:ascii="Times New Roman" w:hAnsi="Times New Roman" w:cs="Times New Roman"/>
                <w:sz w:val="24"/>
              </w:rPr>
              <w:t xml:space="preserve"> взаимодействие</w:t>
            </w:r>
          </w:p>
          <w:p w:rsidR="007D4FFC" w:rsidRPr="00BB4914" w:rsidRDefault="007D4FFC" w:rsidP="006C7DD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</w:t>
            </w:r>
            <w:r w:rsidR="006C7DD3">
              <w:rPr>
                <w:rFonts w:ascii="Times New Roman" w:hAnsi="Times New Roman" w:cs="Times New Roman"/>
                <w:sz w:val="24"/>
              </w:rPr>
              <w:t>рактически п</w:t>
            </w:r>
            <w:r w:rsidRPr="00D07BB0">
              <w:rPr>
                <w:rFonts w:ascii="Times New Roman" w:hAnsi="Times New Roman" w:cs="Times New Roman"/>
                <w:sz w:val="24"/>
              </w:rPr>
              <w:t xml:space="preserve">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92679C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07BB0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</w:t>
            </w:r>
            <w:r w:rsidR="006C7DD3">
              <w:rPr>
                <w:rFonts w:ascii="Times New Roman" w:hAnsi="Times New Roman" w:cs="Times New Roman"/>
                <w:sz w:val="24"/>
              </w:rPr>
              <w:t>очти п</w:t>
            </w:r>
            <w:r w:rsidRPr="00AB7031">
              <w:rPr>
                <w:rFonts w:ascii="Times New Roman" w:hAnsi="Times New Roman" w:cs="Times New Roman"/>
                <w:sz w:val="24"/>
              </w:rPr>
              <w:t>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AB7031" w:rsidRDefault="006C7DD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очти п</w:t>
            </w:r>
            <w:r w:rsidR="007D4FFC" w:rsidRPr="00AB7031">
              <w:rPr>
                <w:rFonts w:ascii="Times New Roman" w:hAnsi="Times New Roman" w:cs="Times New Roman"/>
                <w:sz w:val="24"/>
              </w:rPr>
              <w:t>олностью соответствует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6DC0" w:rsidRDefault="00F76DC0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679C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Прикладной проект, посвященный разработке программы </w:t>
      </w:r>
      <w:proofErr w:type="spellStart"/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брендинга</w:t>
      </w:r>
      <w:proofErr w:type="spellEnd"/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для Александринского театра</w:t>
      </w:r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вполне актуален, так как этот театр (помимо предоставления площадки в гастрольную аренду) никак не приближается к экономической эффективности. Цель и задачи работы соответствуют выбранному подходу </w:t>
      </w:r>
      <w:proofErr w:type="gramStart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–п</w:t>
      </w:r>
      <w:proofErr w:type="gramEnd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опробовать произвести </w:t>
      </w:r>
      <w:proofErr w:type="spellStart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брендинг</w:t>
      </w:r>
      <w:proofErr w:type="spellEnd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подобию одного из успешных театров. Поскольку все театры по сути дела являются неформальными НКО, то именно бренда ценность определяет приток спонсоров и вообще какой-либо </w:t>
      </w:r>
      <w:proofErr w:type="spellStart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фандрайзинг</w:t>
      </w:r>
      <w:proofErr w:type="spellEnd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включаю государственные гранты. Несмотря на то, что м</w:t>
      </w:r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олекулярная модель театрального товара</w:t>
      </w:r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</w:t>
      </w:r>
      <w:proofErr w:type="spellStart"/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Shostack</w:t>
      </w:r>
      <w:proofErr w:type="spellEnd"/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(с. 7) выглядит </w:t>
      </w:r>
      <w:r w:rsidR="00E626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несколько </w:t>
      </w:r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устаревшей</w:t>
      </w:r>
      <w:r w:rsidR="00E626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и, по сути, дескриптивной</w:t>
      </w:r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нам импонирует концепция автора, </w:t>
      </w:r>
      <w:proofErr w:type="spellStart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дистанцирующего</w:t>
      </w:r>
      <w:proofErr w:type="spellEnd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театральное представление от вульгарного представления услугой и предлагающего собственную</w:t>
      </w:r>
      <w:r w:rsidR="0092679C" w:rsidRPr="0092679C">
        <w:rPr>
          <w:lang w:val="ru-RU"/>
        </w:rPr>
        <w:t xml:space="preserve"> </w:t>
      </w:r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онцептуальная модель театрального товар</w:t>
      </w:r>
      <w:proofErr w:type="gramStart"/>
      <w:r w:rsidR="0092679C"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proofErr w:type="gramEnd"/>
      <w:r w:rsid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с. 8 ).</w:t>
      </w:r>
    </w:p>
    <w:p w:rsidR="00BB4914" w:rsidRPr="0092679C" w:rsidRDefault="0092679C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Автор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грамотно пользуется инструментами маркетингового анализа (в частности,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PEST</w:t>
      </w:r>
      <w:r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  <w:r w:rsidR="002A2B12" w:rsidRP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Текст позволяет судить, что автор довольно хорошо знаком и аналитически препарирует пространство мнений театральной и околотеатральной окружающей среды. К сожалению, завершающая первую главу попытка театрального </w:t>
      </w:r>
      <w:proofErr w:type="spellStart"/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бенчмаркинга</w:t>
      </w:r>
      <w:proofErr w:type="spellEnd"/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не получила должной проработки, хотя и находится явно на своем месте и соответствует исследовательской концепции автора. В конечном итоге первая глава – </w:t>
      </w:r>
      <w:r w:rsidR="002A2B12" w:rsidRP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ОСОБЕННОСТИ РАЗРАБОТКИ ПРОГРАММЫ БРЕНДИНГА НА РЫНКЕ ТЕАТРАЛЬНЫХ ТОВАРОВ</w:t>
      </w:r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дает представление о методологическом подходе и методической готовности </w:t>
      </w:r>
      <w:proofErr w:type="gramStart"/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автора</w:t>
      </w:r>
      <w:proofErr w:type="gramEnd"/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 разработке заявленной им программы. </w:t>
      </w:r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Вторая глава –</w:t>
      </w:r>
      <w:r w:rsidR="002A2B12" w:rsidRPr="002A2B12">
        <w:rPr>
          <w:lang w:val="ru-RU"/>
        </w:rPr>
        <w:t xml:space="preserve"> </w:t>
      </w:r>
      <w:r w:rsidR="002A2B12" w:rsidRP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РАЗРАБОТКА ПРЕДЛОЖЕНИЙ ПО ПРОГРАММЕ БРЕНДИНГА АЛЕКСАНДРИНСКОГО ТЕАТРА</w:t>
      </w:r>
      <w:r w:rsidR="002A2B1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–  предваряется добротной исторической ретроспективой, которая помогает понять перипетии роста и девальвации ценности имени этого театра как бренда. </w:t>
      </w:r>
      <w:r w:rsidR="00E626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Количественный анализ восприятия театрального товара и, соответственно, бренда театра в интерфейсе «театр»/«зритель» выглядит убедительно. В то же время, кода работы (2.3.2. – с.47-50) несколько скудновата. Кроме того, хотелось бы видеть больше иллюстративного материала. </w:t>
      </w:r>
      <w:r w:rsidR="00F76D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Форматирование работы не полностью соответствует стандартам ВШМ.</w:t>
      </w:r>
      <w:r w:rsidRPr="009267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926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626AD" w:rsidRPr="00E626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ЧЕРНЫШОВОЙ Виктории Валерьевны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E626AD" w:rsidRPr="00E626A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E626AD" w:rsidRPr="00E626AD" w:rsidRDefault="003F7D70" w:rsidP="00E626AD">
      <w:pPr>
        <w:spacing w:after="0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E626AD" w:rsidRPr="00E626AD">
        <w:rPr>
          <w:rFonts w:ascii="Times New Roman" w:eastAsia="Calibri" w:hAnsi="Times New Roman" w:cs="Times New Roman"/>
          <w:sz w:val="24"/>
          <w:szCs w:val="24"/>
          <w:lang w:val="ru-RU"/>
        </w:rPr>
        <w:t>профессор</w:t>
      </w:r>
      <w:proofErr w:type="gramStart"/>
      <w:r w:rsidR="00E626AD" w:rsidRPr="00E626A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  <w:r w:rsidR="00E626AD" w:rsidRPr="00E626AD">
        <w:rPr>
          <w:rFonts w:ascii="Calibri" w:eastAsia="Calibri" w:hAnsi="Calibri" w:cs="Times New Roman"/>
          <w:lang w:val="ru-RU"/>
        </w:rPr>
        <w:t xml:space="preserve"> </w:t>
      </w:r>
      <w:proofErr w:type="gramStart"/>
      <w:r w:rsidR="00E626AD" w:rsidRPr="00E626AD">
        <w:rPr>
          <w:rFonts w:ascii="Times New Roman" w:eastAsia="Calibri" w:hAnsi="Times New Roman" w:cs="Times New Roman"/>
          <w:lang w:val="ru-RU"/>
        </w:rPr>
        <w:t>к</w:t>
      </w:r>
      <w:proofErr w:type="gramEnd"/>
      <w:r w:rsidR="00E626AD" w:rsidRPr="00E626AD">
        <w:rPr>
          <w:rFonts w:ascii="Times New Roman" w:eastAsia="Calibri" w:hAnsi="Times New Roman" w:cs="Times New Roman"/>
          <w:lang w:val="ru-RU"/>
        </w:rPr>
        <w:t>аф. Маркетинга,</w:t>
      </w:r>
      <w:r w:rsidR="00E626AD" w:rsidRPr="00E626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д.э.н., профессор</w:t>
      </w:r>
      <w:r w:rsidR="00E626AD" w:rsidRPr="00E626AD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:rsidR="00E626AD" w:rsidRPr="00E626AD" w:rsidRDefault="00E626AD" w:rsidP="00E626AD">
      <w:pPr>
        <w:widowControl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Cs w:val="28"/>
          <w:lang w:val="ru-RU" w:eastAsia="ru-RU"/>
        </w:rPr>
        <w:drawing>
          <wp:inline distT="0" distB="0" distL="0" distR="0">
            <wp:extent cx="1147445" cy="560705"/>
            <wp:effectExtent l="0" t="0" r="0" b="0"/>
            <wp:docPr id="1" name="Рисунок 1" descr="C:\Users\Виталий\Pictures\Мои сканированные изображения\my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италий\Pictures\Мои сканированные изображения\mysig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D" w:rsidRPr="00E626AD" w:rsidRDefault="00E626AD" w:rsidP="00E626AD">
      <w:pPr>
        <w:widowControl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26AD">
        <w:rPr>
          <w:rFonts w:ascii="Times New Roman" w:eastAsia="Calibri" w:hAnsi="Times New Roman" w:cs="Times New Roman"/>
          <w:sz w:val="24"/>
          <w:szCs w:val="24"/>
          <w:lang w:val="ru-RU"/>
        </w:rPr>
        <w:t>(Черенков В.И.)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E626AD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26AD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fi-FI"/>
        </w:rPr>
        <w:t>Дата «27» мая 2016</w:t>
      </w:r>
    </w:p>
    <w:sectPr w:rsidR="003F7D70">
      <w:headerReference w:type="default" r:id="rId10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6E" w:rsidRDefault="006D796E">
      <w:pPr>
        <w:spacing w:after="0" w:line="240" w:lineRule="auto"/>
      </w:pPr>
      <w:r>
        <w:separator/>
      </w:r>
    </w:p>
  </w:endnote>
  <w:endnote w:type="continuationSeparator" w:id="0">
    <w:p w:rsidR="006D796E" w:rsidRDefault="006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6E" w:rsidRDefault="006D796E">
      <w:pPr>
        <w:spacing w:after="0" w:line="240" w:lineRule="auto"/>
      </w:pPr>
      <w:r>
        <w:separator/>
      </w:r>
    </w:p>
  </w:footnote>
  <w:footnote w:type="continuationSeparator" w:id="0">
    <w:p w:rsidR="006D796E" w:rsidRDefault="006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6D796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2B12"/>
    <w:rsid w:val="002A6AB7"/>
    <w:rsid w:val="003B01B7"/>
    <w:rsid w:val="003F7D70"/>
    <w:rsid w:val="00424200"/>
    <w:rsid w:val="00504912"/>
    <w:rsid w:val="00645A42"/>
    <w:rsid w:val="006C7DD3"/>
    <w:rsid w:val="006D796E"/>
    <w:rsid w:val="00775613"/>
    <w:rsid w:val="007B47D4"/>
    <w:rsid w:val="007C1AF2"/>
    <w:rsid w:val="007D4FFC"/>
    <w:rsid w:val="0080121F"/>
    <w:rsid w:val="00844779"/>
    <w:rsid w:val="00915D9E"/>
    <w:rsid w:val="0092679C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626AD"/>
    <w:rsid w:val="00F63E19"/>
    <w:rsid w:val="00F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AB18-68BD-4247-A08F-512190B6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Виталий</cp:lastModifiedBy>
  <cp:revision>4</cp:revision>
  <cp:lastPrinted>2015-06-01T09:02:00Z</cp:lastPrinted>
  <dcterms:created xsi:type="dcterms:W3CDTF">2016-05-29T15:28:00Z</dcterms:created>
  <dcterms:modified xsi:type="dcterms:W3CDTF">2016-05-29T16:29:00Z</dcterms:modified>
</cp:coreProperties>
</file>