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Cанкт-Петербургский Государственный университет 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Биологический факультет 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Кафедра цитологии и гистологии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Бурнусуз Александра Валентиновна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Разработка тест-системы для оценки эффективности эффероцитоза 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Выпускная квалификационная работа   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По направлению подготовки «Биология»  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  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Работа выполнена в лаборатории регуляции липидного обмена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Федерального государственного бюджетного научного учреждения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«Институт экспериментальной медицины»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Научный руководитель: к.б.н., Орлов С.В.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Санкт-Петербург 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2021 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Содержание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E">
          <w:pPr>
            <w:tabs>
              <w:tab w:val="right" w:pos="9354.330708661419"/>
            </w:tabs>
            <w:spacing w:before="8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ovqosep6c38l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_ovqosep6c38l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54.330708661419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fy4n76t988a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Цели и задачи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_fy4n76t988aj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54.330708661419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9vu3xia3vf6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Обзор литературы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_9vu3xia3vf61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nasjmfiim14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Липопротеины и транспорт липидов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_nasjmfiim14v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iph03q39vd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Механизмы атерогенеза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_iph03q39vd7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6nyop6yjnpg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Роль макрофагов в атерогенезе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_6nyop6yjnpg6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qct5cosm316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Факторы эффективности эффероцитоза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_qct5cosm316a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5pbd84yx2dy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Стратегии изучения и доступные модели исследования эффероцитоза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_5pbd84yx2dy1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354.330708661419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6o2hossvpuu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Материалы и методы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_6o2hossvpuu4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ju53l1h8zjsc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Работа с клеточной линией ТНР-1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_ju53l1h8zjsc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cx9ryxi23qu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Выделение мононуклеаров из периферической крови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_cx9ryxi23qu8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wfgxjjcwuhf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Работа с клеточной линией Jurkat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_wfgxjjcwuhf0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t1ai2zfp0k0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Оценка эффективности эффероцитоза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_t1ai2zfp0k0h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yxjhe45x4c4z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Проточная цитометрия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_yxjhe45x4c4z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o4dlae3j357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Использование перфузионных камер и конфокальная микроскопия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_o4dlae3j3570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syajp8pr3fu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Расчеты и статистическая обработка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_syajp8pr3fuk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kzjd72dzdsl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Выравнивание нуклеотидных последовательностей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_kzjd72dzdslt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354.330708661419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8rr8k2vodop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Результаты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_8rr8k2vodope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t71ixqu6of4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Опыт для подбора оптимальных условий индукции апоптоза клеток линии Jurkat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_t71ixqu6of49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xlo02p2hy9u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Детекция эффероцитоза с помощью метода проточной цитометрии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_xlo02p2hy9ue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3ue36i98p30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Опыт по оценке зависимости эффективности эффероцитоза от времени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_3ue36i98p30u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bid3pmv0rl6c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Серия опытов на ТНР-1 и РВМС с положительным и отрицательным контролем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_bid3pmv0rl6c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354.330708661419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8siaz32jzh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Сравнение промоторных областей генов mertk человека и мыши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_38siaz32jzhc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9354.330708661419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ut3cs260iw1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Обсуждение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_ut3cs260iw14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34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pos="9354.330708661419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hyperlink w:anchor="_to6fv7ns1po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Выводы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_to6fv7ns1po8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37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9354.330708661419"/>
            </w:tabs>
            <w:spacing w:after="80" w:before="200" w:line="240" w:lineRule="auto"/>
            <w:ind w:left="0" w:firstLine="0"/>
            <w:rPr>
              <w:rFonts w:ascii="Times New Roman" w:cs="Times New Roman" w:eastAsia="Times New Roman" w:hAnsi="Times New Roman"/>
              <w:sz w:val="26"/>
              <w:szCs w:val="26"/>
            </w:rPr>
          </w:pPr>
          <w:hyperlink w:anchor="_acsp28gk4w3o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Список литературы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6"/>
              <w:szCs w:val="26"/>
              <w:rtl w:val="0"/>
            </w:rPr>
            <w:tab/>
          </w:r>
          <w:r w:rsidDel="00000000" w:rsidR="00000000" w:rsidRPr="00000000">
            <w:fldChar w:fldCharType="begin"/>
            <w:instrText xml:space="preserve"> PAGEREF _acsp28gk4w3o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6"/>
              <w:szCs w:val="26"/>
              <w:rtl w:val="0"/>
            </w:rPr>
            <w:t xml:space="preserve">38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A">
          <w:pPr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rPr>
          <w:b w:val="1"/>
          <w:sz w:val="30"/>
          <w:szCs w:val="30"/>
        </w:rPr>
      </w:pPr>
      <w:bookmarkStart w:colFirst="0" w:colLast="0" w:name="_51tcdy2rrlo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rPr>
          <w:b w:val="1"/>
          <w:sz w:val="30"/>
          <w:szCs w:val="30"/>
        </w:rPr>
      </w:pPr>
      <w:bookmarkStart w:colFirst="0" w:colLast="0" w:name="_ovqosep6c38l" w:id="1"/>
      <w:bookmarkEnd w:id="1"/>
      <w:r w:rsidDel="00000000" w:rsidR="00000000" w:rsidRPr="00000000">
        <w:rPr>
          <w:b w:val="1"/>
          <w:sz w:val="30"/>
          <w:szCs w:val="30"/>
          <w:rtl w:val="0"/>
        </w:rPr>
        <w:t xml:space="preserve">Введение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Постиндустриальное общество, помимо технического прогресса, озабочено также вопросами долголетия и улучшения качества жизни. Некоторые заболевания удалось победить с помощью инновационных мер профилактики и терапии, тогда как другие вышли на авансцену угроз мирового здравоохранения.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На протяжении нескольких десятилетий заболевания сердечно-сосудистой системы лидируют в списке причин смерти людей по всему миру, и один из основных факторов риска их возникновения — это атеросклероз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Mozaffarian и др., 2014;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www.who.int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Frostegård, 2013). Это заболевание характеризуется хроническим воспалительным процессом, затрагивающим преимущественно внутреннюю оболочку, или интиму, крупных и средних артерий, в которой образуются т.н. атеросклеротические бляшки. При разрастании они могут затруднять кровоток, а при разрушении — вызвать тромбообразование, закупорку сосуда и смерть. На начальных стадиях в интиму сосуда проникают богатые холестерином липопротеины низкой плотности (LDL). Их накопление вызывает активацию провоспалительных сигнальных путей эндотелиоцитов и экспрессию ими факторов адгезии моноцитов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Linton и др., 2019)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Последние мигрируют в интиму и дифференцируются в макрофаги для захвата LDL с помощью фагоцитоза или рецептор-опосредованного эндоцитоза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Woollard и др., 2010)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Кроме того, под действием воспалительных факторов и макрофаги, и эндотелиоциты вырабатывают активные формы кислорода, которые окисляют или иным образом модифицируют LDL (mLDL). Такие липопротеины сами по себе становятся мощным провоспалительным фактором, что и знаменует «порочный круг» патогенеза атеросклероза (Linton и др., 2019).  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Несмотря на то, что почти любая клетка животного организма может синтезировать холестерин, ни одна из них не может полностью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его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катаболизировать, поэтому для клеток существует опасность избытка холестерина. Перенасыщение цистерн ЭПР макрофага эфирами холестерина блокирует работу рецептора нативных LDL (LDLR), однако такая отрицательная обратная связь не действует в случае рецепторов mLDL, что приводит к неконтролируемому поглощению последних и гибели макрофага в результате стресса ЭПР и нарушения фолдинга белков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Rogacev и др., 2012;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Tabas и Ron., 2011)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В норме макрофаги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захватывают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погибшие клетки животного организма в ходе процесса, называемого эффероцитозом. При атеросклерозе эффективность эффероцитоза критически важна: погибшие апоптозом макрофаги, составляющие ядро атеросклеротической бляшки, могут претерпеть вторичный некроз, который определяет нестабильность бляшки и риск осложнений заболевания вплоть до летального исхода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Shao и др., 2012)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Но данные, полученные при изучении более поздних атеросклеротических поражений, свидетельствуют о неэффективности в них эффероцитоза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Schrijvers и др., 2005)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>
          <w:b w:val="1"/>
          <w:sz w:val="30"/>
          <w:szCs w:val="30"/>
        </w:rPr>
      </w:pPr>
      <w:bookmarkStart w:colFirst="0" w:colLast="0" w:name="_fy4n76t988aj" w:id="2"/>
      <w:bookmarkEnd w:id="2"/>
      <w:r w:rsidDel="00000000" w:rsidR="00000000" w:rsidRPr="00000000">
        <w:rPr>
          <w:b w:val="1"/>
          <w:sz w:val="30"/>
          <w:szCs w:val="30"/>
          <w:rtl w:val="0"/>
        </w:rPr>
        <w:t xml:space="preserve">Цели и задачи</w:t>
      </w:r>
    </w:p>
    <w:p w:rsidR="00000000" w:rsidDel="00000000" w:rsidP="00000000" w:rsidRDefault="00000000" w:rsidRPr="00000000" w14:paraId="00000044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Перечисленные факты определили цель настоящего исследования — разработку физиологически релевантной тест-системы, позволяющей исследовать эффективность эффероцитоза и его механизмы.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достижения этой цели необходимо было выполнить следующие задачи: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Подобрать оптимальные условия для индукции апоптоза клеток Т-лимфобластного лейкоза человека (Jurkat) с помощью камптотецина;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Подобрать оптимальное время контакта фагоцитов, полученных из клеток моноцитарного лейкоза человека (ТНР-1) и моноцитов периферической крови, и апоптотических клеток;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Детектировать эффероцитоз с помощью метода проточной цитометрии;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Выбрать метод культивирования для наблюдения за живыми клетками и визуализации эффероцитоза с помощью конфокальной микроскопии;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Провести количественный анализ эффективности эффероцитоза. </w:t>
      </w:r>
    </w:p>
    <w:p w:rsidR="00000000" w:rsidDel="00000000" w:rsidP="00000000" w:rsidRDefault="00000000" w:rsidRPr="00000000" w14:paraId="0000004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rPr>
          <w:b w:val="1"/>
          <w:sz w:val="30"/>
          <w:szCs w:val="30"/>
        </w:rPr>
      </w:pPr>
      <w:bookmarkStart w:colFirst="0" w:colLast="0" w:name="_9vu3xia3vf61" w:id="3"/>
      <w:bookmarkEnd w:id="3"/>
      <w:r w:rsidDel="00000000" w:rsidR="00000000" w:rsidRPr="00000000">
        <w:rPr>
          <w:b w:val="1"/>
          <w:sz w:val="30"/>
          <w:szCs w:val="30"/>
          <w:rtl w:val="0"/>
        </w:rPr>
        <w:t xml:space="preserve">Обзор литературы</w:t>
      </w:r>
    </w:p>
    <w:p w:rsidR="00000000" w:rsidDel="00000000" w:rsidP="00000000" w:rsidRDefault="00000000" w:rsidRPr="00000000" w14:paraId="00000050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rPr/>
      </w:pPr>
      <w:bookmarkStart w:colFirst="0" w:colLast="0" w:name="_nasjmfiim14v" w:id="4"/>
      <w:bookmarkEnd w:id="4"/>
      <w:r w:rsidDel="00000000" w:rsidR="00000000" w:rsidRPr="00000000">
        <w:rPr>
          <w:rtl w:val="0"/>
        </w:rPr>
        <w:t xml:space="preserve">Липопротеины и транспорт липидов</w:t>
      </w:r>
    </w:p>
    <w:p w:rsidR="00000000" w:rsidDel="00000000" w:rsidP="00000000" w:rsidRDefault="00000000" w:rsidRPr="00000000" w14:paraId="0000005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Для понимания патогенеза атеросклероза уместно привести некоторые факты о биохимии липидного обмена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Климов и др., 1999;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Fielding и др., 2008)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5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Чтобы транспортировать липиды из тканей, где они усваиваются и синтезируются, в места их использования, запасания и деградации, необходимо перевести их в растворимую форму, а также предотвратить их агрегирование. Поэтому в кровотоке и лимфотоке липиды ассоциированы со специализированными белками, аполипопротеинами (аро), и вместе они составляют липопротеины. Эти растворимые комплексы включают несколько белков, композиция которых меняется в зависимости от степени загруженности липидами. По плотности липопротеины подразделяют на пять основных групп (Климов и др., 1999):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хиломикроны — самые крупные (75-1200 нм) и легкие из липопротеинов, которые переносят экзогенные липиды, т.е. всасываемые в тонком кишечнике: триглицериды (85%), холестерин и его эфиры. Их белковая часть представлена ароВ-48, 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оболочка состоит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из фосфолипидов. Энтероциты секретируют хиломикроны в лимфу, после чего последние попадают в кровоток и направляются в печень;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липопротеины очень низкой плотности (ЛПОНП, VLDL) — они также, как и хиломикроны, богаты триглицеридами, но синтезируются в печени и переносят эндогенные липиды к тканям через кровоток. Их основной белковый компонент — ароВ-100, а диаметр варьирует от 30 до 80 нм;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липопротеины промежуточной (ЛППП, IDL) и низкой плотности (ЛПНП, LDL) — образуются при гидролизе триглицеридов в составе VLDL в процессе переноса липидов в ткани, или их прямого транспорта. Все эти липопротеины содержат ароВ-100, но доля липидного компонента падает при переходе от VLDL к LDL. Последние характеризуются диаметром от 18 до 25 нм, а также преобладанием холестерина и его эфиров над триглицеридами. LDL поглощаются в печени посредством связывания с соответствующим рецептором (LDLR). Этот же рецептор участвует в эндоцитозе LDL такими клетками, как адипоциты, эндотелиоциты, макрофаги и др., однако перенасыщение холестерином и его эфирами подавляет этот процесс;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липопротеины высокой плотности (ЛПВП, HDL) — самые мелкие (8-11 нм) и тяжелые из липопротеинов. Участвуют в обратном транспорте липидов: от тканей к печени и органам, где синтезируются стероиды. Они переносят преимущественно фосфолипиды, холестерин и его эфиры. Содержат одну или несколько копий ароА-1 и ароА-2 (Fielding и др., 2008). </w:t>
      </w:r>
    </w:p>
    <w:p w:rsidR="00000000" w:rsidDel="00000000" w:rsidP="00000000" w:rsidRDefault="00000000" w:rsidRPr="00000000" w14:paraId="00000058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</w:rPr>
        <w:drawing>
          <wp:inline distB="114300" distT="114300" distL="114300" distR="114300">
            <wp:extent cx="5878013" cy="4604443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013" cy="4604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Рис. 1. Схема транспорта экзогенных и эндогенных липидов, осуществляемого с помощью различных типов липопротеинов (Fielding и др., 2008).</w:t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Здесь стоит подробнее остановиться на обратном транспорте и гомеостазе холестерина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Этот липид — важный компонент клеточных мембран, особенно липидных рафтов, участвующих в клеточном сигналинге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Он определяет вязкость мембран и жизнеспособность клетки, поэтому его доля в мембране контролируется так же жестко, как рН крови. Внутри клетки холестерин не существует в свободном виде и хранится в виде эфиров в ЭПР. Повышенное содержание этих эфиров может привести к нарушению фолдинга белков и соответствующему стресс-ответу ЭПР (unfolded protein response, UPR) и апоптозу клетки (Civelek и др., 2009). Но если почти любой тип клеток в организме животного может синтезировать холестерин, то полностью его катаболизировать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они не могут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Поэтому, если условия, оптимальные для существования клетки, не могут быть достигнуты благодаря балансу реакций этерификации холестерина и гидролиза его эфиров, “лишний” холестерин должен быть удален из нее с помощью переноса на HDL, с которыми он отправляется в печень или органы синтеза стероидов (Климов и др., 1999). Этот процесс — часть обратного транспорта холестерина,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и его нарушения могут поставить под угрозу жизнеспособность клетки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Fielding и Fielding, 2008;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Linton и др.,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rPr/>
      </w:pPr>
      <w:bookmarkStart w:colFirst="0" w:colLast="0" w:name="_iph03q39vd7" w:id="5"/>
      <w:bookmarkEnd w:id="5"/>
      <w:r w:rsidDel="00000000" w:rsidR="00000000" w:rsidRPr="00000000">
        <w:rPr>
          <w:rtl w:val="0"/>
        </w:rPr>
        <w:t xml:space="preserve">Механизмы атерогенеза</w:t>
      </w:r>
    </w:p>
    <w:p w:rsidR="00000000" w:rsidDel="00000000" w:rsidP="00000000" w:rsidRDefault="00000000" w:rsidRPr="00000000" w14:paraId="0000005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Атеросклероз — хронический воспалительный процесс, затрагивающий преимущественно интиму крупных и средних артерий, в которой образуются т.н. атеросклеротические бляшки. Со временем они могут разрастаться и затруднять кровоток или разрушаться, вызывая тромбообразование и закупорку сосуда (Frostegård, 2013). Классической и по-прежнему справедливой считается холестериновая модель атеросклероза, разработанная в 1912 году Н.Н. Аничковым и С.С. Халатовым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(Парфенова и др., 2016).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В ходе длительных экспериментов они кормили кроликов раствором чистого холестерина в масле, который вводили в желудок через канюлю, и в результате у животных развивались симптомы атеросклероза, характерные и для человека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(Anitchkow и Chalatow, 1913).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Через год, в 1913, Н.Н. Аничков сформулировал инфильтрационную теорию атеросклероза, согласно которой образование бляшек связано с проникновением (инфильтрацией) липидов из плазмы крови во внутреннюю оболочку сосудов, или интиму, и последующим разрастанием соединительной ткани — склерозом.  В то время науке не было известно о липопротеинах, которые впервые выделил в 1929 году М. Машбеф (M. Mashboeuf) (Климов и др., 1999), поэтому, если бы Н.Н Аничков и С.С. Халатов проводили опыты на мышах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или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крысах, они не смогли бы совершить открытие, получившее позже объяснение на молекулярно-генетическом уровне. В естественных условиях кролики — исключительно травоядные животные, почти не получающие из пищи холестерин по сравнению со всеядными животными или хищниками, поэтому их метаболизм направлен на аккумуляцию максимального количества экзогенного холестерина и синтез собственного. В связи с этим титр HDL в их плазме, участвующих, в обратном транспорте холестерина, существенно ниже, чем, например, у всеядных мышей и крыс. Это и объясняет стремительно развивающуюся у кроликов гиперхолестеринемию и атеросклероз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s.str.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в условиях резкого повышения содержания холестерина в пище. Ответом на критику нефизиологичности модели стали результаты японского ученого Е. Ватанабе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Kondo и Watanabe, 1975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Watanabe, 1980)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который путем скрещивания вывел линию кроликов с наследственной гиперхолестеринемией, т. е. развивающейся без специфической диеты. Это приводит к тяжелому атеросклерозу уже в первые месяцы их жизни, а уже в пятимесячном возрасте эти животные могут страдать ишемической болезнью сердца. Кролики линии Ватанабе, как оказалось, несут мутацию в гене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ldlR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(Kondo и Watanabe, 1975; Watanabe, 1980). Получение линии мышей с нокаутом этого же гена, а также гена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apoE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позволило изучать механизмы развития атеросклероза и на этом популярном модельном объекте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Pendse и др., 2009;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Lee и др., 2017)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Благодаря высокому титру HDL в плазме, без нокаута по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ldlR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или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apoE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одна лишь диета с повышенным содержанием холестерина вызывает у этих животных гиперхолестеринемию, но не атеросклероз. Человек же занимает промежуточное положение между травоядными кроликами и мышами, которые, по-видимому, имеют более развитую систему приспособлений к всеядности, чем относительно недавно перешедшие к ней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Homo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Из всех описанных выше фактов следует, что атерогенными свойствами обладают LDL (и VLDL), а антиатерогенными — HDL. Но в чем же основа этих эмпирически установленных закономерностей?</w:t>
      </w:r>
    </w:p>
    <w:p w:rsidR="00000000" w:rsidDel="00000000" w:rsidP="00000000" w:rsidRDefault="00000000" w:rsidRPr="00000000" w14:paraId="0000006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Со времен Н.Н. Аничкова удалось установить, что при атеросклерозе холестерин и другие липиды проникают в интиму в виде LDL и VLDL (Linton и др., 2019). Их задержка в стенке сосудов связана с высоким сродством apoB-100,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входяще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го в их состав, к гепарансульфату внеклеточного матрикса, но причина, по которой эти липопротеины начинают активно инфильтрировать стенки сосудов, не вполне ясна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Benedetti и др., 2020)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Известно, что риску развития атеросклеротических поражений особенно подвержены участки разветвления крупных артерий (Davies,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1995)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Одно из возможных объяснений этому —  гемодинамические условия в этих участках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Gimbrone и др., 2000; Zeng и др., 2009)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Турбулентный поток крови напрямую и посредством активации некоторых сигнальных путей приводит к нарушению функционирования эндотелия, что считается предпосылкой для запуска механизма атерогенеза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Gimbrone и др., 2013). Согласно этой гипотезе, снижение барьерных свойств эндотелия приводит к попаданию в интиму ароВ-содержащих липопротеинов, в частности LDL, и последующему их накоплению, но у нее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есть несколько слабых мест.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Во-первых, на данный момент нет убедительных свидетельств значительного уровня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апоптоза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эндотелиоцитов при раннем атеросклерозе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in vivo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Williams и Tabas, 1995)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а LDL, диаметр которых превышает 20 нм, не способны пройти между эндотелиоцитами без разрыва межклеточных контактов. Этот процесс происходит при гибели клеток или при митозе, темпы которого в эндотелии исчезающе низки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Cancel и Tarbell, 2011)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Во-вторых, в норме и при патологии, большая часть липопротеинов, как LDL, так и HDL, попадает в интиму путем трансцитоза (Benedetti и др., 2020;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Jang и др., 2020)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и нарушение этого процесса не объясняе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тся одним механическим стрессом. </w:t>
      </w:r>
    </w:p>
    <w:p w:rsidR="00000000" w:rsidDel="00000000" w:rsidP="00000000" w:rsidRDefault="00000000" w:rsidRPr="00000000" w14:paraId="0000006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Согласно гипотезе окислительных модификаций,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также не лишенной белых пятен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(Steimberg, 2002 и 1989), главными виновниками атеросклероза считаются модифицированные LDL (mLDL), в частности окисленные (oxLDL). Из-за сложностей в изучении модификаций липопротеинов при самом трансцитозе и короткого периода полувыведения mLDL (Jang и др., 2020),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на данный момент невозможно однозначно утверждать, являются ли mLDL инициаторами атерогенеза или основная их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масса образуется уже после попадания в интиму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Окисленные LDL (oxLDL) все же удается обнар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ужить в крови пациентов, страдающих сердечно-сосудистыми заболеваниями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Ehara и др., 2001)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Также окисленные липиды могут попадать в организм с пищей и впоследствии входить в состав LDL (Jahreis и др., 2020). Риску окислительных модификаций липидов подвержены курящие люди, из-за чего курение традиционно считают фактором атерогенеза (Morrow и др., 1995;                 Kunitomo и др., 2009).</w:t>
      </w:r>
    </w:p>
    <w:p w:rsidR="00000000" w:rsidDel="00000000" w:rsidP="00000000" w:rsidRDefault="00000000" w:rsidRPr="00000000" w14:paraId="0000006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Недавний обзор данных о трансцеллюлярном транспорте нативных и модифицированных LDL акцентирует внимание на возможной роли кавеол в развитии атеросклероза (Benedetti и др., 2020). Эти мембранные домены содержат рецепторы для трансцитоза веществ, поступающих из кровотока, а также сигнализации об изменениях гемодинамических условий для перестройки метаболизма эндотелиоцитов. Возможно, небольшие количества циркулирующих mLDL, в частности окисленных (oxLDL), связываются с рецептором  LOX-1 на поверхности эндотелиоцитов, а затем проникают в интиму путем трансцитоза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Adachi и Tsujimoto, 2006)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и запускают процесс атерогенеза. Интересно, что экспрессия как LOX-1 (Sawamura и др., 1997; Li и Mehta, 2000), так и белка кавеолина 1 (Cav-1) (Benedetti и др., 2020), возрастает при повышении содержания oxLDL в среде. Известно, что Cav-1 взаимодействует со многими рецепторами и ферментами, в частности TLR-4 (Jiang и др., 2014) и NO-синтаза эндотелиоцитов (eNOS) (Shaul, 2003; Williams и Lisanti, 2004), функционирование которых определяет баланс воспалительных реакций. Кроме того, связывание mLDL и LOX-1 приводит к: i) активации MAPK-каскада и повышенной экспрессии хемокинов и молекул адгезии моноцитов, таких как VCAM-1, ICAM-1, и P-selectin ; ii) снижению активности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еNOS и  супероксиддисмутазы (SOD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), а также выработке активных форм кислорода (АФК); iii) активации сигнального пути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NF-κВ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в эндотелиоцитах, синтезу провоспалительных факторов и повышенной экспрессии LOX-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что приводит к амплификации перечисленных сигнальных каскадов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(Yurdagul и др., 2013; Kattoor и др.,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2019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Как с модифицированными, так и с нативными LDL может связываться ассоциированный с кавеолами рецептор CD36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Calvo и др., 1998)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; также LDL конкурируют с HDL за связывание с рецептором SR-B1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Armstrong и др., 2015;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Rohrer и др., 2009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). Дальнейшее окисление нативных LDL, связанное с выработкой АФК активированными эндотелиоцитами способствует пополнению пула oxLDL и усугублению воспаления (Ungvari и др., 2006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Cominacini и др., 2000)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</w:rPr>
        <w:drawing>
          <wp:inline distB="114300" distT="114300" distL="114300" distR="114300">
            <wp:extent cx="5940000" cy="27051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Рис. 2. На схеме представлены начальные стадии развития атеросклероза: от инфильтрации LDL в интиму артерий до формирования атеросклеротической бляшки, ядро которой составляют пенистые клетки (Linton и др., 2019). </w:t>
      </w:r>
    </w:p>
    <w:p w:rsidR="00000000" w:rsidDel="00000000" w:rsidP="00000000" w:rsidRDefault="00000000" w:rsidRPr="00000000" w14:paraId="0000006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Это и есть “порочный круг” воспалительных реакций, в который оказываются вовлечены и макрофаги, дифференцировавшиеся из рекрутированных в интиму моно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цитов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6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/>
      </w:pPr>
      <w:bookmarkStart w:colFirst="0" w:colLast="0" w:name="_6nyop6yjnpg6" w:id="6"/>
      <w:bookmarkEnd w:id="6"/>
      <w:r w:rsidDel="00000000" w:rsidR="00000000" w:rsidRPr="00000000">
        <w:rPr>
          <w:rtl w:val="0"/>
        </w:rPr>
        <w:t xml:space="preserve">Роль макрофагов в атерогенезе</w:t>
      </w:r>
    </w:p>
    <w:p w:rsidR="00000000" w:rsidDel="00000000" w:rsidP="00000000" w:rsidRDefault="00000000" w:rsidRPr="00000000" w14:paraId="0000006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Основная действующая концепция в иммунологии предполагает разделение макрофагов, или их поляризацию, на две группы. Первая — провоспалительные макрофаги типа М1, активированные по “классическому” пути и экспрессирующие такие цитокины, как IL-1β, TNFα. Эти макрофаги дифференцируют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in vitro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 помощью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LPS, IFN-γ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и другими способами, вызывающими активацию TLR-опосредованных сигнальных путей, включая сигналы от Т-хелперов 1 типа (Тh1) (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6"/>
          <w:szCs w:val="26"/>
          <w:highlight w:val="white"/>
          <w:rtl w:val="0"/>
        </w:rPr>
        <w:t xml:space="preserve">Murray и др, 2014)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Они способны к респираторному взрыву и призваны элиминировать патоген, в том числе призывая в очаг инфекции другие моноциты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Woollard и др., 2010)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Другие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— “альтернативно” активированные, или М2 — имеют противоположную роль в реакциях иммунитета, участвуя в репарации, невозможной без разрешения воспаления. Для этого они секретируют такие факторы, как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IL-10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антагонист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рецептора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IL-1, а также фагоцитируют погибшие в ходе воспаления клетки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поврежденные молекулы внеклеточного матрикса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Поляризация таких макрофагов происходит под действием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IL-4 и IL-13, которые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in vivo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синтезируют Th2 (Orecchioni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и др.., 2019)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6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0000" cy="52705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11" l="0" r="0" t="11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27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3. Схема поляризации макрофагов на М1 и М2 (Bohlson и др., 2014 с изменениями)</w:t>
      </w:r>
    </w:p>
    <w:p w:rsidR="00000000" w:rsidDel="00000000" w:rsidP="00000000" w:rsidRDefault="00000000" w:rsidRPr="00000000" w14:paraId="0000006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Очевидно, что разделение на М1 и М2 не отражает всей картины иммунных реакций, так как: i) последние исследования подтверждают разделение М2 как минимум на четыре подтипа (М2а, M2b, М2с, M2d); ii) резидентные макрофаги имеют специфический для данного типа ткани набор функций и цитокинов; iii) некоторые подтипы макрофагов обнаруживают только у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мыши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(Мох) или только у человека (M4, MHb)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Murray и др, 2014)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Но даже бинарная классификация на М1 и М2 дает представление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 роли макрофаго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в атерогенезе. Многие факторы, действующие в ходе развития атеросклероза, могут влиять на фенотип макрофагов, их способность к участию в обратном транспорте холестерина, синтезе HDL, миграции 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поглощению апоптотических телец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Bobryshev и др., 2016)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Макрофаг способен захватывать apoB-содержащие липопротеины с помощью соответствующего рецептора LDLR. В захвате mLDL участвуют такие рецепторы, как CD36 (или скэвенджер-рецептор класса В тип 3, SR-B3), LOX-1, CD68 и S</w:t>
      </w:r>
      <w:commentRangeStart w:id="0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R-A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(Steimberg, 2002). Скопления LDL интернализуются посредством фагоцитоза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Lee и др., 2017)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Накопление эфиров холестерина в ЭПР или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свободного холестерина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в клеточной мембране подавляет захват LDL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через SREBP-опосредованное угнетение экспрессии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LDLR (Benedetti и др., 2020). Однако в случае mLDL подобная отрицательная обратная связь не функционирует, в связи с чем ЭПР макрофагов переполняется холестерином (Rogacev и др., 2012). Это приводит к стрессу ЭПР, ответу на мисфолдинг белков (unfolded protein response, UPR) и апоптозу (Tabas и Ron., 2011; Civelek и др., 2009).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Нагрузку на ЭПР в норме снижает выведение холестерина в составе HDL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Ye и др., 2011; Oram и др., 2003)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Но, по-видимому, макрофаги с разным фенотипом осуществляют обратный транспорт холестерина, а также миграцию из тканей в печень, где он метаболизируется, с разной эффективностью (da Rocha и др., 2014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Макрофаги, не успевшие завершить апоптоз в результате превалирования захвата нативных и модифицированных LDL над обратным транспортом холестерина, превращаются в пенистые клетки из-за переполнения ЭПР эфирами холестерина, заметного на гистологических препаратах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поптотические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и пенистые клетки поглощаются профессиональными фагоцитами, такими как макрофаги и дендритные клетки, а также неиммунными клетками, например эндотелиоцитами 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гладкомышечными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клетками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Sihombing и др., 2021)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в ходе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процесса, именуемого эффероцитозом. Он не менее важен в патогенезе атеросклероза, чем выведение холестерина из макрофагов в составе HDL, и оба этих процесса способствуют снижению воспаления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Linton, и др., 2016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). Своевременное удаление из интимы пенистых и апоптотических клеток может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предотвратить их вторичный некроз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и утечку про-воспалительных и токсичных молекул из очага поражения, а также разрушение бляшки, образование тромба и перекрытие кровотока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(Shao и др., 2012;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Tabas, 2010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Однако гистологические исследования поздних атеросклеротических бляшек, полученных как от людей, так и от мышей, свидетельствует о том, что процесс эффероцитоза в них неэффективен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(Schrijvers и др., 2005).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7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rPr/>
      </w:pPr>
      <w:bookmarkStart w:colFirst="0" w:colLast="0" w:name="_qct5cosm316a" w:id="7"/>
      <w:bookmarkEnd w:id="7"/>
      <w:r w:rsidDel="00000000" w:rsidR="00000000" w:rsidRPr="00000000">
        <w:rPr>
          <w:rtl w:val="0"/>
        </w:rPr>
        <w:t xml:space="preserve">Факторы эффективности эффероцитоза</w:t>
      </w:r>
    </w:p>
    <w:p w:rsidR="00000000" w:rsidDel="00000000" w:rsidP="00000000" w:rsidRDefault="00000000" w:rsidRPr="00000000" w14:paraId="0000007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Возникает закономерный вопрос, какие же факторы определяют эффективность эффероцитоза. Этот процесс состоит из следующих стадий: 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обнаружение апоптотической клетки с помощью сигналов “find me” (лизофосфатидилхолин)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Ravichandran, 2010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);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рецепция лигандов “eat me” на мембране погибшей клетки, непосредственная или через ассоциированные с ними мостиковые лиганды (фосфатидилсерин + MFGE8, окисленные фосфолипиды). Со стороны макрофагов в рецепции участвуют CD36 и Mer тирозин киназа (MERTK) с ко-рецептором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α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5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Wu и др., 2006)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Инициация эффероцитоза;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активация Rac1, перестройка цитоскелета и поглощение апоптотической клетки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Wu и др., 2006)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;</w:t>
      </w:r>
    </w:p>
    <w:p w:rsidR="00000000" w:rsidDel="00000000" w:rsidP="00000000" w:rsidRDefault="00000000" w:rsidRPr="00000000" w14:paraId="00000077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Однако каскады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провоспалительных реакций нарушают сигнальный путь эффероцитоза (рис. 4). Известно, что oxLDL конкурируют с апоптотическими клетками за связывание с CD36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Gillotte-Taylor и др., 2001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а рецепция oxLDL с помощью TLR4, приводящая к активации соответствующих сигнальных каскадов и выработке провоспалительных цитокинов, снижает экспрессию как CD36, так и MERTK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Miller и др.., 2003)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79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582738" cy="3505084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738" cy="3505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4. Провоспалительное окружение, создающееся в участке атеросклеротического поражения сосуда, приводит к нарушению эффероцитоза и риску вторичного некроза апоптотических клеток. Это может повлечь за собой утечку еще большего количества провоспалительных факторов из бляшки, а также ее разрушение (Linton, 2016 с изменениями).</w:t>
      </w:r>
    </w:p>
    <w:p w:rsidR="00000000" w:rsidDel="00000000" w:rsidP="00000000" w:rsidRDefault="00000000" w:rsidRPr="00000000" w14:paraId="0000007C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ind w:left="0" w:firstLine="0"/>
        <w:rPr>
          <w:rFonts w:ascii="Times New Roman" w:cs="Times New Roman" w:eastAsia="Times New Roman" w:hAnsi="Times New Roman"/>
          <w:strike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Таким образом, макрофаги, оказавшиеся в среде с провоспалительными факторами, поляризуются по классическому пути (в М1), характеризуются сниженной способностью к синтезу HDL и эффероцитозу, но способны к респираторному взрыву, окислению продолжающих поступать в интиму LDL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благодаря активности миелопероксидазы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(Benedetti и др., 2020)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и поддержанию воспаления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(da Rocha и др., 2014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В связи с этим перспективным подходом для терапии атеросклероза считается применение не просто анти-воспалительных факторов, но тех из них, что положительно влияют на эффероцитоз, снижая риск осложнений, связанных с разрушением бляшек (Linton, 2016). Для оценки влияния этих факторов необходима физиологически релевантная и удобная в применении тест-система.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rPr/>
      </w:pPr>
      <w:bookmarkStart w:colFirst="0" w:colLast="0" w:name="_5pbd84yx2dy1" w:id="8"/>
      <w:bookmarkEnd w:id="8"/>
      <w:r w:rsidDel="00000000" w:rsidR="00000000" w:rsidRPr="00000000">
        <w:rPr>
          <w:rtl w:val="0"/>
        </w:rPr>
        <w:t xml:space="preserve">Стратегии изучения и доступные модели исследования эффероцитоза</w:t>
      </w:r>
    </w:p>
    <w:p w:rsidR="00000000" w:rsidDel="00000000" w:rsidP="00000000" w:rsidRDefault="00000000" w:rsidRPr="00000000" w14:paraId="0000008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Большинство фактов об атеросклерозе были установлены благодаря лабораторным животным. Выше уже были упомянуты основные животные модели атеросклероза: кролики на токсичной холестериновой диете и мыши, нокаутные по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ldlR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ароЕ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— но в силу того, что соотношение LDL/HDL этих модельных объектов отличается от человеческого, результаты проведенных на них исследований имеют ограниченный потенциал для экстраполяции, особенно при переходе от феноменологии к сигналингу (Lee и др., 2017). Некоторые крупные животные, метаболизм липидов и которых больше похож на человеческий, например, приматы, требуют бóльших материальных затрат и существенно дольше развиваются. В связи с этим многие современные исследования механизмов атеросклероза проводят на первичной культуре макрофагов, дифференцированных из моноцитарной фракции мононуклеаров периферической крови человека (peripheral blood mononuclear cells, PBMC) или вторичных культурах, таких как THP-1.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Что касается моделей самого эффероцитоза, в качестве “мишеней” чаще всего используют i) латексные или силиконовые бусы, конъюгированные с сигналами “eat me”, например, фосфатидилсерином (PS); ii) подвергнутую апоптозу культуру человеческих клеток, изначально отличающихся по морфологии и поверхностным маркерам от макрофагов, например лимфоциты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или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нейтрофилы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Evans, A. L., 2017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</w:t>
      </w:r>
      <w:commentRangeStart w:id="1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Основные минусы первой модели — это высокая цена при низкой воспроизводимости результатов по мере истечения срока годности, если PS был конъюгирован с бусами производителем (Evans, A. L., 2017; И.В. Кудрявцев, личное сообщение), а в случае, когда исследователь должен провести эту процедуру самостоятельно, к упомянутым недостаткам добавляется времязатратность. 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Учитывая все изложенные факты, в ходе данного исследования была использована модель эффероцитоза, состоящая из: i) первичной или вторичной культуры человеческих макрофгов и ii) умерщвленной культуры фенотипически отличных от них человеческих клеток линии Jurkat.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rPr>
          <w:b w:val="1"/>
          <w:sz w:val="30"/>
          <w:szCs w:val="30"/>
        </w:rPr>
      </w:pPr>
      <w:bookmarkStart w:colFirst="0" w:colLast="0" w:name="_6o2hossvpuu4" w:id="9"/>
      <w:bookmarkEnd w:id="9"/>
      <w:r w:rsidDel="00000000" w:rsidR="00000000" w:rsidRPr="00000000">
        <w:rPr>
          <w:b w:val="1"/>
          <w:sz w:val="30"/>
          <w:szCs w:val="30"/>
          <w:rtl w:val="0"/>
        </w:rPr>
        <w:t xml:space="preserve">Материалы и методы</w:t>
      </w:r>
    </w:p>
    <w:p w:rsidR="00000000" w:rsidDel="00000000" w:rsidP="00000000" w:rsidRDefault="00000000" w:rsidRPr="00000000" w14:paraId="00000085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rPr/>
      </w:pPr>
      <w:bookmarkStart w:colFirst="0" w:colLast="0" w:name="_ju53l1h8zjsc" w:id="10"/>
      <w:bookmarkEnd w:id="10"/>
      <w:r w:rsidDel="00000000" w:rsidR="00000000" w:rsidRPr="00000000">
        <w:rPr>
          <w:rtl w:val="0"/>
        </w:rPr>
        <w:t xml:space="preserve">Работа с клеточной линией ТНР-1</w:t>
      </w:r>
    </w:p>
    <w:p w:rsidR="00000000" w:rsidDel="00000000" w:rsidP="00000000" w:rsidRDefault="00000000" w:rsidRPr="00000000" w14:paraId="0000008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Клетки линии THP-1 (острый моноцитарный лейкоз, АТСС TIB-202) (рис. 5) получены из коллекции клеточных культур Института Цитологии Российской Академии Наук. Для культивирования была использована в среда RPMI-1640 с глютамином (“Capricorn Scientific”), 10% эмбриональной телячьей сывороткой (“Capricorn Scientific”) и 50 мкг/мл антибиотика гентамицина (“Биолот”) (далее — полная среда). В течение первых 24 часов после посева на круглые покровные стекла для перфузионной камеры (для микроскопии) или 24-луночные культуральные планшеты (для цитометрии) ТНР-1 были дифференцированы в макрофаги добавлением 50 нг/мл форбол12-миристат13- ацетата (PMA, Biomol, кат. номер P8139) согласно известной процедуре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Schwende и др., 1996)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После этого клетки содержали в полной среде еще 3-4 дня до эксперимента.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0000" cy="20447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5. Увеличение 40х. А) Клетки линии ТНР-1 без стимуляции форболовым эфиром (РМА), модель моноцитов. В) ТНР-1 приобретают вид макрофагов после воздействия 50 нг/мл РМА, модель макрофагов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Gogulamudi и др., 2015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).</w:t>
      </w:r>
    </w:p>
    <w:p w:rsidR="00000000" w:rsidDel="00000000" w:rsidP="00000000" w:rsidRDefault="00000000" w:rsidRPr="00000000" w14:paraId="0000008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rPr/>
      </w:pPr>
      <w:bookmarkStart w:colFirst="0" w:colLast="0" w:name="_cx9ryxi23qu8" w:id="11"/>
      <w:bookmarkEnd w:id="11"/>
      <w:r w:rsidDel="00000000" w:rsidR="00000000" w:rsidRPr="00000000">
        <w:rPr>
          <w:rtl w:val="0"/>
        </w:rPr>
        <w:t xml:space="preserve">Выделение мононуклеаров из периферической крови</w:t>
      </w:r>
    </w:p>
    <w:p w:rsidR="00000000" w:rsidDel="00000000" w:rsidP="00000000" w:rsidRDefault="00000000" w:rsidRPr="00000000" w14:paraId="0000008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выделения мононуклеарных лейкоцитов использовали кровь, взятую из локтевой вены совершеннолетних доноров и собранную в пробирки с этилендиаминтетрауксусной кислотой (ЭДТА) в качестве антикоагулянта (Научно-исследовательская лаборатория “Explana” и Отделение вспомогательных репродуктивных технологий, НИИ акушерства, гинекологии и репродуктологии им. Д.О. Отта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Сбор крови был одобрен этическим комитетом ФГБНУ “Институт экспериментальной медицины”. Разделение фракций гранулоцитов и мононуклеарных лейкоцитов проводили с помощью осаждения клеток в градиенте плотности фиколла (Фиколл-1077 Diacoll, “Диаэм”) не более чем через 2 часа после взятия. Все описанные ниже процедуры были проведены при комнатной температуре. Цельную кровь разбавляли раствором Версена (“Биолот”) в соотношении 1:1. Затем 30 мл разбавленной крови медленно наслаивали на 15 мл фиколла, предварительно налитого в пробирки на 50 мл, и центрифугировали в горизонтальном роторе при 400g в течение 40 минут. Мононуклеарные лейкоциты, находящиеся в интерфазном слое на границе плазмы и фиколла (рис. 6), отбирали в пробирки на 15 мл помощью серологической пипетки и трижды отмывали в растворе Хенкса (“Биолот”) при 300g 10-15 минут. Количество выделенных мононуклеаров было подсчитано в камере Горяева. Исходя из того, что моноциты составляют лишь 15-20% от всей фракции мононуклеарных лейкоцитов, но обладают более выраженной способностью к адгезии, чем лимфоциты, а также для снижения контаминации эритроцитами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Bennett and Breit,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1994)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в течение 2 часов после выделения проводили процедуру адгезии на покровные стекла для перфузионной камеры (для микроскопии) или 24-луночные культуральные планшеты (для цитометрии) с последующей сменой среды.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Дифференцировку макрофагов из первичных мононуклеаров проводили в полной среде с добавлением макрофагального колониестимулирующего фактора (m-CSF, ) в конечной концентрации 50 нг/мл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Zizzo и др., 20120)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8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0000" cy="42037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6. Классический протокол выделения мононуклеаров периферической крови, дополненный двухчасовой процедурой адгезии и последующей сменой среды. Модификация протокола призвана снизить контаминацию моноцитов другими типами клеток крови (авторская иллюстрация). </w:t>
      </w:r>
    </w:p>
    <w:p w:rsidR="00000000" w:rsidDel="00000000" w:rsidP="00000000" w:rsidRDefault="00000000" w:rsidRPr="00000000" w14:paraId="0000009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rPr/>
      </w:pPr>
      <w:bookmarkStart w:colFirst="0" w:colLast="0" w:name="_wfgxjjcwuhf0" w:id="12"/>
      <w:bookmarkEnd w:id="12"/>
      <w:r w:rsidDel="00000000" w:rsidR="00000000" w:rsidRPr="00000000">
        <w:rPr>
          <w:rtl w:val="0"/>
        </w:rPr>
        <w:t xml:space="preserve">Работа с клеточной линией Jurkat</w:t>
      </w:r>
    </w:p>
    <w:p w:rsidR="00000000" w:rsidDel="00000000" w:rsidP="00000000" w:rsidRDefault="00000000" w:rsidRPr="00000000" w14:paraId="0000009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Клетки линии Jurkat (Т-лимфобластный лейкоз, АТСС TIB-152) (рис. 7) были получены из коллекции клеточных культур Института Цитологии Российской Академии Наук.</w:t>
      </w:r>
    </w:p>
    <w:p w:rsidR="00000000" w:rsidDel="00000000" w:rsidP="00000000" w:rsidRDefault="00000000" w:rsidRPr="00000000" w14:paraId="0000009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эксперименте для подбора оптимальных условий индукции апоптоза (см. раздел “Результаты”) эти клетки на протяжении суток содержали в полной среде со следующими концентрациями камптотецина : 2, 4, 6 и 10 мкМ, а контрольная группа — в полной среде с 10 мкМ диметилсульфоксида (DMSO, Sigma), поскольку именно в нем был растворен сухой камптотецин (Sigma). Этот растительный алкалоид, ингибитор топоизомеразы I млекопитающих, с высокой вероятностью обеспечивает гибель клеток апоптозом, а не некрозом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Morris и Geller., 1996</w:t>
      </w:r>
      <w:r w:rsidDel="00000000" w:rsidR="00000000" w:rsidRPr="00000000">
        <w:rPr>
          <w:rFonts w:ascii="Roboto" w:cs="Roboto" w:eastAsia="Roboto" w:hAnsi="Roboto"/>
          <w:color w:val="212121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последующей детекции и оценки эффективности эффероцитоза з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а сутки до эксперимента с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успензия клеток в фосфатном буфере (PBS) с концентрацией ~1*10⁷ кл./мл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была обработана 10 мкМ раствором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карбоксифлуоресцеина диацетат сукцинимидил эфира (CFSE на диметилсульфоксиде (DMSO), Sigma). Окрашивание было проведено в течение 10-15 минут при 37 ºС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После этого клетки были ресуспендированы в равном объеме FBS для связывания излишков CFSE и отмыты в десятикратном объеме PBS, 300g, 7 минут. Затем часть Jurkat на сутки была помещена в полную среду, содержащую 10 мкМ раствор камптотецина, поэтому обработанные им клетки служили “мишенями” для эффероцитоза (здесь и далее — “опыт”). Другую часть клеток линии Jurkat в течение суток содержали в полной среде с 10 мкМ DMSO. Впоследствии суспензию этих клеток добавляли к ТНР-1 или первичным макрофагам из контрольной группы (здесь и далее — “контроль”).</w:t>
      </w:r>
    </w:p>
    <w:p w:rsidR="00000000" w:rsidDel="00000000" w:rsidP="00000000" w:rsidRDefault="00000000" w:rsidRPr="00000000" w14:paraId="0000009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3848100" cy="2562225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7. Увеличение 100х. Скопления клеток линии Jurkat в суспензионной культуре. (www.collecteurs.com)</w:t>
      </w:r>
    </w:p>
    <w:p w:rsidR="00000000" w:rsidDel="00000000" w:rsidP="00000000" w:rsidRDefault="00000000" w:rsidRPr="00000000" w14:paraId="0000009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rPr/>
      </w:pPr>
      <w:bookmarkStart w:colFirst="0" w:colLast="0" w:name="_t1ai2zfp0k0h" w:id="13"/>
      <w:bookmarkEnd w:id="13"/>
      <w:r w:rsidDel="00000000" w:rsidR="00000000" w:rsidRPr="00000000">
        <w:rPr>
          <w:rtl w:val="0"/>
        </w:rPr>
        <w:t xml:space="preserve">Оценка эффективности</w:t>
      </w:r>
      <w:r w:rsidDel="00000000" w:rsidR="00000000" w:rsidRPr="00000000">
        <w:rPr>
          <w:rtl w:val="0"/>
        </w:rPr>
        <w:t xml:space="preserve"> эффероцитоз</w:t>
      </w:r>
      <w:r w:rsidDel="00000000" w:rsidR="00000000" w:rsidRPr="00000000">
        <w:rPr>
          <w:rtl w:val="0"/>
        </w:rPr>
        <w:t xml:space="preserve">а</w:t>
      </w:r>
    </w:p>
    <w:p w:rsidR="00000000" w:rsidDel="00000000" w:rsidP="00000000" w:rsidRDefault="00000000" w:rsidRPr="00000000" w14:paraId="0000009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Через 3-4 дня после посева макрофагов на стекла или планшеты проводили эксперимент по изучению эффероцитоза. Ядра фагоцитов были предварительно окрашены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4,6-диамидино-2-фенилиндолом (DAPI, Thermo Fisher Scientific) в течение примерно 10 минут в термостате при 37 ºС и 5% СО₂ (2 мкг DAPI / 1 мл бессывороточной RPMI). Затем DAPI трижды отмывали PBS.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Разнесенное в пространстве и времени мечение макрофагов и клеток-мишеней позволяло исключить детекцию двух типов флуорофоров в пределах одной клетки во всех случаях, кроме поглощения одного типа клеток другим.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После этого 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обавляли суспензию клеток линии Jurkat 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бессывороточной RPMI-1640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подготовленных по описанному выше протоколу. При этом соотношение макрофаги:Jurkat было примерно 1:10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Taruc и др., 2018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Evans, A. L., 2017); количество ТНР-моноцитов или мононуклеарных лейкоцитов подсчитывали в камере Горяева перед адгезией, а количество клеток линии Jurkat — за день до эксперимента перед окрашиванием CFSE и обработкой DMSO/камптотецином. На время контакта клетки находились в термостате при 37 ºС и 5% СО₂. Затем суспензия клеток Jurkat, не вступивших в контакт с макрофагами, была отобрана,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оставшиеся на стекле или планшете клетки были трижды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отмыты РВS для удаления не интернализованных “мишеней”.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Дальнейшая пробоподготовка зависела от используемого метода (см. соотв. подразделы).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На базе этой схемы эксперимента было проведено несколько серий опытов (см. раздел “Результаты и обсуждение”): i) для детекции эффероцитоза с помощью метода проточной цитометрии; ii) для оценки зависимости эффективности эффероцитоза от времени контакта (микроскопия); iii) для оценки воздействия на эффероцитоз азида натрия и агониста LXR (микроскопия). В последней серии опытов для подавления фагоцитарной активности в течение 45 минут до эксперимента макрофаги содержали в полной среде с 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мМ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раствором азида натрия (NaN₃, Sigma), ингибитора окислительного фосфорилирования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Cifarelli и др., 1979)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В качестве предполагаемого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стимулятора эффероцитоза использовали агонист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liver x receptor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(LXR) TO901317 (Biomol, кат. номер GR-232). По данным из литературы, активация LXR стимулирует экспрессию Mer тирозин-киназы (MERTK), участвующей в рецепции апоптотических клеток, посредством связывания гетеродимера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LXR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/RXR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с респонсивным элементом в промоторе ее гена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A-Gonzalez и др., 2009)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. В течение двух суток макрофаги содержали в среде с 4 мкМ TO901317 и 0,5% FBS.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rPr/>
      </w:pPr>
      <w:bookmarkStart w:colFirst="0" w:colLast="0" w:name="_yxjhe45x4c4z" w:id="14"/>
      <w:bookmarkEnd w:id="14"/>
      <w:r w:rsidDel="00000000" w:rsidR="00000000" w:rsidRPr="00000000">
        <w:rPr>
          <w:rtl w:val="0"/>
        </w:rPr>
        <w:t xml:space="preserve">Проточная цитометрия </w:t>
      </w:r>
    </w:p>
    <w:p w:rsidR="00000000" w:rsidDel="00000000" w:rsidP="00000000" w:rsidRDefault="00000000" w:rsidRPr="00000000" w14:paraId="0000009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цитофлуроиметрического анализа использовали проточный цитометр Navios™ (Beckman Coulter) и соответствующее ему ПО от производителя.</w:t>
      </w:r>
    </w:p>
    <w:p w:rsidR="00000000" w:rsidDel="00000000" w:rsidP="00000000" w:rsidRDefault="00000000" w:rsidRPr="00000000" w14:paraId="0000009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целях одновременного сохранения поверхностных белковых маркеров и расщепления молекул адгезии макрофагов к субстрату использовали реактив аккутаза (Accutase™, Thermo Fisher Scientific), представляющий собой смесь протеолитических и коллагенолитических ферментов с максимальной активностью при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37 ºС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Для отделения макрофагов от поверхности 24-луночного планшета использовали примерно 100 мкл аккутазы на лунку, из которой предварительно была отобрана среда. </w:t>
      </w:r>
    </w:p>
    <w:p w:rsidR="00000000" w:rsidDel="00000000" w:rsidP="00000000" w:rsidRDefault="00000000" w:rsidRPr="00000000" w14:paraId="0000009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эксперименте для подбора оптимальных условий индукции апоптоза использовали флуоресцентные красители DAPI  (1 мкг/мл) и Yo-pro™ (Thermo Fisher Scientific). Гейтирование проводили в несколько этапов. Сначала по морфологии выделяли гейт с предположительно живыми клетками (forward scatter/side scatter, FS/SS), дублеты отделяли по времени пролета (time-of-flight, TOF). Затем по флуоресценции в канале DAPI и Yo-pro выделяли: некротические клетки, т.е. с поврежденной мембраной, проницаемые для DAPI и Yo-pro (double-positive); апоптотические — только для Yo-pro (DAPI-Yo-pro+); живые клетки, не проницаемые ни для одного из этих красителей данной концентрации DAPI (double-negative).</w:t>
      </w:r>
    </w:p>
    <w:p w:rsidR="00000000" w:rsidDel="00000000" w:rsidP="00000000" w:rsidRDefault="00000000" w:rsidRPr="00000000" w14:paraId="0000009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детекции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эффероцитоза для мечения клеток линии Jurkat использовали CFSE, а для мечения макрофагов, дифференцированных из мононуклеаров периферической крови — мышиные антитела к CD68, гликопротеину из семейства LAMP, маркеру макрофагов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Holness и др., 1993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), и вторичные антитела, конъюгированные с флуорофором AlexaFluor 648. Первичные макрофаги контактировали с клетками линии Jurkat, обработанными камптотецином (опыт) или DMSO (контроль), на протяжении 30, 60 и 90 минут. Тактика гейтирования: макрофаги, не осуществившие процесс эффероцитоза положительны только по CD68 (CD68/Alexa648+CFSE-), не поглощенные Jurkat — только по CFSE (CD68/Alexa648-CFSE+), а макрофаги, фагоцитировавшие Jurkat — по обоим маркерам (double-positive). </w:t>
      </w:r>
    </w:p>
    <w:p w:rsidR="00000000" w:rsidDel="00000000" w:rsidP="00000000" w:rsidRDefault="00000000" w:rsidRPr="00000000" w14:paraId="000000A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rPr/>
      </w:pPr>
      <w:bookmarkStart w:colFirst="0" w:colLast="0" w:name="_o4dlae3j3570" w:id="15"/>
      <w:bookmarkEnd w:id="15"/>
      <w:r w:rsidDel="00000000" w:rsidR="00000000" w:rsidRPr="00000000">
        <w:rPr>
          <w:rtl w:val="0"/>
        </w:rPr>
        <w:t xml:space="preserve">Использование перфузионных камер и конфокальная микроскопия</w:t>
      </w:r>
    </w:p>
    <w:p w:rsidR="00000000" w:rsidDel="00000000" w:rsidP="00000000" w:rsidRDefault="00000000" w:rsidRPr="00000000" w14:paraId="000000A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Визуализацию процесса эффероцитоза проводили с помощью инвертированного конфокального микроскопа Leica SP5 на базе инвертированного микроскопа Leica DMI-6000 (Ресурсный центр “Развитие молекулярных и клеточных технологий” Научного парка Санкт-Петербургского государственного университета, РЦ “РМиКТ”). Для лучшего разрешения на использованном микроскопе установлены иммерсионные объективы начиная с увеличения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х, обладающие большей числовой апертурой и, следовательно, меньшей глубиной поля, чем аналогичные неиммерсионные объективы. Необходимо было подобрать субстрат, позволяющий культивировать и прижизненно визуализировать клетки, но значительно более тонкий, чем дно культурального планшета. Оптимальное решение этой задачи — перфузионные камеры, в которых клетки выращивают на покровном стекле стандартной толщины (0,17 мм), зафиксированном в специальном устройстве, позволяющем поддерживать несколько режимов инкубации клеток, как краткосрочной, так и продолжительной, а также введение (перфузию) необходимых реагентов. В экспериментах использовали перфузионные камеры </w:t>
      </w:r>
      <w:r w:rsidDel="00000000" w:rsidR="00000000" w:rsidRPr="00000000">
        <w:rPr>
          <w:rFonts w:ascii="Gungsuh" w:cs="Gungsuh" w:eastAsia="Gungsuh" w:hAnsi="Gungsuh"/>
          <w:sz w:val="26"/>
          <w:szCs w:val="26"/>
          <w:rtl w:val="0"/>
        </w:rPr>
        <w:t xml:space="preserve">POCmini-2 Cell Cultivation System (“PeCon GmbH”), любезно предоставленные РЦ “РМиКТ”. Пре-культивация проходила в 6-луночных культуральных планшетах, в которые были помещены стекла для перфузионной камеры (∅ 30 мм). После контакта клеток и отмывки (см. подраздел “Оценка эффективности эффероцитоза”) камера была собрана в соответствии с инструкцией производителя (рис.8).</w:t>
      </w:r>
    </w:p>
    <w:p w:rsidR="00000000" w:rsidDel="00000000" w:rsidP="00000000" w:rsidRDefault="00000000" w:rsidRPr="00000000" w14:paraId="000000A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3381375" cy="390525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90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3152775" cy="2809875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8 Инструкция по сборке перфузионной камеры + перфузионная камера в режиме открытого культивирования (“PeCon GmbH”)</w:t>
      </w:r>
    </w:p>
    <w:p w:rsidR="00000000" w:rsidDel="00000000" w:rsidP="00000000" w:rsidRDefault="00000000" w:rsidRPr="00000000" w14:paraId="000000A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целях детекции нескольких флуорофоров был использован апохроматический объектив с глицериновой иммерсией и 20-кратным увеличением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20x HCX PL APO CS) с числовой апертурой 0.70, предназначенный для работы в диапазоне от 480 нм до 700 нм.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белого света был автоматически настроен контраст Номарского. О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бработку первичных данных проводили в программе Fiji (открытое ПО), изображения анализировали вручную 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 использованием встроенной функции analize particles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Клетка считалась поглощенной, если находилась в одной плоскости с ядром макрофага и в пределах его цитоплазмы (рис. 9)</w:t>
      </w:r>
    </w:p>
    <w:p w:rsidR="00000000" w:rsidDel="00000000" w:rsidP="00000000" w:rsidRDefault="00000000" w:rsidRPr="00000000" w14:paraId="000000A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0000" cy="43815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9. Критерии для подсчета интернализованных Jurkat. Слева меченая CFSE клетка линии Jurkat находится в одной плоскости с ядром макрофага, но за пределами его цитоплазмы, поэтому не считается интернализованной. По центру и справа показаны примеры событий, считавшихся эффероцитозом. Общее увеличение 200х, контраст Номарского (DIC).</w:t>
      </w:r>
    </w:p>
    <w:p w:rsidR="00000000" w:rsidDel="00000000" w:rsidP="00000000" w:rsidRDefault="00000000" w:rsidRPr="00000000" w14:paraId="000000A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2"/>
        <w:rPr/>
      </w:pPr>
      <w:bookmarkStart w:colFirst="0" w:colLast="0" w:name="_syajp8pr3fuk" w:id="16"/>
      <w:bookmarkEnd w:id="16"/>
      <w:r w:rsidDel="00000000" w:rsidR="00000000" w:rsidRPr="00000000">
        <w:rPr>
          <w:rtl w:val="0"/>
        </w:rPr>
        <w:t xml:space="preserve">Расчеты и статистическая обработка </w:t>
      </w:r>
    </w:p>
    <w:p w:rsidR="00000000" w:rsidDel="00000000" w:rsidP="00000000" w:rsidRDefault="00000000" w:rsidRPr="00000000" w14:paraId="000000A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оценки эффективности эффероцитоза с помощью конфокальной микроскопии для каждого отснятого поля зрения был рассчитан эффероцитарный индекс (ЭИ) — мера общей эффероцитарной способности, среднее количество интернализованных апоптотических клеток на макрофаг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Evans, A. L., 2017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Для расчетов была использована следующая формула:</w:t>
      </w:r>
    </w:p>
    <w:p w:rsidR="00000000" w:rsidDel="00000000" w:rsidP="00000000" w:rsidRDefault="00000000" w:rsidRPr="00000000" w14:paraId="000000A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rPr>
          <w:rFonts w:ascii="Times New Roman" w:cs="Times New Roman" w:eastAsia="Times New Roman" w:hAnsi="Times New Roman"/>
          <w:sz w:val="40"/>
          <w:szCs w:val="40"/>
        </w:rPr>
      </w:pPr>
      <m:oMath>
        <m:r>
          <w:rPr>
            <w:rFonts w:ascii="Times New Roman" w:cs="Times New Roman" w:eastAsia="Times New Roman" w:hAnsi="Times New Roman"/>
            <w:sz w:val="40"/>
            <w:szCs w:val="40"/>
          </w:rPr>
          <m:t xml:space="preserve">ЭИ=</m:t>
        </m:r>
        <m:f>
          <m:fPr>
            <m:ctrlPr>
              <w:rPr>
                <w:rFonts w:ascii="Times New Roman" w:cs="Times New Roman" w:eastAsia="Times New Roman" w:hAnsi="Times New Roman"/>
                <w:sz w:val="42"/>
                <w:szCs w:val="42"/>
              </w:rPr>
            </m:ctrlPr>
          </m:fPr>
          <m:num>
            <m:r>
              <w:rPr>
                <w:rFonts w:ascii="Times New Roman" w:cs="Times New Roman" w:eastAsia="Times New Roman" w:hAnsi="Times New Roman"/>
                <w:sz w:val="42"/>
                <w:szCs w:val="42"/>
              </w:rPr>
              <m:t xml:space="preserve">кол-во интернализованных апоптотических клеток</m:t>
            </m:r>
          </m:num>
          <m:den>
            <m:r>
              <w:rPr>
                <w:rFonts w:ascii="Times New Roman" w:cs="Times New Roman" w:eastAsia="Times New Roman" w:hAnsi="Times New Roman"/>
                <w:sz w:val="42"/>
                <w:szCs w:val="42"/>
              </w:rPr>
              <m:t xml:space="preserve">кол-во макрофагов</m:t>
            </m:r>
          </m:den>
        </m:f>
        <m:r>
          <w:rPr>
            <w:rFonts w:ascii="Times New Roman" w:cs="Times New Roman" w:eastAsia="Times New Roman" w:hAnsi="Times New Roman"/>
            <w:sz w:val="42"/>
            <w:szCs w:val="42"/>
          </w:rPr>
          <m:t>∗</m:t>
        </m:r>
        <m:r>
          <w:rPr>
            <w:rFonts w:ascii="Times New Roman" w:cs="Times New Roman" w:eastAsia="Times New Roman" w:hAnsi="Times New Roman"/>
            <w:sz w:val="40"/>
            <w:szCs w:val="40"/>
          </w:rPr>
          <m:t xml:space="preserve">100%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проверки нормальности распределения использовали критерий согласия Пирсона (χ²). Для статистического анализа различий между группами был использован непараметрический критерий Краскела-Уоллиса для множественных сравнений, а для апостериорного анализа — критерий Вилкоксона. Различия были признаны статистически значимыми при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р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&lt; 0,05. Статистический анализ и визуализация данных были выполнены с использованием программных пакетов R.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spacing w:line="360" w:lineRule="auto"/>
        <w:rPr/>
      </w:pPr>
      <w:bookmarkStart w:colFirst="0" w:colLast="0" w:name="_kzjd72dzdslt" w:id="17"/>
      <w:bookmarkEnd w:id="17"/>
      <w:r w:rsidDel="00000000" w:rsidR="00000000" w:rsidRPr="00000000">
        <w:rPr>
          <w:rtl w:val="0"/>
        </w:rPr>
        <w:t xml:space="preserve">Выравнивание нуклеотидных последовательностей</w:t>
      </w:r>
    </w:p>
    <w:p w:rsidR="00000000" w:rsidDel="00000000" w:rsidP="00000000" w:rsidRDefault="00000000" w:rsidRPr="00000000" w14:paraId="000000B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Для выравнивания промоторных областей человеческого (сборка GRCh38.p13) и мышиного (сборка GRCm39) генов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 помощью сервиса Genome Data Viewer (NCBI) были загружены FASTA-файлы, содержащие информацию о нуклеотидной последовательности от -1900 до +100, где +1 — точка инициации транскрипции гена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Глобальное выравнивание проводили с помощью алгоритма ClustalW с настройками по умолчанию.</w:t>
      </w:r>
    </w:p>
    <w:p w:rsidR="00000000" w:rsidDel="00000000" w:rsidP="00000000" w:rsidRDefault="00000000" w:rsidRPr="00000000" w14:paraId="000000B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1"/>
        <w:rPr>
          <w:b w:val="1"/>
          <w:sz w:val="30"/>
          <w:szCs w:val="30"/>
        </w:rPr>
      </w:pPr>
      <w:bookmarkStart w:colFirst="0" w:colLast="0" w:name="_8rr8k2vodope" w:id="18"/>
      <w:bookmarkEnd w:id="18"/>
      <w:r w:rsidDel="00000000" w:rsidR="00000000" w:rsidRPr="00000000">
        <w:rPr>
          <w:b w:val="1"/>
          <w:sz w:val="30"/>
          <w:szCs w:val="30"/>
          <w:rtl w:val="0"/>
        </w:rPr>
        <w:t xml:space="preserve">Результаты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2"/>
        <w:rPr/>
      </w:pPr>
      <w:bookmarkStart w:colFirst="0" w:colLast="0" w:name="_w9vfxdmw7j7k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2"/>
        <w:rPr/>
      </w:pPr>
      <w:bookmarkStart w:colFirst="0" w:colLast="0" w:name="_t71ixqu6of49" w:id="20"/>
      <w:bookmarkEnd w:id="20"/>
      <w:r w:rsidDel="00000000" w:rsidR="00000000" w:rsidRPr="00000000">
        <w:rPr>
          <w:rtl w:val="0"/>
        </w:rPr>
        <w:t xml:space="preserve">Опыт для подбора оптимальных условий индукции апоптоза клеток линии Jurkat </w:t>
      </w:r>
    </w:p>
    <w:p w:rsidR="00000000" w:rsidDel="00000000" w:rsidP="00000000" w:rsidRDefault="00000000" w:rsidRPr="00000000" w14:paraId="000000B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Чтобы разработанная модель была физиологически релевантной, клетки-мишени для эффероцитоза должны гибнуть именно апоптозом. Литературные данные содержат сведения о нескольких соединениях, признанных стандартными активаторами апоптоза, и одно из них — камптотецин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Traganos и др., 1996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Этот растительный алкалоид — ингибитор ДНК-топоизомеразы I млекопитающих. Рекомендуемая концентрация камптотецина варьирует в пределах от 2 до 10 мкМ, а время воздействия — от 4 часов до суток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Traganos и др., 1996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). 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Чтобы определить оптимальные условия индукции апоптоза, в эксперименте оценивали влияние 2, 4, 6 и 10 мкМ камптотецина на жизнеспособность клеток. Как видно из графиков (рис. 10), количество клеток в гейте “Cells”,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shd w:fill="d9ead3" w:val="clear"/>
          <w:rtl w:val="0"/>
        </w:rPr>
        <w:t xml:space="preserve">отличных по морфологии от клеточного дебриса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а также процент живых клеток в нем (double-negative, DN) падали при повышении концентрации камптотецина. В связи с этим для получения стабильной фракции апоптотических Jurkat в дальнейших экспериментах эти клетки на протяжении суток инкубировали в среде, содержащей 10 мкМ камптотецина.</w:t>
      </w:r>
    </w:p>
    <w:p w:rsidR="00000000" w:rsidDel="00000000" w:rsidP="00000000" w:rsidRDefault="00000000" w:rsidRPr="00000000" w14:paraId="000000B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0000" cy="388620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10.</w:t>
      </w:r>
    </w:p>
    <w:p w:rsidR="00000000" w:rsidDel="00000000" w:rsidP="00000000" w:rsidRDefault="00000000" w:rsidRPr="00000000" w14:paraId="000000B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2"/>
        <w:rPr/>
      </w:pPr>
      <w:bookmarkStart w:colFirst="0" w:colLast="0" w:name="_xlo02p2hy9ue" w:id="21"/>
      <w:bookmarkEnd w:id="21"/>
      <w:r w:rsidDel="00000000" w:rsidR="00000000" w:rsidRPr="00000000">
        <w:rPr>
          <w:rtl w:val="0"/>
        </w:rPr>
        <w:t xml:space="preserve">Детекция эффероцитоза с помощью метода проточной цитометрии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Производительность и высокая скорость обработки данных метода проточной цитометрии определяет целесообразность его использования для детекции относительно редких событий и для выявления небольших, но статистически значимых отличий между группами. Именно поэтому данный метод был выбран для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первоначальн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ой детекции эффероцитоза. </w:t>
      </w:r>
    </w:p>
    <w:p w:rsidR="00000000" w:rsidDel="00000000" w:rsidP="00000000" w:rsidRDefault="00000000" w:rsidRPr="00000000" w14:paraId="000000B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данном эксперименте в качестве фагоцитов выступали макрофаги, дифференцированные из моноцитов периферической крови, специфическим маркером которых является CD68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Holness и др., 1993)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антитела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к этому гликопротеину были конъюгированы с флуорофором Alexa Fluor 648. Обработанные 10 мкМ DMSO или камптотецина Jurkat, как и в прошлом эксперименте, были помечены цитоплазматическим красителем CFSE, что допускало одновременную детекцию обоих флуорофоров. Таким образом, не осуществившие эффероцитоз макрофаги (CD68+) попадали в нижний правый квадрант графика (рис. 11), а не поглощенные Jurkat (CFSE+) — в верхний левый. В нижнем левом квадранте, по-видимому,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оказывались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клетки крови, контаминировавшие культуру первичных макрофагов, а также макрофаги и Jurkat, не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связавшиеся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 соответствующими метками. События в верхнем правом квадранте при данной конфигурации тест-системы невозможно однозначно интерпретировать, поскольку даже отделение дублетов по времени пролета, предшествовавшее построению этого графика, не гарантирует попадания в этот квадрант исключительно макрофагов, завершивших интернализацию клетки-мишени. </w:t>
      </w:r>
    </w:p>
    <w:p w:rsidR="00000000" w:rsidDel="00000000" w:rsidP="00000000" w:rsidRDefault="00000000" w:rsidRPr="00000000" w14:paraId="000000C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697038" cy="2591785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7038" cy="259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11. Детекция эффероцитоза после 90-минутного контакта первичных макрофагов и Jurkat, обработанных DMSO (контроль) или камптотецином (опыт). По осям графика отложены логарифмические шкалы уровня флуоресценции AF648 и CFSE. График отражает “плотность” событий (зеленый &gt; фиолетовый). Данные для контрольных и опытных групп, контактировавших с Jurkat 30 и 60 минут не показаны.</w:t>
      </w:r>
    </w:p>
    <w:p w:rsidR="00000000" w:rsidDel="00000000" w:rsidP="00000000" w:rsidRDefault="00000000" w:rsidRPr="00000000" w14:paraId="000000C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Поскольку данная конфигурация тест системы не позволяет однозначно отделить интернализованные клетки от рецептированных, дальнейший количественный анализ эффективности эффероцитоза проводили с помощью метода конфокальной микроскопии.</w:t>
      </w:r>
    </w:p>
    <w:p w:rsidR="00000000" w:rsidDel="00000000" w:rsidP="00000000" w:rsidRDefault="00000000" w:rsidRPr="00000000" w14:paraId="000000C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2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3ue36i98p30u" w:id="22"/>
      <w:bookmarkEnd w:id="22"/>
      <w:r w:rsidDel="00000000" w:rsidR="00000000" w:rsidRPr="00000000">
        <w:rPr>
          <w:rtl w:val="0"/>
        </w:rPr>
        <w:t xml:space="preserve">Опыт по оценке зависимости эффективности эффероцитоза от времени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Представляло интерес выяснить, как эффективность эффероцитоза зависит от времени контакта фагоцитов с клетками-мишенями. Во-первых, необходимо было подобрать такой временной диапазон, который, с одной стороны, позволял бы зарегистрировать максимальное соотношение эффероцитарного индекса (ЭИ) в опытной группе к ЭИ в контроле,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а с другой — был бы удобен при длительной пробоподготовке, за котрой следовала визуализация и сбор первичных данных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Согласно данным из литературы, относительно немногочисленные коллективы, изучающие фагоцитарную активность макрофагов, используют время контакта с естественными или искусственными мишенями от 30 до 90 минут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Taruc и др., 2018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Evans, A. L., 2017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C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описываемом опыте были использованы крайние точки этого диапазона. Дифференцированные из ТНР-1 макрофаги выращивали на круглых стеклах для перфузионной камеры. На подготовительных этапах эксперимента стекла находились в 6-луночных культуральных планшетах. В день эксперимента макрофаги из контрольной группы контактировали с клетками линии Jurkat, сутки находившимися в среде с 10 мкМ DMSO (контроль), а макрофаги из опытной группы  — с Jurkat, на протяжении суток содержавшимися в среде с 10 мкМ цитотоксического агента камптотецина (опыт). По истечении времени, отведенного для взаимодействия клеток, суспензия с “мишенями”, не вступившими в контакт с макрофагами, была отобрана, оставшиеся на стекле клетки были трижды отмыты РВS, а стекла были помещены в перфузионную камеру для последующей визуализации с помощью инвертированного конфокального микроскопа.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Плоскость обзора выравнивали по макрофагам.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Для каждой экспериментальной точки было отснято 25-30 полей зрения. Для каждого изображения в программе Fiji было подсчитано количество макрофагов, ядра которых были окрашены DAPI, и количество интернализованных Jurkat, окрашенных CFSE. Данные были внесены в таблицу Excel, там же подсчитывали ЭИ. Как видно из графика (рис. 12), уже через 30 минут контакта с погибшими Jurkat ЭИ опытной группы значительно превышал контрольный. Эта разница сохранялась и при сравнении контрольной и опытных групп после 90-минутного контакта. Учитывая этот факт и время пробоподготовки, предшествующей визуализации каждой экспериментальной точки, в дальнейших экспериментах фагоциты и “клетки-мишени” контактировали 90 минут.</w:t>
      </w:r>
    </w:p>
    <w:p w:rsidR="00000000" w:rsidDel="00000000" w:rsidP="00000000" w:rsidRDefault="00000000" w:rsidRPr="00000000" w14:paraId="000000C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848350" cy="3667125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12. Условные обозначения: *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 0,001, **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p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 0,0001.</w:t>
      </w:r>
    </w:p>
    <w:p w:rsidR="00000000" w:rsidDel="00000000" w:rsidP="00000000" w:rsidRDefault="00000000" w:rsidRPr="00000000" w14:paraId="000000C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 вертикальной оси отложены значения ЭИ, выраженные в процентах. Здесь и далее диаграмма boxplot, или “ящик с усами”, была построена по следующим параметрам: границы ящика — 1-й и 3-й квартили, линия внутри ящика — медиана (2-й квартиль), нижний “ус” —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р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азность первого квартиля и полутора межквартильных расстояний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верхний “ус” —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сумма третьего квартиля и полутора межквартильных расстояний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C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2"/>
        <w:rPr/>
      </w:pPr>
      <w:bookmarkStart w:colFirst="0" w:colLast="0" w:name="_bid3pmv0rl6c" w:id="23"/>
      <w:bookmarkEnd w:id="23"/>
      <w:r w:rsidDel="00000000" w:rsidR="00000000" w:rsidRPr="00000000">
        <w:rPr>
          <w:rtl w:val="0"/>
        </w:rPr>
        <w:t xml:space="preserve">Серия опытов на ТНР-1 и РВМС с положительным и отрицательным контролем</w:t>
      </w:r>
    </w:p>
    <w:p w:rsidR="00000000" w:rsidDel="00000000" w:rsidP="00000000" w:rsidRDefault="00000000" w:rsidRPr="00000000" w14:paraId="000000D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Целью следующей серии экспериментов было убедиться в том, что в предыдущем опыте был детектирован именно эффероцитоз. Известно, что эффероцитоз — энергозависимый процесс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(Cifarelli и др., 1979)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поэтому в качестве негативного контроля использовали ингибитор окислительного фосфорилирования азид натрия в конечной концентрации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 мМ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. 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ля положительного контроля был использован ТО901317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4 мМ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 —  агонист LXR. На мышиной модели были получены данные о том, что активация этого рецептора способствует поляризации макрофагов в сторону М2, обладающих более выраженной способностью к эффероцитозу (Linton 2016).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Кроме того, промотор мышиного гена MERTK, участвующей в рецепции апоптотических клеток, содержит LXR-респонсивный элемент, поэтому активация LXR повышает уровень экспрессии MERTK, участвующей в эффероцитозе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(Linton 2016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A-Gonzalez и др., 2009)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Как было ожидаемо, воздействие азидом натрия привело к статистически значимому снижению ЭИ по сравнению со всеми другими группами (рис. 13). Однако ЭИ достоверно не отличался от контрольного после активации LXR. </w:t>
      </w:r>
    </w:p>
    <w:p w:rsidR="00000000" w:rsidDel="00000000" w:rsidP="00000000" w:rsidRDefault="00000000" w:rsidRPr="00000000" w14:paraId="000000D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848350" cy="3667125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13. *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 0,00000028, ** —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= 0,000000029, ***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 p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 0,02, ▲—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= 0,008.</w:t>
      </w:r>
    </w:p>
    <w:p w:rsidR="00000000" w:rsidDel="00000000" w:rsidP="00000000" w:rsidRDefault="00000000" w:rsidRPr="00000000" w14:paraId="000000D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Эксперимент с использованием азида натрия и агониста LXR был повторен на первичной культуре макрофагов человека, дифференцированных из моноцитарной фракции мононуклеарных лейкоцитов периферической крови. Несмотря на разделение лейкоцитов в градиенте плотности фиколла и дальнейшее разделение мононуклеаров, основанное на более выраженной способности моноцитов к адгезии, первичная культура моноцитов в той или иной степени контаминироана другими клетками крови, такими как лимфоциты, гранулоциты и эритроциты. В связи с этим фактом представляло интерес выяснить, пригодна ли эта модель для детекции эффероцитоза. (Отличием данного опыта от аналогичного на THP было использование “контроля” для экспериментальной точки с агонистом LXR. Поскольку, согласно доступным в литературе протоколам, обработанные им макрофаги должны содержаться в среде с 0,5%, а не 10% FBS, это могло сказаться на результатах. Тем не менее, ЭИ макрофагов, к которым добавляли агонист LXR, по-прежнему не отличался от контрольного, в отличие от ЭИ макрофагов из опытной группы и содержавшихся в среде с 0,5% сыворотки.</w:t>
      </w:r>
    </w:p>
    <w:p w:rsidR="00000000" w:rsidDel="00000000" w:rsidP="00000000" w:rsidRDefault="00000000" w:rsidRPr="00000000" w14:paraId="000000D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16113" cy="3915495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39" l="0" r="0" t="39"/>
                    <a:stretch>
                      <a:fillRect/>
                    </a:stretch>
                  </pic:blipFill>
                  <pic:spPr>
                    <a:xfrm>
                      <a:off x="0" y="0"/>
                      <a:ext cx="5916113" cy="3915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14 *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 0,006, **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 0,0000001, ▲—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= 0,008.</w:t>
      </w:r>
    </w:p>
    <w:p w:rsidR="00000000" w:rsidDel="00000000" w:rsidP="00000000" w:rsidRDefault="00000000" w:rsidRPr="00000000" w14:paraId="000000D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2"/>
        <w:spacing w:line="360" w:lineRule="auto"/>
        <w:rPr/>
      </w:pPr>
      <w:bookmarkStart w:colFirst="0" w:colLast="0" w:name="_38siaz32jzhc" w:id="24"/>
      <w:bookmarkEnd w:id="24"/>
      <w:r w:rsidDel="00000000" w:rsidR="00000000" w:rsidRPr="00000000">
        <w:rPr>
          <w:rtl w:val="0"/>
        </w:rPr>
        <w:t xml:space="preserve">Сравнение промоторных областей генов mertk человека и мыши</w:t>
      </w:r>
    </w:p>
    <w:p w:rsidR="00000000" w:rsidDel="00000000" w:rsidP="00000000" w:rsidRDefault="00000000" w:rsidRPr="00000000" w14:paraId="000000D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 целью выяснить причину отсутствия эффекта от применения агониста LXR, было проведено выравнивание промоторных областей генов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мыши и человека — предполагаемых мишеней LXR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(Linton 2016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A-Gonzalez и др., 2009)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Применение стандартного алгоритма ClustalW выявило отличия в области от -1745 до -1730, где находится LXRE мышиного гена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(рис. 15). Таким образом, у человека отсутствует сайт связывания LXR, характерный для мыши, при работе с которой получена большая часть данных о влиянии LXR на эффероцитоз.  </w:t>
      </w:r>
    </w:p>
    <w:p w:rsidR="00000000" w:rsidDel="00000000" w:rsidP="00000000" w:rsidRDefault="00000000" w:rsidRPr="00000000" w14:paraId="000000D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0000" cy="24892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Рис. 15. Фиолетовым цветом выделена нуклеотидная последовательность LXRE мышиного гена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Только 5 из 16 нуклеотидов совпадают на участке от -1745 до -1730 промоторной области человеческого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Возможно, именно с этим связано отсутствие эффекта LXR на эффероцитоз.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1"/>
        <w:rPr>
          <w:b w:val="1"/>
          <w:sz w:val="30"/>
          <w:szCs w:val="30"/>
        </w:rPr>
      </w:pPr>
      <w:bookmarkStart w:colFirst="0" w:colLast="0" w:name="_ut3cs260iw14" w:id="25"/>
      <w:bookmarkEnd w:id="25"/>
      <w:r w:rsidDel="00000000" w:rsidR="00000000" w:rsidRPr="00000000">
        <w:rPr>
          <w:b w:val="1"/>
          <w:sz w:val="30"/>
          <w:szCs w:val="30"/>
          <w:rtl w:val="0"/>
        </w:rPr>
        <w:t xml:space="preserve">Обсуждение</w:t>
      </w:r>
    </w:p>
    <w:p w:rsidR="00000000" w:rsidDel="00000000" w:rsidP="00000000" w:rsidRDefault="00000000" w:rsidRPr="00000000" w14:paraId="000000E1">
      <w:pPr>
        <w:spacing w:line="360" w:lineRule="auto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ходе проделанной работы была разработана тест-система для оценки эффективности эффероцитоза, в которой в качестве фагоцитов могут быть использованы как человеческие макрофаги, дифференцированные из PBMC, так и модель макрофагов человека, дифференцированных из опухолевых клеток линии ТНР-1. Это позволяет использовать преимущества обеих моделей. С одной стороны, применение РВМС-макрофагов позволяет получить данные, приближенные к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in vivo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а с другой — ТНР-1 не требуют выделения и не контаминированы другими типами клеток крови, что делает их более удобными для вестерн-блота и ПЦР. Использованный метод снижения контаминации первичной культуры моноцитов человека другими типами клеток крови, а именно двухчасовая адгезия моноцитов с последующей сменой среды, может быть модифицирован, но поиск компромисса между объемом 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чистотой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моноцитарной фракции при сохранении жизнеспособности клеток не так прост. Известно, жизнеспособность лимфоцитов, но не моноцитов падает при отсутствии сыворотки в среде (Bennett and Breit,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1994)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однако последние при этом медленнее дифференцируются в макрофаги. Разделение клеток в нескольких градиентах плотности (например, фиколл + Nycodenz™) позволяет получить более чистую фракцию моноцитов, но дает существенно меньшее число живых клеток (Bennett and Breit,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1994)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Самый эффективный из доступных на данный момент методов выделения монокультуры из периферической крови — иммуносорбция на магнитных бусах, но главный минус такого подхода — высокая цена (Bennett and Breit,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1994)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Возможно, применение одного из перечисленных методов будет целесообразно в дальнейших исследованиях.</w:t>
      </w:r>
    </w:p>
    <w:p w:rsidR="00000000" w:rsidDel="00000000" w:rsidP="00000000" w:rsidRDefault="00000000" w:rsidRPr="00000000" w14:paraId="000000E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Другое преимущество разработанной тест-системы — использование естественных, а не искусственных мишеней для эффероцитоза, а именно клеток линии Jurkat, подвергнутых апоптозу. Это делает тест-систему более физиологически релевантной, поскольку латексные бусы с фосфатидилсерином не могут отразить полный набор необходимых молекулярных факторов для рецепции погибшей клетки фагоцитом и инициации эффероцитоза.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перспективе возможно использовать в качестве “мишени” модель пенистых клеток, а также сравнивать эффероцитарную активность макрофагов типов М1 и М2.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</w:t>
      </w:r>
    </w:p>
    <w:p w:rsidR="00000000" w:rsidDel="00000000" w:rsidP="00000000" w:rsidRDefault="00000000" w:rsidRPr="00000000" w14:paraId="000000E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Тест-система показала пригодность для детекции эффероцитоза с помощью проточной цитометрии, поскольку ее компоненты отличаются по морфологии, а также поверхностным молекулярным маркерам, по которым можно провести мечение с помощью антител. Результаты также подтверждают возможность применения неспецифических ядерных и цитоплазматических меток до непосредственного контакта макрофагов и клеток-мишеней. Однако в целях проведения количественного анализа с помощью цитометрии возможна модификация тест-системы с помощью дополнительного биотинилирования клеток-мишеней. Из-за плотности соприкосновения мембран фагоцита и апоптотической клетки дальнейшая обработка стрептавидином, конъюгированным с каким-либо флуорофором, будет способствовать более точному выявлению неинтернализованных мишеней (стрептави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дин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+CFSE+)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Taruc и др., 2018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С той же целью может быть использовано гашение флуоресценции неинтернализованных меченых CFSE Jurkat с помощью трипанового синего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Nuutila и Lilius, 2005)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тогда флуоресцировать в канале CFSE будут только интернализованные “мишени”. </w:t>
      </w:r>
    </w:p>
    <w:p w:rsidR="00000000" w:rsidDel="00000000" w:rsidP="00000000" w:rsidRDefault="00000000" w:rsidRPr="00000000" w14:paraId="000000E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Судя по полученным данным, исследователь может использовать в экспериментах временной диапазон от 30 до 90 минут для детекции эффероцитоза, изучения динамики стадий этого процесса, влияния на него молекулярных факторов. Существуют также данные о том, что максимальное время контакта фагоцитов и апоптотических клеток, при котором все еще возможно выявить достоверные отличия ЭИ от контрольного — это 120-180 минут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Taruc и др., 2018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), однако встречается и информация о 4-часовой инкубации, позволяющей детектировать эффероцитоз с помощью проточной цитометрии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Zizzo и др., 20120)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П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ригодность такого временного диапазона для данной тест-системы требует дальнейшего экспериментального подтверждения. Стоит учитывать, что для долгосрочного наблюдения за живыми клетками необходим также более тщательный подбор флурофоров и условий в которых клетки будут содержаться во время визуализации. Известно, что использование буфера вместо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сред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ы снижает скорость выцветания флуорофоров и, в то же время, — жизнеспособность клеток; отказ от использования коротковолнового возбуждающего излучения снижает фототоксичность, но ограничивает количество доступных для одновременной детекции меток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Taruc и др., 2018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). Однако уже в нынешнем виде тест-система подходит для относительно краткосрочной прижизненной визуализации.</w:t>
      </w:r>
    </w:p>
    <w:p w:rsidR="00000000" w:rsidDel="00000000" w:rsidP="00000000" w:rsidRDefault="00000000" w:rsidRPr="00000000" w14:paraId="000000E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Использование человеческих клеток позволило прийти к неожиданным результатам. Полученные данные ставят под сомнение роль LXR в регуляции эффероцитоза, которая ранее была доказана на мышиных моделях. Прямые доказательства участия этого ядерного рецептора в регуляции экспрессии человеческого гена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mertk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отсутсвуют в литературе, однако доказана роль самой MERTK в качестве рецептора апоптотических клеток у человека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Zizzo и др., 20120)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Поляризация по альтернативному пути, т.е. в макрофаги М2, положительно регулирует экспрессию MERTK, что повышает способность человеческих М2 к эффероцитозу (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Zizzo и др., 20120)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и это согласуется с данными, полученными на мышах (Linton 2016). Тем не менее, проведенное нами биоинформатическое выравнивание нуклеотидных последовательностей выявило отсутствие в промоторе гена человеческой MERTK сайта связывания LXR. Вероятно, в регуляции экспрессии MERTK в человеческих макрофагах участвует не LXR/RXR, а какие-то другие транскрипционные факторы, но это предположение требует дальнейшего экспериментального обоснования — возможного в том числе и с использованием разработанной модели.</w:t>
      </w:r>
    </w:p>
    <w:p w:rsidR="00000000" w:rsidDel="00000000" w:rsidP="00000000" w:rsidRDefault="00000000" w:rsidRPr="00000000" w14:paraId="000000E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1"/>
        <w:spacing w:line="360" w:lineRule="auto"/>
        <w:rPr/>
      </w:pPr>
      <w:bookmarkStart w:colFirst="0" w:colLast="0" w:name="_to6fv7ns1po8" w:id="26"/>
      <w:bookmarkEnd w:id="26"/>
      <w:r w:rsidDel="00000000" w:rsidR="00000000" w:rsidRPr="00000000">
        <w:rPr>
          <w:rtl w:val="0"/>
        </w:rPr>
        <w:t xml:space="preserve">Выводы</w:t>
      </w:r>
    </w:p>
    <w:p w:rsidR="00000000" w:rsidDel="00000000" w:rsidP="00000000" w:rsidRDefault="00000000" w:rsidRPr="00000000" w14:paraId="000000E9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Суточная инкубация в среде с конечной концентрацией камптотецина 10 мкМ позволяет получать стабильную фракцию апоптотических Jurkat;</w:t>
      </w:r>
    </w:p>
    <w:p w:rsidR="00000000" w:rsidDel="00000000" w:rsidP="00000000" w:rsidRDefault="00000000" w:rsidRPr="00000000" w14:paraId="000000E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Контакт фагоцитов и клеток-мишеней в течение 90 минут оптимален для исследования эффероцитоза в условиях длительной пробоподготовки;</w:t>
      </w:r>
    </w:p>
    <w:p w:rsidR="00000000" w:rsidDel="00000000" w:rsidP="00000000" w:rsidRDefault="00000000" w:rsidRPr="00000000" w14:paraId="000000E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Тест-система может быть использована для детекции эффероцитоза с помощью проточной цитометрии;</w:t>
      </w:r>
    </w:p>
    <w:p w:rsidR="00000000" w:rsidDel="00000000" w:rsidP="00000000" w:rsidRDefault="00000000" w:rsidRPr="00000000" w14:paraId="000000E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Использование перфузионной камеры позволяет осуществлять прижизненную визуализацию эффероцитоза;</w:t>
      </w:r>
    </w:p>
    <w:p w:rsidR="00000000" w:rsidDel="00000000" w:rsidP="00000000" w:rsidRDefault="00000000" w:rsidRPr="00000000" w14:paraId="000000ED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Количественный анализ эффективности эффероцитоза выявил различия в регуляции экспрессии человеческой и мышиной Mer тирозин-киназы, участвующей в эффероцитозе;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1"/>
        <w:spacing w:line="360" w:lineRule="auto"/>
        <w:rPr/>
      </w:pPr>
      <w:bookmarkStart w:colFirst="0" w:colLast="0" w:name="_uczlsm824kzh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1"/>
        <w:spacing w:line="360" w:lineRule="auto"/>
        <w:rPr>
          <w:b w:val="1"/>
          <w:sz w:val="30"/>
          <w:szCs w:val="30"/>
        </w:rPr>
      </w:pPr>
      <w:bookmarkStart w:colFirst="0" w:colLast="0" w:name="_acsp28gk4w3o" w:id="28"/>
      <w:bookmarkEnd w:id="28"/>
      <w:r w:rsidDel="00000000" w:rsidR="00000000" w:rsidRPr="00000000">
        <w:rPr>
          <w:b w:val="1"/>
          <w:sz w:val="30"/>
          <w:szCs w:val="30"/>
          <w:rtl w:val="0"/>
        </w:rPr>
        <w:t xml:space="preserve">Список литературы</w:t>
      </w:r>
    </w:p>
    <w:p w:rsidR="00000000" w:rsidDel="00000000" w:rsidP="00000000" w:rsidRDefault="00000000" w:rsidRPr="00000000" w14:paraId="0000010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Adachi, H., &amp; Tsujimoto, M. (2006). Endothelial scavenger receptors.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Progress in lipid research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45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(5), 379–404. </w:t>
      </w:r>
    </w:p>
    <w:p w:rsidR="00000000" w:rsidDel="00000000" w:rsidP="00000000" w:rsidRDefault="00000000" w:rsidRPr="00000000" w14:paraId="0000010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A-Gonzalez, N., Bensinger, S. J., Hong, C., Beceiro, S., Bradley, M. N., Zelcer, N., Deniz, J., Ramirez, C., Díaz, M., Gallardo, G., de Galarreta, C. R., Salazar, J., Lopez, F., Edwards, P., Parks, J., Andujar, M., Tontonoz, P., &amp; Castrillo, A. (2009). Apoptotic cells promote their own clearance and immune tolerance through activation of the nuclear receptor LXR.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Immunity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245–258. </w:t>
      </w:r>
    </w:p>
    <w:p w:rsidR="00000000" w:rsidDel="00000000" w:rsidP="00000000" w:rsidRDefault="00000000" w:rsidRPr="00000000" w14:paraId="0000010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Anitchkow N. N., Chalatow S. S. (1913). Uber experimentelle Cholesterinsteatose und ihre Bedeutung fur die Entstiehung einiger pathologischer Prozesse.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Zentralblatt für allgemeine Pathologie und pathologische Anatomie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(1), 1–9.</w:t>
      </w:r>
    </w:p>
    <w:p w:rsidR="00000000" w:rsidDel="00000000" w:rsidP="00000000" w:rsidRDefault="00000000" w:rsidRPr="00000000" w14:paraId="0000010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Armstrong, S. M., Sugiyama, M. G., Fung, K. Y., Gao, Y., Wang, C., Levy, A. S., Azizi, P., Roufaiel, M., Zhu, S. N., Neculai, D., Yin, C., Bolz, S. S., Seidah, N. G., Cybulsky, M. I., Heit, B., &amp; Lee, W. L. (2015). A novel assay uncovers an unexpected role for SR-BI in LDL transcytosis.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Cardiovascular research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108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268–277.</w:t>
      </w:r>
    </w:p>
    <w:p w:rsidR="00000000" w:rsidDel="00000000" w:rsidP="00000000" w:rsidRDefault="00000000" w:rsidRPr="00000000" w14:paraId="0000010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Benedetti, S., Palma, F., Fraternale, A., &amp; Iuliano, L. (2020). LDL receptors, caveolae and cholesterol in endothelial dysfunction: oxLDLs accomplices or victims?.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British journal of pharmacology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10.1111/bph.15272. Advance online publication.</w:t>
      </w:r>
    </w:p>
    <w:p w:rsidR="00000000" w:rsidDel="00000000" w:rsidP="00000000" w:rsidRDefault="00000000" w:rsidRPr="00000000" w14:paraId="0000010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Bennett, S. and Breit, S. N.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(1994). Variables in the isolation and culture of human monocytes that are of particular relevance to studies of HIV.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Journal of Leukocyte Biology, 56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(3)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236–240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Bobryshev, Y. V., Ivanova, E. A., Chistiakov, D. A., Nikiforov, N. G., &amp; Orekhov, A. N. (2016). Macrophages and Their Role in Atherosclerosis: Pathophysiology and Transcriptome Analysis.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BioMed research international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2016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9582430.</w:t>
      </w:r>
    </w:p>
    <w:p w:rsidR="00000000" w:rsidDel="00000000" w:rsidP="00000000" w:rsidRDefault="00000000" w:rsidRPr="00000000" w14:paraId="0000010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Bohlson, S. S., O'Conner, S. D., Hulsebus, H. J., Ho, M. M., &amp; Fraser, D. A. (2014). Complement, c1q, and c1q-related molecules regulate macrophage polarization.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Frontiers in immunology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402. </w:t>
      </w:r>
    </w:p>
    <w:p w:rsidR="00000000" w:rsidDel="00000000" w:rsidP="00000000" w:rsidRDefault="00000000" w:rsidRPr="00000000" w14:paraId="0000011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Calvo, D., Gómez-Coronado, D., Suárez, Y., Lasunción, M. A., &amp; Vega, M. A. (1998). Human CD36 is a high affinity receptor for the native lipoproteins HDL, LDL, and VLDL.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Journal of lipid research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39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(4), 777–788.</w:t>
      </w:r>
    </w:p>
    <w:p w:rsidR="00000000" w:rsidDel="00000000" w:rsidP="00000000" w:rsidRDefault="00000000" w:rsidRPr="00000000" w14:paraId="0000011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Cancel, L. M., &amp; Tarbell, J. M. (2011). The role of mitosis in LDL transport through cultured endothelial cell monolayers.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American journal of physiology. Heart and circulatory physiology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300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H769–H776.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Cifarelli, A., Pepe, G., Paradisi, F., &amp; Piccolo, D. (1979). The influence of some metabolic inhibitors on phagocytic activity of mouse macrophages in vitro.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Research in experimental medicine. Zeitschrift fur die gesamte experimentelle Medizin einschliesslich experimenteller Chirurgie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174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197–204.</w:t>
      </w:r>
    </w:p>
    <w:p w:rsidR="00000000" w:rsidDel="00000000" w:rsidP="00000000" w:rsidRDefault="00000000" w:rsidRPr="00000000" w14:paraId="0000011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Civelek, M., Manduchi, E., Riley, R. J., Stoeckert, C. J., Jr, &amp; Davies, P. F. (2009). Chronic endoplasmic reticulum stress activates unfolded protein response in arterial endothelium in regions of susceptibility to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Circulation research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105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(5), 453–461. </w:t>
      </w:r>
    </w:p>
    <w:p w:rsidR="00000000" w:rsidDel="00000000" w:rsidP="00000000" w:rsidRDefault="00000000" w:rsidRPr="00000000" w14:paraId="0000011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Cominacini, L., Pasini, A. F., Garbin, U., Davoli, A., Tosetti, M. L., Campagnola, M., Rigoni, A., Pastorino, A. M., Lo Cascio, V., &amp; Sawamura, T. (2000). Oxidized low density lipoprotein (ox-LDL) binding to ox-LDL receptor-1 in endothelial cells induces the activation of NF-kappaB through an increased production of intracellular reactive oxygen species.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The Journal of biological chemistry, 275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(17), 12633–12638.</w:t>
      </w:r>
    </w:p>
    <w:p w:rsidR="00000000" w:rsidDel="00000000" w:rsidP="00000000" w:rsidRDefault="00000000" w:rsidRPr="00000000" w14:paraId="0000011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da Rocha, R. F., De Bastiani, M. A., &amp; Klamt, F. (2014). Bioinformatics approach to evaluate differential gene expression of M1/M2 macrophage phenotypes and antioxidant genes in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Cell biochemistry and biophysics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70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831–839. </w:t>
      </w:r>
    </w:p>
    <w:p w:rsidR="00000000" w:rsidDel="00000000" w:rsidP="00000000" w:rsidRDefault="00000000" w:rsidRPr="00000000" w14:paraId="0000011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Davies PF. Flow-mediated endothelial mechanotransduction. Physiological reviews. 1995;75:519–560 Davies P. F. (1995). Flow-mediated endothelial mechanotransduction.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Physiological reviews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75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519–560. </w:t>
      </w:r>
    </w:p>
    <w:p w:rsidR="00000000" w:rsidDel="00000000" w:rsidP="00000000" w:rsidRDefault="00000000" w:rsidRPr="00000000" w14:paraId="0000011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Ehara, S., Ueda, M., Naruko, T., Haze, K., Itoh, A., Otsuka, M., Komatsu, R., Matsuo, T., Itabe, H., Takano, T., Tsukamoto, Y., Yoshiyama, M., Takeuchi, K., Yoshikawa, J., &amp; Becker, A. E. (2001). Elevated levels of oxidized low density lipoprotein show a positive relationship with the severity of acute coronary syndromes.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Circulation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103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(15), 1955–1960. </w:t>
      </w:r>
    </w:p>
    <w:p w:rsidR="00000000" w:rsidDel="00000000" w:rsidP="00000000" w:rsidRDefault="00000000" w:rsidRPr="00000000" w14:paraId="0000012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Evans, A. L., Blackburn, J. W., Yin, C., &amp; Heit, B. (2017). Quantitative Efferocytosis Assays.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Methods in molecular biology (Clifton, N.J.)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1519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25–41.</w:t>
      </w:r>
    </w:p>
    <w:p w:rsidR="00000000" w:rsidDel="00000000" w:rsidP="00000000" w:rsidRDefault="00000000" w:rsidRPr="00000000" w14:paraId="0000012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Fielding, C. J., &amp; Fielding, P. E. (2008).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Dynamics of lipoprotein transport in the circulatory system.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Biochemistry of Lipids, Lipoproteins and Membranes, 533–553.</w:t>
      </w:r>
    </w:p>
    <w:p w:rsidR="00000000" w:rsidDel="00000000" w:rsidP="00000000" w:rsidRDefault="00000000" w:rsidRPr="00000000" w14:paraId="00000124">
      <w:pPr>
        <w:spacing w:line="360" w:lineRule="auto"/>
        <w:ind w:left="0" w:firstLine="0"/>
        <w:rPr>
          <w:rFonts w:ascii="Times New Roman" w:cs="Times New Roman" w:eastAsia="Times New Roman" w:hAnsi="Times New Roman"/>
          <w:i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Frostegård, J. (2013). Immunity, atherosclerosis and cardiovascular disease.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BMC Medicine, 11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(1). </w:t>
      </w:r>
    </w:p>
    <w:p w:rsidR="00000000" w:rsidDel="00000000" w:rsidP="00000000" w:rsidRDefault="00000000" w:rsidRPr="00000000" w14:paraId="0000012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Gillotte-Taylor, K., Boullier, A., Witztum, J. L., Steinberg, D., &amp; Quehenberger, O. (2001). Scavenger receptor class B type I as a receptor for oxidized low density lipoprotein.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Journal of lipid research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42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(9), 1474–1482.</w:t>
      </w:r>
    </w:p>
    <w:p w:rsidR="00000000" w:rsidDel="00000000" w:rsidP="00000000" w:rsidRDefault="00000000" w:rsidRPr="00000000" w14:paraId="0000012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Gimbrone, M. A., Jr, &amp; García-Cardeña, G. (2013). Vascular endothelium, hemodynamics, and the pathobiology of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Cardiovascular pathology : the official journal of the Society for Cardiovascular Pathology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22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(1), 9–15. </w:t>
      </w:r>
    </w:p>
    <w:p w:rsidR="00000000" w:rsidDel="00000000" w:rsidP="00000000" w:rsidRDefault="00000000" w:rsidRPr="00000000" w14:paraId="0000012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Gimbrone, M. A., Jr, Topper, J. N., Nagel, T., Anderson, K. R., &amp; Garcia-Cardeña, G. (2000). Endothelial dysfunction, hemodynamic forces, and atherogenesis.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Annals of the New York Academy of Sciences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902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230–240.    </w:t>
      </w:r>
    </w:p>
    <w:p w:rsidR="00000000" w:rsidDel="00000000" w:rsidP="00000000" w:rsidRDefault="00000000" w:rsidRPr="00000000" w14:paraId="0000012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12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Jahreis, G., &amp; Dawczynski, C. (2020). Trans and conjugated fatty acids in dairy products: Cause for concern? Milk and Dairy Foods, 87–120.</w:t>
      </w:r>
    </w:p>
    <w:p w:rsidR="00000000" w:rsidDel="00000000" w:rsidP="00000000" w:rsidRDefault="00000000" w:rsidRPr="00000000" w14:paraId="0000012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Jang, E., Robert, J., Rohrer, L., von Eckardstein, A., &amp; Lee, W. L. (2020). Transendothelial transport of lipoproteins.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Atherosclerosis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sz w:val="26"/>
            <w:szCs w:val="26"/>
            <w:rtl w:val="0"/>
          </w:rPr>
          <w:t xml:space="preserve"> 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315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111-125.</w:t>
      </w:r>
    </w:p>
    <w:p w:rsidR="00000000" w:rsidDel="00000000" w:rsidP="00000000" w:rsidRDefault="00000000" w:rsidRPr="00000000" w14:paraId="0000013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Jiang, R., Cai, J., Zhu, Z., Chen, D., Wang, J., Wang, Q., Teng, Y., Huang. Y, Tao. M, Xia, A., Xue, M, Zhou, S. and Chen, A.F. (2014) Hypoxic Trophoblast HMGB1 Induces Endothelial Cell Hyperpermeability via the TRL-4/Caveolin-1 Pathway.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Journal of Immunollogy,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published online.</w:t>
      </w:r>
    </w:p>
    <w:p w:rsidR="00000000" w:rsidDel="00000000" w:rsidP="00000000" w:rsidRDefault="00000000" w:rsidRPr="00000000" w14:paraId="0000013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Kondo, T., &amp; Watanabe, Y. (1975). A heritable hyperlipemic rabbit.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Jikken dobutsu. Experimental animals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89–94. </w:t>
      </w:r>
    </w:p>
    <w:p w:rsidR="00000000" w:rsidDel="00000000" w:rsidP="00000000" w:rsidRDefault="00000000" w:rsidRPr="00000000" w14:paraId="0000013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Kunitomo, M., Yamaguchi, Y., Kagota, S., Yoshikawa, N., Nakamura, K., &amp; Shinozuka, K. (2009). Biochemical Evidence of Atherosclerosis Progression Mediated by Increased Oxidative Stress in Apolipoprotein E–Deficient Spontaneously Hyperlipidemic Mice Exposed to Chronic Cigarette Smoke.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Journal of Pharmacological Sciences, 110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(3),354–361.</w:t>
      </w:r>
    </w:p>
    <w:p w:rsidR="00000000" w:rsidDel="00000000" w:rsidP="00000000" w:rsidRDefault="00000000" w:rsidRPr="00000000" w14:paraId="0000013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Lee, Y. T., Lin, H. Y., Chan, Y. W., Li, K. H., To, O. T., Yan, B. P., Liu, T., Li, G., Wong, W. T., Keung, W., &amp; Tse, G. (2017). Mouse models of atherosclerosis: a historical perspective and recent advances.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Lipids in health and disease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(1), 12.</w:t>
      </w:r>
    </w:p>
    <w:p w:rsidR="00000000" w:rsidDel="00000000" w:rsidP="00000000" w:rsidRDefault="00000000" w:rsidRPr="00000000" w14:paraId="0000013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Li, D., &amp; Mehta, J. L. (2000). Antisense to LOX-1 inhibits oxidized LDL-mediated upregulation of monocyte chemoattractant protein-1 and monocyte adhesion to human coronary artery endothelial cells.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Circulation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101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(25), 2889–2895. </w:t>
      </w:r>
    </w:p>
    <w:p w:rsidR="00000000" w:rsidDel="00000000" w:rsidP="00000000" w:rsidRDefault="00000000" w:rsidRPr="00000000" w14:paraId="0000013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Linton, M. F., Babaev, V. R., Huang, J., Linton, E. F., Tao, H., &amp; Yancey, P. G. (2016). Macrophage Apoptosis and Efferocytosis in the Pathogenesis of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Circulation journal : official journal of the Japanese Circulation Society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80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(11), 2259–2268.</w:t>
      </w:r>
    </w:p>
    <w:p w:rsidR="00000000" w:rsidDel="00000000" w:rsidP="00000000" w:rsidRDefault="00000000" w:rsidRPr="00000000" w14:paraId="0000013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Miller, Y. I., Viriyakosol, S., Binder, C. J., Feramisco, J. R., Kirkland, T. N., &amp; Witztum, J. L. (2003). Minimally modified LDL binds to CD14, induces macrophage spreading via TLR4/MD-2, and inhibits phagocytosis of apoptotic cells.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The Journal of biological chemistry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278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1561–1568.</w:t>
      </w:r>
    </w:p>
    <w:p w:rsidR="00000000" w:rsidDel="00000000" w:rsidP="00000000" w:rsidRDefault="00000000" w:rsidRPr="00000000" w14:paraId="0000013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Morris, E. J., &amp; Geller, H. M. (1996). Induction of neuronal apoptosis by camptothecin, an inhibitor of DNA topoisomerase-I: evidence for cell cycle-independent toxicity.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The Journal of cell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134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757–770.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Morrow, J. D., Frei, B., Longmire, A. W., Gaziano, J. M., Lynch, S. M., Shyr, Y., … Roberts, L. J. (1995). Increase in Circulating Products of Lipid Peroxidation (F2-Isoprostanes) in Smokers — Smoking as a Cause of Oxidative Damage.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New England Journal of Medicine, 332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(18), 1198–1203.</w:t>
      </w:r>
    </w:p>
    <w:p w:rsidR="00000000" w:rsidDel="00000000" w:rsidP="00000000" w:rsidRDefault="00000000" w:rsidRPr="00000000" w14:paraId="0000014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Mozaffarian, D., Benjamin, E. J., Go, A. S., Arnett, D. K., Blaha, M. J., Cushman, M., … Turner, M. B. (2014). Heart Disease and Stroke Statistics—2015 Update.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Circulation, 131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(4), e29–e322. </w:t>
      </w:r>
    </w:p>
    <w:p w:rsidR="00000000" w:rsidDel="00000000" w:rsidP="00000000" w:rsidRDefault="00000000" w:rsidRPr="00000000" w14:paraId="0000014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Murray, P. J., Allen, J. E., Biswas, S. K., Fisher, E. A., Gilroy, D. W., Goerdt, S., Gordon, S., Hamilton, J. A., Ivashkiv, L. B., Lawrence, T., Locati, M., Mantovani, A., Martinez, F. O., Mege, J. L., Mosser, D. M., Natoli, G., Saeij, J. P., Schultze, J. L., Shirey, K. A., Sica, A., … Wynn, T. A. (2014). Macrophage activation and polarization: nomenclature and experimental guidelines.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Immunity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41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(1), 14–20.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Nuutila, J., &amp; Lilius, E. M. (2005). Flow cytometric quantitative determination of ingestion by phagocytes needs the distinguishing of overlapping populations of binding and ingesting cells.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Cytometry. Part A : the journal of the International Society for Analytical Cytology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65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93–102.</w:t>
      </w:r>
    </w:p>
    <w:p w:rsidR="00000000" w:rsidDel="00000000" w:rsidP="00000000" w:rsidRDefault="00000000" w:rsidRPr="00000000" w14:paraId="0000014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Oram, J. F., Wolfbauer, G., Vaughan, A. M., Tang, C., &amp; Albers, J. J. (2003). Phospholipid transfer protein interacts with and stabilizes ATP-binding cassette transporter A1 and enhances cholesterol efflux from cells.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The Journal of biological chemistry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278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(52), 52379–52385. </w:t>
      </w:r>
    </w:p>
    <w:p w:rsidR="00000000" w:rsidDel="00000000" w:rsidP="00000000" w:rsidRDefault="00000000" w:rsidRPr="00000000" w14:paraId="0000014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Orecchioni, M., Ghosheh, Y., Pramod, A. B., &amp; Ley, K. (2019). Macrophage Polarization: Different Gene Signatures in M1(LPS+) vs. Classically and M2(LPS-) vs. Alternatively Activated Macrophages.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Frontiers in immunology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1084.</w:t>
      </w:r>
    </w:p>
    <w:p w:rsidR="00000000" w:rsidDel="00000000" w:rsidP="00000000" w:rsidRDefault="00000000" w:rsidRPr="00000000" w14:paraId="0000014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Ravichandran K. S. (2010). Find-me and eat-me signals in apoptotic cell clearance: progress and conundrums.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The Journal of experimental medicine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207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(9), 1807–1817. </w:t>
      </w:r>
    </w:p>
    <w:p w:rsidR="00000000" w:rsidDel="00000000" w:rsidP="00000000" w:rsidRDefault="00000000" w:rsidRPr="00000000" w14:paraId="0000014E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Rogacev, K. S., Cremers, B., Zawada, A. M., Seiler, S., Binder, N., Ege, P., Große-Dunker, G., Heisel, I., Hornof, F., Jeken, J., Rebling, N. M., Ulrich, C., Scheller, B., Böhm, M., Fliser, D., &amp; Heine, G. H. (2012). CD14++CD16+ monocytes independently predict cardiovascular events: a cohort study of 951 patients referred for elective coronary angiography.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Journal of the American College of Cardiology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60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(16), 1512–1520.</w:t>
      </w:r>
    </w:p>
    <w:p w:rsidR="00000000" w:rsidDel="00000000" w:rsidP="00000000" w:rsidRDefault="00000000" w:rsidRPr="00000000" w14:paraId="000001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Rohrer, L., Ohnsorg, P. M., Lehner, M., Landolt, F., Rinninger, F., &amp; von Eckardstein, A. (2009). High-density lipoprotein transport through aortic endothelial cells involves scavenger receptor BI and ATP-binding cassette transporter G1.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Circulation research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104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(10), 1142–1150.</w:t>
      </w:r>
    </w:p>
    <w:p w:rsidR="00000000" w:rsidDel="00000000" w:rsidP="00000000" w:rsidRDefault="00000000" w:rsidRPr="00000000" w14:paraId="0000015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Sawamura, T., Kume, N., Aoyama, T., Moriwaki, H., Hoshikawa, H., Aiba, Y., Tanaka, T., Miwa, S., Katsura, Y., Kita, T., &amp; Masaki, T. (1997). An endothelial receptor for oxidized low-density lipoprotein.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Nature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386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(6620), 73–77. </w:t>
      </w:r>
    </w:p>
    <w:p w:rsidR="00000000" w:rsidDel="00000000" w:rsidP="00000000" w:rsidRDefault="00000000" w:rsidRPr="00000000" w14:paraId="0000015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Schrijvers, D. M., De Meyer, G. R., Kockx, M. M., Herman, A. G., &amp; Martinet, W. (2005). Phagocytosis of apoptotic cells by macrophages is impaired in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Arteriosclerosis, thrombosis, and vascular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25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(6), 1256–1261. </w:t>
      </w:r>
    </w:p>
    <w:p w:rsidR="00000000" w:rsidDel="00000000" w:rsidP="00000000" w:rsidRDefault="00000000" w:rsidRPr="00000000" w14:paraId="000001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360" w:lineRule="auto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Schwende, H., Fitzke, E., Ambs, P., &amp; Dieter, P. (1996). Differences in the state of differentiation of THP-1 cells induced by phorbol ester and 1,25-dihydroxyvitamin D3.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Journal of leukocyte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59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(4), 555–561.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158">
      <w:pPr>
        <w:spacing w:line="360" w:lineRule="auto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Shao, B., Pennathur, S., &amp; Heinecke, J. W. (2012). Myeloperoxidase targets apolipoprotein A-I, the major high density lipoprotein protein, for site-specific oxidation in human atherosclerotic lesions.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The Journal of biological chemistry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287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(9), 6375–6386. </w:t>
      </w:r>
    </w:p>
    <w:p w:rsidR="00000000" w:rsidDel="00000000" w:rsidP="00000000" w:rsidRDefault="00000000" w:rsidRPr="00000000" w14:paraId="0000015A">
      <w:pPr>
        <w:spacing w:after="240" w:before="240"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Shaul, P.W. (2003). Endothelial nitric oxide synthase, caveolae and the development of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The Journal of physiology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547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( 1), 21–33. </w:t>
      </w:r>
    </w:p>
    <w:p w:rsidR="00000000" w:rsidDel="00000000" w:rsidP="00000000" w:rsidRDefault="00000000" w:rsidRPr="00000000" w14:paraId="0000015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Sihombing, M., Safitri, M., Zhou, T., Wang, L., McGinty, S., Zhang, H. J., Yin, Y., Peng, Q., Qiu, J., &amp; Wang, G. (2021). Unexpected Role of Nonimmune Cells: Amateur Phagocytes. DNA and cell biology, 40(2), 157–171.</w:t>
      </w:r>
    </w:p>
    <w:p w:rsidR="00000000" w:rsidDel="00000000" w:rsidP="00000000" w:rsidRDefault="00000000" w:rsidRPr="00000000" w14:paraId="0000015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Tabas, I., &amp; Ron, D. (2011). Integrating the mechanisms of apoptosis induced by endoplasmic reticulum stress.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Nature cell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184–190. </w:t>
      </w:r>
    </w:p>
    <w:p w:rsidR="00000000" w:rsidDel="00000000" w:rsidP="00000000" w:rsidRDefault="00000000" w:rsidRPr="00000000" w14:paraId="000001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Tabas I. (2010). Macrophage death and defective inflammation resolution in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Nature reviews. Immunology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(1), 36–46.</w:t>
      </w:r>
    </w:p>
    <w:p w:rsidR="00000000" w:rsidDel="00000000" w:rsidP="00000000" w:rsidRDefault="00000000" w:rsidRPr="00000000" w14:paraId="00000160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Taruc, K., Yin, C., Wootton, D. G., &amp; Heit, B. (2018). Quantification of Efferocytosis by Single-cell Fluorescence Microscopy.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Journal of visualized experiments : JoVE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(138), 58149.</w:t>
      </w:r>
    </w:p>
    <w:p w:rsidR="00000000" w:rsidDel="00000000" w:rsidP="00000000" w:rsidRDefault="00000000" w:rsidRPr="00000000" w14:paraId="0000016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Traganos, F., Seiter, K., Feldman, E., Halicka, H. D., &amp; Darzynkiewicz, Z. (1996). Induction of apoptosis by camptothecin and topotecan.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Annals of the New York Academy of Sciences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803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101–110.</w:t>
      </w:r>
    </w:p>
    <w:p w:rsidR="00000000" w:rsidDel="00000000" w:rsidP="00000000" w:rsidRDefault="00000000" w:rsidRPr="00000000" w14:paraId="0000016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Ungvari Z, Wolin MS, Csiszar A. Mechanosensitive production of reactive oxygen species in endothelial and smooth muscle cells: role in microvascular remodeling? Antioxidants &amp; redox signaling 2006; 8:1121-1129. </w:t>
      </w:r>
    </w:p>
    <w:p w:rsidR="00000000" w:rsidDel="00000000" w:rsidP="00000000" w:rsidRDefault="00000000" w:rsidRPr="00000000" w14:paraId="00000166">
      <w:pPr>
        <w:spacing w:line="360" w:lineRule="auto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Watanabe Y. (1980). Serial inbreeding of rabbits with hereditary hyperlipidemia (WHHL-rabbit).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Atherosclerosis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36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261–268.</w:t>
      </w:r>
    </w:p>
    <w:p w:rsidR="00000000" w:rsidDel="00000000" w:rsidP="00000000" w:rsidRDefault="00000000" w:rsidRPr="00000000" w14:paraId="0000016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Williams, K. J., &amp; Tabas, I. (1995). The response-to-retention hypothesis of early atherogenesis.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Arteriosclerosis, thrombosis, and vascular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(5), 551–561.</w:t>
      </w:r>
    </w:p>
    <w:p w:rsidR="00000000" w:rsidDel="00000000" w:rsidP="00000000" w:rsidRDefault="00000000" w:rsidRPr="00000000" w14:paraId="0000016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Williams, T. M., &amp; Lisanti, M. P. (2004). The caveolin proteins.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Genome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(3), 214. </w:t>
      </w:r>
    </w:p>
    <w:p w:rsidR="00000000" w:rsidDel="00000000" w:rsidP="00000000" w:rsidRDefault="00000000" w:rsidRPr="00000000" w14:paraId="0000016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Woollard, K. J., &amp; Geissmann, F. (2010). Monocytes in atherosclerosis: subsets and functions.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Nature reviews. Cardiology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77–86.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6E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Wu, Y., Tibrewal, N., &amp; Birge, R. B. (2006). Phosphatidylserine recognition by phagocytes: a view to a kill.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Trends in cell biology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(4), 189–197.</w:t>
      </w:r>
    </w:p>
    <w:p w:rsidR="00000000" w:rsidDel="00000000" w:rsidP="00000000" w:rsidRDefault="00000000" w:rsidRPr="00000000" w14:paraId="00000170">
      <w:pPr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Ye, D., Lammers, B., Zhao, Y., Meurs, I., Van Berkel, T. J., &amp; Van Eck, M. (2011). ATP-binding cassette transporters A1 and G1, HDL metabolism, cholesterol efflux, and inflammation: important targets for the treatment of atherosclerosis.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Current drug targets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(5), 647–660. </w:t>
      </w:r>
    </w:p>
    <w:p w:rsidR="00000000" w:rsidDel="00000000" w:rsidP="00000000" w:rsidRDefault="00000000" w:rsidRPr="00000000" w14:paraId="00000172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Zeng, L., Zampetaki, A., Margariti, A., Pepe, A. E., Alam, S., Martin, D., Xiao, Q., Wang, W., Jin, Z. G., Cockerill, G., Mori, K., Li, Y. S., Hu, Y., Chien, S., &amp; Xu, Q. (2009). Sustained activation of XBP1 splicing leads to endothelial apoptosis and atherosclerosis development in response to disturbed flow.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Proceedings of the National Academy of Sciences of the United States of America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106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(20), 8326–8331. </w:t>
      </w:r>
    </w:p>
    <w:p w:rsidR="00000000" w:rsidDel="00000000" w:rsidP="00000000" w:rsidRDefault="00000000" w:rsidRPr="00000000" w14:paraId="00000174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Zizzo, G., Hilliard, B. A., Monestier, M., &amp; Cohen, P. L. (2012). Efficient clearance of early apoptotic cells by human macrophages requires M2c polarization and MerTK induction.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Journal of immunology (Baltimore, Md. : 1950)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189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(7), 3508–3520.</w:t>
      </w:r>
    </w:p>
    <w:p w:rsidR="00000000" w:rsidDel="00000000" w:rsidP="00000000" w:rsidRDefault="00000000" w:rsidRPr="00000000" w14:paraId="00000176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Климов, А.Н., Никульчева, Н.Г. (1999). Обмен липидов и липопротеидов и его нарушения.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СПб.: Питер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512 с.</w:t>
      </w:r>
    </w:p>
    <w:p w:rsidR="00000000" w:rsidDel="00000000" w:rsidP="00000000" w:rsidRDefault="00000000" w:rsidRPr="00000000" w14:paraId="00000178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Парфенова, Н. С., Голиков, Ю. П., Климов, А. Н. (2016).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К истории развития холестериновой модели атеросклероза.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Медицинский Академический журнал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(2), 7–14.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360" w:lineRule="auto"/>
        <w:rPr>
          <w:rFonts w:ascii="Roboto" w:cs="Roboto" w:eastAsia="Roboto" w:hAnsi="Roboto"/>
          <w:color w:val="21212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https://www.collecteurs.com/artists/heather-dewey-hagborg/artworks/jurkat-cells-brightfield-100x-magnification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24" w:type="default"/>
      <w:footerReference r:id="rId25" w:type="first"/>
      <w:pgSz w:h="16834" w:w="11909" w:orient="portrait"/>
      <w:pgMar w:bottom="1700.7874015748032" w:top="1417.3228346456694" w:left="1700.7874015748032" w:right="850.3937007874016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Alexandra Burnusuz" w:id="1" w:date="2021-05-20T08:20:50Z">
    <w:p w:rsidR="00000000" w:rsidDel="00000000" w:rsidP="00000000" w:rsidRDefault="00000000" w:rsidRPr="00000000" w14:paraId="000001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нашла инфы про бактеров</w:t>
      </w:r>
    </w:p>
  </w:comment>
  <w:comment w:author="Alexandra Burnusuz" w:id="0" w:date="2021-05-19T17:25:17Z"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ungsuh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E">
    <w:pPr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</w:pPr>
    <w:rPr>
      <w:rFonts w:ascii="Times New Roman" w:cs="Times New Roman" w:eastAsia="Times New Roman" w:hAnsi="Times New Roman"/>
      <w:b w:val="1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rFonts w:ascii="Times New Roman" w:cs="Times New Roman" w:eastAsia="Times New Roman" w:hAnsi="Times New Roman"/>
      <w:i w:val="1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360" w:lineRule="auto"/>
    </w:pPr>
    <w:rPr>
      <w:rFonts w:ascii="Times New Roman" w:cs="Times New Roman" w:eastAsia="Times New Roman" w:hAnsi="Times New Roman"/>
      <w:b w:val="1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line="360" w:lineRule="auto"/>
    </w:pPr>
    <w:rPr>
      <w:rFonts w:ascii="Times New Roman" w:cs="Times New Roman" w:eastAsia="Times New Roman" w:hAnsi="Times New Roman"/>
      <w:i w:val="1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image" Target="media/image12.png"/><Relationship Id="rId21" Type="http://schemas.openxmlformats.org/officeDocument/2006/relationships/image" Target="media/image9.jpg"/><Relationship Id="rId24" Type="http://schemas.openxmlformats.org/officeDocument/2006/relationships/footer" Target="footer2.xml"/><Relationship Id="rId23" Type="http://schemas.openxmlformats.org/officeDocument/2006/relationships/hyperlink" Target="https://www.atherosclerosis-journal.com/issue/S0021-9150(20)X0022-0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jpg"/><Relationship Id="rId25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jpg"/><Relationship Id="rId8" Type="http://schemas.openxmlformats.org/officeDocument/2006/relationships/image" Target="media/image3.jpg"/><Relationship Id="rId11" Type="http://schemas.openxmlformats.org/officeDocument/2006/relationships/image" Target="media/image1.png"/><Relationship Id="rId10" Type="http://schemas.openxmlformats.org/officeDocument/2006/relationships/image" Target="media/image14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5" Type="http://schemas.openxmlformats.org/officeDocument/2006/relationships/image" Target="media/image8.jpg"/><Relationship Id="rId14" Type="http://schemas.openxmlformats.org/officeDocument/2006/relationships/image" Target="media/image7.jpg"/><Relationship Id="rId17" Type="http://schemas.openxmlformats.org/officeDocument/2006/relationships/image" Target="media/image13.png"/><Relationship Id="rId16" Type="http://schemas.openxmlformats.org/officeDocument/2006/relationships/image" Target="media/image15.png"/><Relationship Id="rId19" Type="http://schemas.openxmlformats.org/officeDocument/2006/relationships/image" Target="media/image5.jp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