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2173F" w14:textId="3B45F010" w:rsidR="005D25A9" w:rsidRDefault="005D25A9" w:rsidP="005D25A9">
      <w:pPr>
        <w:spacing w:line="240" w:lineRule="auto"/>
        <w:jc w:val="center"/>
      </w:pPr>
      <w:r w:rsidRPr="005D25A9">
        <w:t>САНКТ-ПЕТЕРБУРГСКИЙ ГОСУДАРСТВЕННЫЙ УНИВЕРСИТЕТ</w:t>
      </w:r>
    </w:p>
    <w:p w14:paraId="05175B5A" w14:textId="77777777" w:rsidR="005D25A9" w:rsidRPr="005D25A9" w:rsidRDefault="005D25A9" w:rsidP="005D25A9">
      <w:pPr>
        <w:spacing w:line="240" w:lineRule="auto"/>
        <w:jc w:val="center"/>
      </w:pPr>
    </w:p>
    <w:p w14:paraId="01E48F63" w14:textId="4D29A666" w:rsidR="00FA5870" w:rsidRPr="005D25A9" w:rsidRDefault="005D25A9" w:rsidP="005D25A9">
      <w:pPr>
        <w:spacing w:line="240" w:lineRule="auto"/>
        <w:jc w:val="center"/>
        <w:rPr>
          <w:bCs/>
        </w:rPr>
      </w:pPr>
      <w:r w:rsidRPr="005D25A9">
        <w:rPr>
          <w:bCs/>
        </w:rPr>
        <w:t>ДЖАНСЫЗ</w:t>
      </w:r>
      <w:r w:rsidR="00FA5870" w:rsidRPr="005D25A9">
        <w:rPr>
          <w:bCs/>
        </w:rPr>
        <w:t xml:space="preserve"> Николай Константинович</w:t>
      </w:r>
    </w:p>
    <w:p w14:paraId="67D05E07" w14:textId="77777777" w:rsidR="005D25A9" w:rsidRDefault="005D25A9" w:rsidP="0055302F">
      <w:pPr>
        <w:jc w:val="center"/>
        <w:rPr>
          <w:bCs/>
        </w:rPr>
      </w:pPr>
    </w:p>
    <w:p w14:paraId="7EB0F0B1" w14:textId="79B675C1" w:rsidR="00FA5870" w:rsidRPr="005D25A9" w:rsidRDefault="00FA5870" w:rsidP="0055302F">
      <w:pPr>
        <w:jc w:val="center"/>
        <w:rPr>
          <w:bCs/>
        </w:rPr>
      </w:pPr>
      <w:r w:rsidRPr="005D25A9">
        <w:rPr>
          <w:bCs/>
        </w:rPr>
        <w:t>Выпускная квалификационная работа</w:t>
      </w:r>
    </w:p>
    <w:p w14:paraId="3EC828AF" w14:textId="15128CC7" w:rsidR="00FA5870" w:rsidRDefault="005D25A9" w:rsidP="0055302F">
      <w:pPr>
        <w:jc w:val="center"/>
        <w:rPr>
          <w:b/>
          <w:bCs/>
        </w:rPr>
      </w:pPr>
      <w:r w:rsidRPr="005D25A9">
        <w:rPr>
          <w:b/>
          <w:bCs/>
        </w:rPr>
        <w:t>НЕФТЕГАЗОВЫЙ ФАКТОР В РАЗВИТИИ РОССИЙСКО-ГЕРМАНСКИХ ОТНОШЕНИЙ</w:t>
      </w:r>
    </w:p>
    <w:p w14:paraId="03AF6D50" w14:textId="0502B792" w:rsidR="005D25A9" w:rsidRPr="005D25A9" w:rsidRDefault="005D25A9" w:rsidP="0055302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OIL AND GAS FACTOR IN THE DEVELOPMENT OF RUSSIAN-GERMAN RELATIONS</w:t>
      </w:r>
    </w:p>
    <w:p w14:paraId="496AA47D" w14:textId="77777777" w:rsidR="00FA5870" w:rsidRPr="005D25A9" w:rsidRDefault="00FA5870" w:rsidP="005D25A9">
      <w:pPr>
        <w:spacing w:line="240" w:lineRule="auto"/>
        <w:rPr>
          <w:lang w:val="en-US"/>
        </w:rPr>
      </w:pPr>
    </w:p>
    <w:p w14:paraId="62FE55A8" w14:textId="77777777" w:rsidR="005D25A9" w:rsidRDefault="005D25A9" w:rsidP="005D25A9">
      <w:pPr>
        <w:spacing w:line="240" w:lineRule="auto"/>
        <w:ind w:firstLine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Направление 41.04.05 – «Международные отношения»</w:t>
      </w:r>
    </w:p>
    <w:p w14:paraId="5228F20F" w14:textId="77777777" w:rsidR="005D25A9" w:rsidRDefault="005D25A9" w:rsidP="005D25A9">
      <w:pPr>
        <w:spacing w:line="240" w:lineRule="auto"/>
        <w:ind w:firstLine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Основная образовательная программа магистратуры </w:t>
      </w:r>
    </w:p>
    <w:p w14:paraId="07DB1619" w14:textId="77777777" w:rsidR="005D25A9" w:rsidRDefault="005D25A9" w:rsidP="005D25A9">
      <w:pPr>
        <w:spacing w:line="240" w:lineRule="auto"/>
        <w:ind w:firstLine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«Дипломатия Российской Федерации и зарубежных государств»</w:t>
      </w:r>
    </w:p>
    <w:p w14:paraId="700B43E8" w14:textId="77777777" w:rsidR="00FA5870" w:rsidRDefault="00FA5870" w:rsidP="00FA5870">
      <w:pPr>
        <w:spacing w:line="240" w:lineRule="auto"/>
        <w:jc w:val="right"/>
      </w:pPr>
    </w:p>
    <w:p w14:paraId="4D426817" w14:textId="77777777" w:rsidR="00FA5870" w:rsidRDefault="00FA5870" w:rsidP="00FA5870">
      <w:pPr>
        <w:spacing w:line="240" w:lineRule="auto"/>
      </w:pPr>
    </w:p>
    <w:p w14:paraId="5CD6374E" w14:textId="1F2C50BC" w:rsidR="00FA5870" w:rsidRDefault="00FA5870" w:rsidP="00FA5870">
      <w:pPr>
        <w:spacing w:line="192" w:lineRule="auto"/>
        <w:jc w:val="right"/>
      </w:pPr>
      <w:r>
        <w:t>Научный руководитель:</w:t>
      </w:r>
    </w:p>
    <w:p w14:paraId="0193798C" w14:textId="308CB11E" w:rsidR="00FA5870" w:rsidRDefault="00FA5870" w:rsidP="00FF0CDB">
      <w:pPr>
        <w:spacing w:line="192" w:lineRule="auto"/>
        <w:jc w:val="right"/>
      </w:pPr>
      <w:r>
        <w:t>Доцент кафедры европейских</w:t>
      </w:r>
      <w:r w:rsidR="003A6D5D">
        <w:t xml:space="preserve"> </w:t>
      </w:r>
      <w:r>
        <w:t>исследований</w:t>
      </w:r>
      <w:r w:rsidR="005D25A9" w:rsidRPr="005D25A9">
        <w:t xml:space="preserve"> </w:t>
      </w:r>
      <w:r w:rsidR="005D25A9">
        <w:t>СПбГУ</w:t>
      </w:r>
      <w:r>
        <w:t xml:space="preserve">, </w:t>
      </w:r>
    </w:p>
    <w:p w14:paraId="2509A555" w14:textId="08381F2E" w:rsidR="00FA5870" w:rsidRDefault="005D25A9" w:rsidP="00FA5870">
      <w:pPr>
        <w:spacing w:line="192" w:lineRule="auto"/>
        <w:jc w:val="right"/>
      </w:pPr>
      <w:r w:rsidRPr="005D25A9">
        <w:t>к.</w:t>
      </w:r>
      <w:r>
        <w:t xml:space="preserve"> </w:t>
      </w:r>
      <w:r w:rsidRPr="005D25A9">
        <w:t>полит.</w:t>
      </w:r>
      <w:r>
        <w:t xml:space="preserve"> </w:t>
      </w:r>
      <w:r w:rsidRPr="005D25A9">
        <w:t>н.</w:t>
      </w:r>
      <w:r w:rsidR="003A6D5D">
        <w:t>,</w:t>
      </w:r>
      <w:r>
        <w:t xml:space="preserve"> </w:t>
      </w:r>
      <w:r w:rsidR="00162A84">
        <w:t xml:space="preserve">ГРИГОРЬЕВА О.В. </w:t>
      </w:r>
    </w:p>
    <w:p w14:paraId="200359F3" w14:textId="77777777" w:rsidR="00FA5870" w:rsidRDefault="00FA5870" w:rsidP="00FA5870">
      <w:pPr>
        <w:spacing w:line="240" w:lineRule="auto"/>
        <w:jc w:val="right"/>
      </w:pPr>
    </w:p>
    <w:p w14:paraId="3E1B7B2A" w14:textId="14940DB8" w:rsidR="00FA5870" w:rsidRDefault="00FA5870" w:rsidP="005D25A9">
      <w:pPr>
        <w:spacing w:line="192" w:lineRule="auto"/>
        <w:jc w:val="right"/>
      </w:pPr>
      <w:r>
        <w:t xml:space="preserve">Рецензент: </w:t>
      </w:r>
    </w:p>
    <w:p w14:paraId="2B2320F4" w14:textId="77777777" w:rsidR="005D25A9" w:rsidRDefault="005D25A9" w:rsidP="005D25A9">
      <w:pPr>
        <w:spacing w:line="192" w:lineRule="auto"/>
        <w:jc w:val="right"/>
      </w:pPr>
      <w:r w:rsidRPr="005D25A9">
        <w:t xml:space="preserve">Доцент кафедры международных отношений </w:t>
      </w:r>
    </w:p>
    <w:p w14:paraId="7EB06538" w14:textId="1EB066AB" w:rsidR="005D25A9" w:rsidRDefault="003A6D5D" w:rsidP="005D25A9">
      <w:pPr>
        <w:spacing w:line="192" w:lineRule="auto"/>
        <w:jc w:val="right"/>
      </w:pPr>
      <w:r>
        <w:t>ФМО</w:t>
      </w:r>
      <w:r w:rsidR="005D25A9" w:rsidRPr="005D25A9">
        <w:t xml:space="preserve"> СЗИУ</w:t>
      </w:r>
      <w:r>
        <w:t xml:space="preserve"> - </w:t>
      </w:r>
      <w:r w:rsidR="005D25A9" w:rsidRPr="005D25A9">
        <w:t xml:space="preserve">филиал РАНХиГС при Президенте РФ, </w:t>
      </w:r>
    </w:p>
    <w:p w14:paraId="0EDF0B63" w14:textId="5C0385A3" w:rsidR="005D25A9" w:rsidRDefault="005D25A9" w:rsidP="005D25A9">
      <w:pPr>
        <w:spacing w:line="192" w:lineRule="auto"/>
        <w:jc w:val="right"/>
      </w:pPr>
      <w:r w:rsidRPr="005D25A9">
        <w:t>к.</w:t>
      </w:r>
      <w:r>
        <w:t xml:space="preserve"> </w:t>
      </w:r>
      <w:r w:rsidRPr="005D25A9">
        <w:t>полит.</w:t>
      </w:r>
      <w:r>
        <w:t xml:space="preserve"> </w:t>
      </w:r>
      <w:r w:rsidRPr="005D25A9">
        <w:t>н.</w:t>
      </w:r>
      <w:r w:rsidR="003A6D5D">
        <w:t>,</w:t>
      </w:r>
      <w:r w:rsidRPr="005D25A9">
        <w:t xml:space="preserve"> </w:t>
      </w:r>
      <w:r w:rsidR="003A6D5D">
        <w:t>ПРОНЯКИНА</w:t>
      </w:r>
      <w:r w:rsidRPr="005D25A9">
        <w:t xml:space="preserve"> </w:t>
      </w:r>
      <w:r w:rsidR="00162A84">
        <w:t>Е.Д.</w:t>
      </w:r>
    </w:p>
    <w:p w14:paraId="1A6CDA30" w14:textId="129CD530" w:rsidR="00FA5870" w:rsidRDefault="00FA5870" w:rsidP="00FA5870">
      <w:pPr>
        <w:spacing w:line="240" w:lineRule="auto"/>
        <w:jc w:val="center"/>
      </w:pPr>
    </w:p>
    <w:p w14:paraId="30F67713" w14:textId="7A42D8FC" w:rsidR="00FA5870" w:rsidRDefault="00FA5870" w:rsidP="00FA5870">
      <w:pPr>
        <w:spacing w:line="240" w:lineRule="auto"/>
      </w:pPr>
    </w:p>
    <w:p w14:paraId="718B2784" w14:textId="77777777" w:rsidR="00FA5870" w:rsidRDefault="00FA5870" w:rsidP="00FA5870">
      <w:pPr>
        <w:spacing w:line="240" w:lineRule="auto"/>
        <w:jc w:val="center"/>
      </w:pPr>
    </w:p>
    <w:p w14:paraId="6F854A9E" w14:textId="77777777" w:rsidR="003A6D5D" w:rsidRDefault="003A6D5D" w:rsidP="00FA5870">
      <w:pPr>
        <w:spacing w:line="240" w:lineRule="auto"/>
        <w:jc w:val="center"/>
      </w:pPr>
    </w:p>
    <w:p w14:paraId="1548A5E3" w14:textId="77777777" w:rsidR="003A6D5D" w:rsidRDefault="003A6D5D" w:rsidP="00FA5870">
      <w:pPr>
        <w:spacing w:line="240" w:lineRule="auto"/>
        <w:jc w:val="center"/>
      </w:pPr>
    </w:p>
    <w:p w14:paraId="1228FC63" w14:textId="20739A93" w:rsidR="00FA5870" w:rsidRDefault="00FA5870" w:rsidP="00FA5870">
      <w:pPr>
        <w:spacing w:line="240" w:lineRule="auto"/>
        <w:jc w:val="center"/>
      </w:pPr>
      <w:r>
        <w:t>Санкт-Петербург</w:t>
      </w:r>
    </w:p>
    <w:p w14:paraId="5630D761" w14:textId="5B8405BE" w:rsidR="00FA5870" w:rsidRDefault="00FA5870" w:rsidP="00FA5870">
      <w:pPr>
        <w:tabs>
          <w:tab w:val="center" w:pos="4677"/>
          <w:tab w:val="right" w:pos="9355"/>
        </w:tabs>
        <w:spacing w:line="240" w:lineRule="auto"/>
        <w:jc w:val="left"/>
      </w:pPr>
      <w:r>
        <w:tab/>
        <w:t>2020</w:t>
      </w:r>
    </w:p>
    <w:sdt>
      <w:sdtPr>
        <w:rPr>
          <w:rFonts w:ascii="Times New Roman" w:eastAsiaTheme="minorEastAsia" w:hAnsi="Times New Roman" w:cstheme="minorBidi"/>
          <w:color w:val="auto"/>
          <w:sz w:val="24"/>
          <w:szCs w:val="22"/>
        </w:rPr>
        <w:id w:val="8942431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9342145" w14:textId="43CFEC3D" w:rsidR="003F15F3" w:rsidRPr="00B538B6" w:rsidRDefault="003F15F3" w:rsidP="003F15F3">
          <w:pPr>
            <w:pStyle w:val="af7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B538B6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419D234D" w14:textId="5275FC4E" w:rsidR="006D6668" w:rsidRDefault="003F15F3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513171" w:history="1">
            <w:r w:rsidR="006D6668" w:rsidRPr="0073474E">
              <w:rPr>
                <w:rStyle w:val="a8"/>
                <w:noProof/>
              </w:rPr>
              <w:t>Введение</w:t>
            </w:r>
            <w:r w:rsidR="006D6668">
              <w:rPr>
                <w:noProof/>
                <w:webHidden/>
              </w:rPr>
              <w:tab/>
            </w:r>
            <w:r w:rsidR="006D6668">
              <w:rPr>
                <w:noProof/>
                <w:webHidden/>
              </w:rPr>
              <w:fldChar w:fldCharType="begin"/>
            </w:r>
            <w:r w:rsidR="006D6668">
              <w:rPr>
                <w:noProof/>
                <w:webHidden/>
              </w:rPr>
              <w:instrText xml:space="preserve"> PAGEREF _Toc41513171 \h </w:instrText>
            </w:r>
            <w:r w:rsidR="006D6668">
              <w:rPr>
                <w:noProof/>
                <w:webHidden/>
              </w:rPr>
            </w:r>
            <w:r w:rsidR="006D6668">
              <w:rPr>
                <w:noProof/>
                <w:webHidden/>
              </w:rPr>
              <w:fldChar w:fldCharType="separate"/>
            </w:r>
            <w:r w:rsidR="006D6668">
              <w:rPr>
                <w:noProof/>
                <w:webHidden/>
              </w:rPr>
              <w:t>3</w:t>
            </w:r>
            <w:r w:rsidR="006D6668">
              <w:rPr>
                <w:noProof/>
                <w:webHidden/>
              </w:rPr>
              <w:fldChar w:fldCharType="end"/>
            </w:r>
          </w:hyperlink>
        </w:p>
        <w:p w14:paraId="44600588" w14:textId="52421C81" w:rsidR="006D6668" w:rsidRDefault="002C6C11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1513172" w:history="1">
            <w:r w:rsidR="006D6668" w:rsidRPr="0073474E">
              <w:rPr>
                <w:rStyle w:val="a8"/>
                <w:noProof/>
              </w:rPr>
              <w:t>Глава 1. Нефтегазовый фактор в современной системе международных отношений</w:t>
            </w:r>
            <w:r w:rsidR="006D6668">
              <w:rPr>
                <w:noProof/>
                <w:webHidden/>
              </w:rPr>
              <w:tab/>
            </w:r>
            <w:r w:rsidR="006D6668">
              <w:rPr>
                <w:noProof/>
                <w:webHidden/>
              </w:rPr>
              <w:fldChar w:fldCharType="begin"/>
            </w:r>
            <w:r w:rsidR="006D6668">
              <w:rPr>
                <w:noProof/>
                <w:webHidden/>
              </w:rPr>
              <w:instrText xml:space="preserve"> PAGEREF _Toc41513172 \h </w:instrText>
            </w:r>
            <w:r w:rsidR="006D6668">
              <w:rPr>
                <w:noProof/>
                <w:webHidden/>
              </w:rPr>
            </w:r>
            <w:r w:rsidR="006D6668">
              <w:rPr>
                <w:noProof/>
                <w:webHidden/>
              </w:rPr>
              <w:fldChar w:fldCharType="separate"/>
            </w:r>
            <w:r w:rsidR="006D6668">
              <w:rPr>
                <w:noProof/>
                <w:webHidden/>
              </w:rPr>
              <w:t>8</w:t>
            </w:r>
            <w:r w:rsidR="006D6668">
              <w:rPr>
                <w:noProof/>
                <w:webHidden/>
              </w:rPr>
              <w:fldChar w:fldCharType="end"/>
            </w:r>
          </w:hyperlink>
        </w:p>
        <w:p w14:paraId="32C113F7" w14:textId="580611AD" w:rsidR="006D6668" w:rsidRDefault="002C6C11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1513173" w:history="1">
            <w:r w:rsidR="006D6668" w:rsidRPr="0073474E">
              <w:rPr>
                <w:rStyle w:val="a8"/>
                <w:noProof/>
              </w:rPr>
              <w:t>1.1.</w:t>
            </w:r>
            <w:r w:rsidR="006D6668">
              <w:rPr>
                <w:rFonts w:asciiTheme="minorHAnsi" w:hAnsiTheme="minorHAnsi"/>
                <w:noProof/>
                <w:sz w:val="22"/>
              </w:rPr>
              <w:tab/>
            </w:r>
            <w:r w:rsidR="006D6668" w:rsidRPr="0073474E">
              <w:rPr>
                <w:rStyle w:val="a8"/>
                <w:noProof/>
              </w:rPr>
              <w:t>Неолиберальная парадигма международных отношений как теоретическое обоснование развития глобального нефтегазового рынка.</w:t>
            </w:r>
            <w:r w:rsidR="006D6668">
              <w:rPr>
                <w:noProof/>
                <w:webHidden/>
              </w:rPr>
              <w:tab/>
            </w:r>
            <w:r w:rsidR="006D6668">
              <w:rPr>
                <w:noProof/>
                <w:webHidden/>
              </w:rPr>
              <w:fldChar w:fldCharType="begin"/>
            </w:r>
            <w:r w:rsidR="006D6668">
              <w:rPr>
                <w:noProof/>
                <w:webHidden/>
              </w:rPr>
              <w:instrText xml:space="preserve"> PAGEREF _Toc41513173 \h </w:instrText>
            </w:r>
            <w:r w:rsidR="006D6668">
              <w:rPr>
                <w:noProof/>
                <w:webHidden/>
              </w:rPr>
            </w:r>
            <w:r w:rsidR="006D6668">
              <w:rPr>
                <w:noProof/>
                <w:webHidden/>
              </w:rPr>
              <w:fldChar w:fldCharType="separate"/>
            </w:r>
            <w:r w:rsidR="006D6668">
              <w:rPr>
                <w:noProof/>
                <w:webHidden/>
              </w:rPr>
              <w:t>8</w:t>
            </w:r>
            <w:r w:rsidR="006D6668">
              <w:rPr>
                <w:noProof/>
                <w:webHidden/>
              </w:rPr>
              <w:fldChar w:fldCharType="end"/>
            </w:r>
          </w:hyperlink>
        </w:p>
        <w:p w14:paraId="3427B13D" w14:textId="2854FCB6" w:rsidR="006D6668" w:rsidRDefault="002C6C11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1513174" w:history="1">
            <w:r w:rsidR="006D6668" w:rsidRPr="0073474E">
              <w:rPr>
                <w:rStyle w:val="a8"/>
                <w:noProof/>
              </w:rPr>
              <w:t>1.2.</w:t>
            </w:r>
            <w:r w:rsidR="006D6668">
              <w:rPr>
                <w:rFonts w:asciiTheme="minorHAnsi" w:hAnsiTheme="minorHAnsi"/>
                <w:noProof/>
                <w:sz w:val="22"/>
              </w:rPr>
              <w:tab/>
            </w:r>
            <w:r w:rsidR="006D6668" w:rsidRPr="0073474E">
              <w:rPr>
                <w:rStyle w:val="a8"/>
                <w:noProof/>
              </w:rPr>
              <w:t>Этапы становления нефтегазовой отрасли и формирования глобальных рынков энергоносителей</w:t>
            </w:r>
            <w:r w:rsidR="006D6668">
              <w:rPr>
                <w:noProof/>
                <w:webHidden/>
              </w:rPr>
              <w:tab/>
            </w:r>
            <w:r w:rsidR="006D6668">
              <w:rPr>
                <w:noProof/>
                <w:webHidden/>
              </w:rPr>
              <w:fldChar w:fldCharType="begin"/>
            </w:r>
            <w:r w:rsidR="006D6668">
              <w:rPr>
                <w:noProof/>
                <w:webHidden/>
              </w:rPr>
              <w:instrText xml:space="preserve"> PAGEREF _Toc41513174 \h </w:instrText>
            </w:r>
            <w:r w:rsidR="006D6668">
              <w:rPr>
                <w:noProof/>
                <w:webHidden/>
              </w:rPr>
            </w:r>
            <w:r w:rsidR="006D6668">
              <w:rPr>
                <w:noProof/>
                <w:webHidden/>
              </w:rPr>
              <w:fldChar w:fldCharType="separate"/>
            </w:r>
            <w:r w:rsidR="006D6668">
              <w:rPr>
                <w:noProof/>
                <w:webHidden/>
              </w:rPr>
              <w:t>12</w:t>
            </w:r>
            <w:r w:rsidR="006D6668">
              <w:rPr>
                <w:noProof/>
                <w:webHidden/>
              </w:rPr>
              <w:fldChar w:fldCharType="end"/>
            </w:r>
          </w:hyperlink>
        </w:p>
        <w:p w14:paraId="71C74813" w14:textId="25C3AD6C" w:rsidR="006D6668" w:rsidRDefault="002C6C11">
          <w:pPr>
            <w:pStyle w:val="32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1513175" w:history="1">
            <w:r w:rsidR="006D6668" w:rsidRPr="0073474E">
              <w:rPr>
                <w:rStyle w:val="a8"/>
                <w:noProof/>
              </w:rPr>
              <w:t>1.2.1.</w:t>
            </w:r>
            <w:r w:rsidR="006D6668">
              <w:rPr>
                <w:rFonts w:asciiTheme="minorHAnsi" w:hAnsiTheme="minorHAnsi"/>
                <w:noProof/>
                <w:sz w:val="22"/>
              </w:rPr>
              <w:tab/>
            </w:r>
            <w:r w:rsidR="006D6668" w:rsidRPr="0073474E">
              <w:rPr>
                <w:rStyle w:val="a8"/>
                <w:noProof/>
              </w:rPr>
              <w:t>Исторический аспект становления глобального рынка нефти и газа</w:t>
            </w:r>
            <w:r w:rsidR="006D6668">
              <w:rPr>
                <w:noProof/>
                <w:webHidden/>
              </w:rPr>
              <w:tab/>
            </w:r>
            <w:r w:rsidR="006D6668">
              <w:rPr>
                <w:noProof/>
                <w:webHidden/>
              </w:rPr>
              <w:fldChar w:fldCharType="begin"/>
            </w:r>
            <w:r w:rsidR="006D6668">
              <w:rPr>
                <w:noProof/>
                <w:webHidden/>
              </w:rPr>
              <w:instrText xml:space="preserve"> PAGEREF _Toc41513175 \h </w:instrText>
            </w:r>
            <w:r w:rsidR="006D6668">
              <w:rPr>
                <w:noProof/>
                <w:webHidden/>
              </w:rPr>
            </w:r>
            <w:r w:rsidR="006D6668">
              <w:rPr>
                <w:noProof/>
                <w:webHidden/>
              </w:rPr>
              <w:fldChar w:fldCharType="separate"/>
            </w:r>
            <w:r w:rsidR="006D6668">
              <w:rPr>
                <w:noProof/>
                <w:webHidden/>
              </w:rPr>
              <w:t>12</w:t>
            </w:r>
            <w:r w:rsidR="006D6668">
              <w:rPr>
                <w:noProof/>
                <w:webHidden/>
              </w:rPr>
              <w:fldChar w:fldCharType="end"/>
            </w:r>
          </w:hyperlink>
        </w:p>
        <w:p w14:paraId="0524F5B8" w14:textId="18443800" w:rsidR="006D6668" w:rsidRDefault="002C6C11">
          <w:pPr>
            <w:pStyle w:val="32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1513176" w:history="1">
            <w:r w:rsidR="006D6668" w:rsidRPr="0073474E">
              <w:rPr>
                <w:rStyle w:val="a8"/>
                <w:noProof/>
              </w:rPr>
              <w:t>1.2.2.</w:t>
            </w:r>
            <w:r w:rsidR="006D6668">
              <w:rPr>
                <w:rFonts w:asciiTheme="minorHAnsi" w:hAnsiTheme="minorHAnsi"/>
                <w:noProof/>
                <w:sz w:val="22"/>
              </w:rPr>
              <w:tab/>
            </w:r>
            <w:r w:rsidR="006D6668" w:rsidRPr="0073474E">
              <w:rPr>
                <w:rStyle w:val="a8"/>
                <w:noProof/>
              </w:rPr>
              <w:t>Ключевые акторы на глобальном рынке нефти и газа</w:t>
            </w:r>
            <w:r w:rsidR="006D6668">
              <w:rPr>
                <w:noProof/>
                <w:webHidden/>
              </w:rPr>
              <w:tab/>
            </w:r>
            <w:r w:rsidR="006D6668">
              <w:rPr>
                <w:noProof/>
                <w:webHidden/>
              </w:rPr>
              <w:fldChar w:fldCharType="begin"/>
            </w:r>
            <w:r w:rsidR="006D6668">
              <w:rPr>
                <w:noProof/>
                <w:webHidden/>
              </w:rPr>
              <w:instrText xml:space="preserve"> PAGEREF _Toc41513176 \h </w:instrText>
            </w:r>
            <w:r w:rsidR="006D6668">
              <w:rPr>
                <w:noProof/>
                <w:webHidden/>
              </w:rPr>
            </w:r>
            <w:r w:rsidR="006D6668">
              <w:rPr>
                <w:noProof/>
                <w:webHidden/>
              </w:rPr>
              <w:fldChar w:fldCharType="separate"/>
            </w:r>
            <w:r w:rsidR="006D6668">
              <w:rPr>
                <w:noProof/>
                <w:webHidden/>
              </w:rPr>
              <w:t>14</w:t>
            </w:r>
            <w:r w:rsidR="006D6668">
              <w:rPr>
                <w:noProof/>
                <w:webHidden/>
              </w:rPr>
              <w:fldChar w:fldCharType="end"/>
            </w:r>
          </w:hyperlink>
        </w:p>
        <w:p w14:paraId="75F34E36" w14:textId="2DF5BFB5" w:rsidR="006D6668" w:rsidRDefault="002C6C11">
          <w:pPr>
            <w:pStyle w:val="32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1513177" w:history="1">
            <w:r w:rsidR="006D6668" w:rsidRPr="0073474E">
              <w:rPr>
                <w:rStyle w:val="a8"/>
                <w:noProof/>
              </w:rPr>
              <w:t>1.2.3.</w:t>
            </w:r>
            <w:r w:rsidR="006D6668">
              <w:rPr>
                <w:rFonts w:asciiTheme="minorHAnsi" w:hAnsiTheme="minorHAnsi"/>
                <w:noProof/>
                <w:sz w:val="22"/>
              </w:rPr>
              <w:tab/>
            </w:r>
            <w:r w:rsidR="006D6668" w:rsidRPr="0073474E">
              <w:rPr>
                <w:rStyle w:val="a8"/>
                <w:noProof/>
              </w:rPr>
              <w:t>Перспективы нефти и газа в структуре глобального энергетического баланса</w:t>
            </w:r>
            <w:r w:rsidR="006D6668">
              <w:rPr>
                <w:noProof/>
                <w:webHidden/>
              </w:rPr>
              <w:tab/>
            </w:r>
            <w:r w:rsidR="006D6668">
              <w:rPr>
                <w:noProof/>
                <w:webHidden/>
              </w:rPr>
              <w:fldChar w:fldCharType="begin"/>
            </w:r>
            <w:r w:rsidR="006D6668">
              <w:rPr>
                <w:noProof/>
                <w:webHidden/>
              </w:rPr>
              <w:instrText xml:space="preserve"> PAGEREF _Toc41513177 \h </w:instrText>
            </w:r>
            <w:r w:rsidR="006D6668">
              <w:rPr>
                <w:noProof/>
                <w:webHidden/>
              </w:rPr>
            </w:r>
            <w:r w:rsidR="006D6668">
              <w:rPr>
                <w:noProof/>
                <w:webHidden/>
              </w:rPr>
              <w:fldChar w:fldCharType="separate"/>
            </w:r>
            <w:r w:rsidR="006D6668">
              <w:rPr>
                <w:noProof/>
                <w:webHidden/>
              </w:rPr>
              <w:t>21</w:t>
            </w:r>
            <w:r w:rsidR="006D6668">
              <w:rPr>
                <w:noProof/>
                <w:webHidden/>
              </w:rPr>
              <w:fldChar w:fldCharType="end"/>
            </w:r>
          </w:hyperlink>
        </w:p>
        <w:p w14:paraId="120C5A91" w14:textId="6BF7640A" w:rsidR="006D6668" w:rsidRDefault="002C6C11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1513178" w:history="1">
            <w:r w:rsidR="006D6668" w:rsidRPr="0073474E">
              <w:rPr>
                <w:rStyle w:val="a8"/>
                <w:noProof/>
              </w:rPr>
              <w:t>Глава 2. Исторический аспект развития российско-германских отношений в рамках концепции «союз ресурсов и технологий»</w:t>
            </w:r>
            <w:r w:rsidR="006D6668">
              <w:rPr>
                <w:noProof/>
                <w:webHidden/>
              </w:rPr>
              <w:tab/>
            </w:r>
            <w:r w:rsidR="006D6668">
              <w:rPr>
                <w:noProof/>
                <w:webHidden/>
              </w:rPr>
              <w:fldChar w:fldCharType="begin"/>
            </w:r>
            <w:r w:rsidR="006D6668">
              <w:rPr>
                <w:noProof/>
                <w:webHidden/>
              </w:rPr>
              <w:instrText xml:space="preserve"> PAGEREF _Toc41513178 \h </w:instrText>
            </w:r>
            <w:r w:rsidR="006D6668">
              <w:rPr>
                <w:noProof/>
                <w:webHidden/>
              </w:rPr>
            </w:r>
            <w:r w:rsidR="006D6668">
              <w:rPr>
                <w:noProof/>
                <w:webHidden/>
              </w:rPr>
              <w:fldChar w:fldCharType="separate"/>
            </w:r>
            <w:r w:rsidR="006D6668">
              <w:rPr>
                <w:noProof/>
                <w:webHidden/>
              </w:rPr>
              <w:t>26</w:t>
            </w:r>
            <w:r w:rsidR="006D6668">
              <w:rPr>
                <w:noProof/>
                <w:webHidden/>
              </w:rPr>
              <w:fldChar w:fldCharType="end"/>
            </w:r>
          </w:hyperlink>
        </w:p>
        <w:p w14:paraId="7EFB2458" w14:textId="15FC03DB" w:rsidR="006D6668" w:rsidRDefault="002C6C11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1513179" w:history="1">
            <w:r w:rsidR="006D6668" w:rsidRPr="0073474E">
              <w:rPr>
                <w:rStyle w:val="a8"/>
                <w:noProof/>
              </w:rPr>
              <w:t>2.1.</w:t>
            </w:r>
            <w:r w:rsidR="006D6668">
              <w:rPr>
                <w:rFonts w:asciiTheme="minorHAnsi" w:hAnsiTheme="minorHAnsi"/>
                <w:noProof/>
                <w:sz w:val="22"/>
              </w:rPr>
              <w:tab/>
            </w:r>
            <w:r w:rsidR="006D6668" w:rsidRPr="0073474E">
              <w:rPr>
                <w:rStyle w:val="a8"/>
                <w:noProof/>
              </w:rPr>
              <w:t>История развития российско-германских торгово-экономических отношений до 1991 г.</w:t>
            </w:r>
            <w:r w:rsidR="006D6668">
              <w:rPr>
                <w:noProof/>
                <w:webHidden/>
              </w:rPr>
              <w:tab/>
            </w:r>
            <w:r w:rsidR="006D6668">
              <w:rPr>
                <w:noProof/>
                <w:webHidden/>
              </w:rPr>
              <w:fldChar w:fldCharType="begin"/>
            </w:r>
            <w:r w:rsidR="006D6668">
              <w:rPr>
                <w:noProof/>
                <w:webHidden/>
              </w:rPr>
              <w:instrText xml:space="preserve"> PAGEREF _Toc41513179 \h </w:instrText>
            </w:r>
            <w:r w:rsidR="006D6668">
              <w:rPr>
                <w:noProof/>
                <w:webHidden/>
              </w:rPr>
            </w:r>
            <w:r w:rsidR="006D6668">
              <w:rPr>
                <w:noProof/>
                <w:webHidden/>
              </w:rPr>
              <w:fldChar w:fldCharType="separate"/>
            </w:r>
            <w:r w:rsidR="006D6668">
              <w:rPr>
                <w:noProof/>
                <w:webHidden/>
              </w:rPr>
              <w:t>26</w:t>
            </w:r>
            <w:r w:rsidR="006D6668">
              <w:rPr>
                <w:noProof/>
                <w:webHidden/>
              </w:rPr>
              <w:fldChar w:fldCharType="end"/>
            </w:r>
          </w:hyperlink>
        </w:p>
        <w:p w14:paraId="03AE429A" w14:textId="015CAE1F" w:rsidR="006D6668" w:rsidRDefault="002C6C11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1513180" w:history="1">
            <w:r w:rsidR="006D6668" w:rsidRPr="0073474E">
              <w:rPr>
                <w:rStyle w:val="a8"/>
                <w:noProof/>
              </w:rPr>
              <w:t>2.2.</w:t>
            </w:r>
            <w:r w:rsidR="006D6668">
              <w:rPr>
                <w:rFonts w:asciiTheme="minorHAnsi" w:hAnsiTheme="minorHAnsi"/>
                <w:noProof/>
                <w:sz w:val="22"/>
              </w:rPr>
              <w:tab/>
            </w:r>
            <w:r w:rsidR="006D6668" w:rsidRPr="0073474E">
              <w:rPr>
                <w:rStyle w:val="a8"/>
                <w:noProof/>
              </w:rPr>
              <w:t>История развития российско-германских торгово-экономических отношений с 1991 по настоящее время</w:t>
            </w:r>
            <w:r w:rsidR="006D6668">
              <w:rPr>
                <w:noProof/>
                <w:webHidden/>
              </w:rPr>
              <w:tab/>
            </w:r>
            <w:r w:rsidR="006D6668">
              <w:rPr>
                <w:noProof/>
                <w:webHidden/>
              </w:rPr>
              <w:fldChar w:fldCharType="begin"/>
            </w:r>
            <w:r w:rsidR="006D6668">
              <w:rPr>
                <w:noProof/>
                <w:webHidden/>
              </w:rPr>
              <w:instrText xml:space="preserve"> PAGEREF _Toc41513180 \h </w:instrText>
            </w:r>
            <w:r w:rsidR="006D6668">
              <w:rPr>
                <w:noProof/>
                <w:webHidden/>
              </w:rPr>
            </w:r>
            <w:r w:rsidR="006D6668">
              <w:rPr>
                <w:noProof/>
                <w:webHidden/>
              </w:rPr>
              <w:fldChar w:fldCharType="separate"/>
            </w:r>
            <w:r w:rsidR="006D6668">
              <w:rPr>
                <w:noProof/>
                <w:webHidden/>
              </w:rPr>
              <w:t>37</w:t>
            </w:r>
            <w:r w:rsidR="006D6668">
              <w:rPr>
                <w:noProof/>
                <w:webHidden/>
              </w:rPr>
              <w:fldChar w:fldCharType="end"/>
            </w:r>
          </w:hyperlink>
        </w:p>
        <w:p w14:paraId="4F3DC085" w14:textId="78B1E2F8" w:rsidR="006D6668" w:rsidRDefault="002C6C11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1513181" w:history="1">
            <w:r w:rsidR="006D6668" w:rsidRPr="0073474E">
              <w:rPr>
                <w:rStyle w:val="a8"/>
                <w:noProof/>
              </w:rPr>
              <w:t>Глава 3. Перспективы российско-германского сотрудничества в сфере энергоресурсов и технологий.</w:t>
            </w:r>
            <w:r w:rsidR="006D6668">
              <w:rPr>
                <w:noProof/>
                <w:webHidden/>
              </w:rPr>
              <w:tab/>
            </w:r>
            <w:r w:rsidR="006D6668">
              <w:rPr>
                <w:noProof/>
                <w:webHidden/>
              </w:rPr>
              <w:fldChar w:fldCharType="begin"/>
            </w:r>
            <w:r w:rsidR="006D6668">
              <w:rPr>
                <w:noProof/>
                <w:webHidden/>
              </w:rPr>
              <w:instrText xml:space="preserve"> PAGEREF _Toc41513181 \h </w:instrText>
            </w:r>
            <w:r w:rsidR="006D6668">
              <w:rPr>
                <w:noProof/>
                <w:webHidden/>
              </w:rPr>
            </w:r>
            <w:r w:rsidR="006D6668">
              <w:rPr>
                <w:noProof/>
                <w:webHidden/>
              </w:rPr>
              <w:fldChar w:fldCharType="separate"/>
            </w:r>
            <w:r w:rsidR="006D6668">
              <w:rPr>
                <w:noProof/>
                <w:webHidden/>
              </w:rPr>
              <w:t>53</w:t>
            </w:r>
            <w:r w:rsidR="006D6668">
              <w:rPr>
                <w:noProof/>
                <w:webHidden/>
              </w:rPr>
              <w:fldChar w:fldCharType="end"/>
            </w:r>
          </w:hyperlink>
        </w:p>
        <w:p w14:paraId="0F0F9F76" w14:textId="1E726F17" w:rsidR="006D6668" w:rsidRDefault="002C6C11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1513182" w:history="1">
            <w:r w:rsidR="006D6668" w:rsidRPr="0073474E">
              <w:rPr>
                <w:rStyle w:val="a8"/>
                <w:noProof/>
              </w:rPr>
              <w:t>3.1.</w:t>
            </w:r>
            <w:r w:rsidR="006D6668">
              <w:rPr>
                <w:rFonts w:asciiTheme="minorHAnsi" w:hAnsiTheme="minorHAnsi"/>
                <w:noProof/>
                <w:sz w:val="22"/>
              </w:rPr>
              <w:tab/>
            </w:r>
            <w:r w:rsidR="006D6668" w:rsidRPr="0073474E">
              <w:rPr>
                <w:rStyle w:val="a8"/>
                <w:noProof/>
              </w:rPr>
              <w:t>Факторы, определяющие будущее российско-германского сотрудничества</w:t>
            </w:r>
            <w:r w:rsidR="006D6668">
              <w:rPr>
                <w:noProof/>
                <w:webHidden/>
              </w:rPr>
              <w:tab/>
            </w:r>
            <w:r w:rsidR="006D6668">
              <w:rPr>
                <w:noProof/>
                <w:webHidden/>
              </w:rPr>
              <w:fldChar w:fldCharType="begin"/>
            </w:r>
            <w:r w:rsidR="006D6668">
              <w:rPr>
                <w:noProof/>
                <w:webHidden/>
              </w:rPr>
              <w:instrText xml:space="preserve"> PAGEREF _Toc41513182 \h </w:instrText>
            </w:r>
            <w:r w:rsidR="006D6668">
              <w:rPr>
                <w:noProof/>
                <w:webHidden/>
              </w:rPr>
            </w:r>
            <w:r w:rsidR="006D6668">
              <w:rPr>
                <w:noProof/>
                <w:webHidden/>
              </w:rPr>
              <w:fldChar w:fldCharType="separate"/>
            </w:r>
            <w:r w:rsidR="006D6668">
              <w:rPr>
                <w:noProof/>
                <w:webHidden/>
              </w:rPr>
              <w:t>53</w:t>
            </w:r>
            <w:r w:rsidR="006D6668">
              <w:rPr>
                <w:noProof/>
                <w:webHidden/>
              </w:rPr>
              <w:fldChar w:fldCharType="end"/>
            </w:r>
          </w:hyperlink>
        </w:p>
        <w:p w14:paraId="65652FFB" w14:textId="3F5AA01C" w:rsidR="006D6668" w:rsidRDefault="002C6C11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1513183" w:history="1">
            <w:r w:rsidR="006D6668" w:rsidRPr="0073474E">
              <w:rPr>
                <w:rStyle w:val="a8"/>
                <w:noProof/>
              </w:rPr>
              <w:t>3.2.</w:t>
            </w:r>
            <w:r w:rsidR="006D6668">
              <w:rPr>
                <w:rFonts w:asciiTheme="minorHAnsi" w:hAnsiTheme="minorHAnsi"/>
                <w:noProof/>
                <w:sz w:val="22"/>
              </w:rPr>
              <w:tab/>
            </w:r>
            <w:r w:rsidR="006D6668" w:rsidRPr="0073474E">
              <w:rPr>
                <w:rStyle w:val="a8"/>
                <w:noProof/>
              </w:rPr>
              <w:t>Сценарии развития российско-германских отношений</w:t>
            </w:r>
            <w:r w:rsidR="006D6668">
              <w:rPr>
                <w:noProof/>
                <w:webHidden/>
              </w:rPr>
              <w:tab/>
            </w:r>
            <w:r w:rsidR="006D6668">
              <w:rPr>
                <w:noProof/>
                <w:webHidden/>
              </w:rPr>
              <w:fldChar w:fldCharType="begin"/>
            </w:r>
            <w:r w:rsidR="006D6668">
              <w:rPr>
                <w:noProof/>
                <w:webHidden/>
              </w:rPr>
              <w:instrText xml:space="preserve"> PAGEREF _Toc41513183 \h </w:instrText>
            </w:r>
            <w:r w:rsidR="006D6668">
              <w:rPr>
                <w:noProof/>
                <w:webHidden/>
              </w:rPr>
            </w:r>
            <w:r w:rsidR="006D6668">
              <w:rPr>
                <w:noProof/>
                <w:webHidden/>
              </w:rPr>
              <w:fldChar w:fldCharType="separate"/>
            </w:r>
            <w:r w:rsidR="006D6668">
              <w:rPr>
                <w:noProof/>
                <w:webHidden/>
              </w:rPr>
              <w:t>62</w:t>
            </w:r>
            <w:r w:rsidR="006D6668">
              <w:rPr>
                <w:noProof/>
                <w:webHidden/>
              </w:rPr>
              <w:fldChar w:fldCharType="end"/>
            </w:r>
          </w:hyperlink>
        </w:p>
        <w:p w14:paraId="75EEA046" w14:textId="6579CAB8" w:rsidR="006D6668" w:rsidRDefault="002C6C11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1513184" w:history="1">
            <w:r w:rsidR="006D6668" w:rsidRPr="0073474E">
              <w:rPr>
                <w:rStyle w:val="a8"/>
                <w:noProof/>
              </w:rPr>
              <w:t>Заключение</w:t>
            </w:r>
            <w:r w:rsidR="006D6668">
              <w:rPr>
                <w:noProof/>
                <w:webHidden/>
              </w:rPr>
              <w:tab/>
            </w:r>
            <w:r w:rsidR="006D6668">
              <w:rPr>
                <w:noProof/>
                <w:webHidden/>
              </w:rPr>
              <w:fldChar w:fldCharType="begin"/>
            </w:r>
            <w:r w:rsidR="006D6668">
              <w:rPr>
                <w:noProof/>
                <w:webHidden/>
              </w:rPr>
              <w:instrText xml:space="preserve"> PAGEREF _Toc41513184 \h </w:instrText>
            </w:r>
            <w:r w:rsidR="006D6668">
              <w:rPr>
                <w:noProof/>
                <w:webHidden/>
              </w:rPr>
            </w:r>
            <w:r w:rsidR="006D6668">
              <w:rPr>
                <w:noProof/>
                <w:webHidden/>
              </w:rPr>
              <w:fldChar w:fldCharType="separate"/>
            </w:r>
            <w:r w:rsidR="006D6668">
              <w:rPr>
                <w:noProof/>
                <w:webHidden/>
              </w:rPr>
              <w:t>69</w:t>
            </w:r>
            <w:r w:rsidR="006D6668">
              <w:rPr>
                <w:noProof/>
                <w:webHidden/>
              </w:rPr>
              <w:fldChar w:fldCharType="end"/>
            </w:r>
          </w:hyperlink>
        </w:p>
        <w:p w14:paraId="5E879371" w14:textId="7368CB8B" w:rsidR="006D6668" w:rsidRDefault="002C6C11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1513185" w:history="1">
            <w:r w:rsidR="006D6668" w:rsidRPr="0073474E">
              <w:rPr>
                <w:rStyle w:val="a8"/>
                <w:noProof/>
              </w:rPr>
              <w:t>Список источников и литературы</w:t>
            </w:r>
            <w:r w:rsidR="006D6668">
              <w:rPr>
                <w:noProof/>
                <w:webHidden/>
              </w:rPr>
              <w:tab/>
            </w:r>
            <w:r w:rsidR="006D6668">
              <w:rPr>
                <w:noProof/>
                <w:webHidden/>
              </w:rPr>
              <w:fldChar w:fldCharType="begin"/>
            </w:r>
            <w:r w:rsidR="006D6668">
              <w:rPr>
                <w:noProof/>
                <w:webHidden/>
              </w:rPr>
              <w:instrText xml:space="preserve"> PAGEREF _Toc41513185 \h </w:instrText>
            </w:r>
            <w:r w:rsidR="006D6668">
              <w:rPr>
                <w:noProof/>
                <w:webHidden/>
              </w:rPr>
            </w:r>
            <w:r w:rsidR="006D6668">
              <w:rPr>
                <w:noProof/>
                <w:webHidden/>
              </w:rPr>
              <w:fldChar w:fldCharType="separate"/>
            </w:r>
            <w:r w:rsidR="006D6668">
              <w:rPr>
                <w:noProof/>
                <w:webHidden/>
              </w:rPr>
              <w:t>72</w:t>
            </w:r>
            <w:r w:rsidR="006D6668">
              <w:rPr>
                <w:noProof/>
                <w:webHidden/>
              </w:rPr>
              <w:fldChar w:fldCharType="end"/>
            </w:r>
          </w:hyperlink>
        </w:p>
        <w:p w14:paraId="12303331" w14:textId="1C13FFF2" w:rsidR="006D6668" w:rsidRDefault="002C6C11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1513186" w:history="1">
            <w:r w:rsidR="006D6668" w:rsidRPr="0073474E">
              <w:rPr>
                <w:rStyle w:val="a8"/>
                <w:noProof/>
              </w:rPr>
              <w:t>Приложения</w:t>
            </w:r>
            <w:r w:rsidR="006D6668">
              <w:rPr>
                <w:noProof/>
                <w:webHidden/>
              </w:rPr>
              <w:tab/>
            </w:r>
            <w:r w:rsidR="006D6668">
              <w:rPr>
                <w:noProof/>
                <w:webHidden/>
              </w:rPr>
              <w:fldChar w:fldCharType="begin"/>
            </w:r>
            <w:r w:rsidR="006D6668">
              <w:rPr>
                <w:noProof/>
                <w:webHidden/>
              </w:rPr>
              <w:instrText xml:space="preserve"> PAGEREF _Toc41513186 \h </w:instrText>
            </w:r>
            <w:r w:rsidR="006D6668">
              <w:rPr>
                <w:noProof/>
                <w:webHidden/>
              </w:rPr>
            </w:r>
            <w:r w:rsidR="006D6668">
              <w:rPr>
                <w:noProof/>
                <w:webHidden/>
              </w:rPr>
              <w:fldChar w:fldCharType="separate"/>
            </w:r>
            <w:r w:rsidR="006D6668">
              <w:rPr>
                <w:noProof/>
                <w:webHidden/>
              </w:rPr>
              <w:t>78</w:t>
            </w:r>
            <w:r w:rsidR="006D6668">
              <w:rPr>
                <w:noProof/>
                <w:webHidden/>
              </w:rPr>
              <w:fldChar w:fldCharType="end"/>
            </w:r>
          </w:hyperlink>
        </w:p>
        <w:p w14:paraId="4FED11BB" w14:textId="5E2889CF" w:rsidR="003F15F3" w:rsidRDefault="003F15F3">
          <w:r>
            <w:rPr>
              <w:b/>
              <w:bCs/>
            </w:rPr>
            <w:fldChar w:fldCharType="end"/>
          </w:r>
        </w:p>
      </w:sdtContent>
    </w:sdt>
    <w:p w14:paraId="72DD2728" w14:textId="48A58478" w:rsidR="003F15F3" w:rsidRDefault="003F15F3" w:rsidP="00FA5870">
      <w:pPr>
        <w:tabs>
          <w:tab w:val="center" w:pos="4677"/>
          <w:tab w:val="right" w:pos="9355"/>
        </w:tabs>
        <w:spacing w:line="240" w:lineRule="auto"/>
        <w:jc w:val="left"/>
      </w:pPr>
    </w:p>
    <w:p w14:paraId="10D7BF65" w14:textId="3FD64A53" w:rsidR="003F15F3" w:rsidRDefault="003F15F3" w:rsidP="00FA5870">
      <w:pPr>
        <w:tabs>
          <w:tab w:val="center" w:pos="4677"/>
          <w:tab w:val="right" w:pos="9355"/>
        </w:tabs>
        <w:spacing w:line="240" w:lineRule="auto"/>
        <w:jc w:val="left"/>
      </w:pPr>
    </w:p>
    <w:p w14:paraId="1AEE3AAE" w14:textId="1FF9EF4E" w:rsidR="003F15F3" w:rsidRDefault="003F15F3" w:rsidP="00FA5870">
      <w:pPr>
        <w:tabs>
          <w:tab w:val="center" w:pos="4677"/>
          <w:tab w:val="right" w:pos="9355"/>
        </w:tabs>
        <w:spacing w:line="240" w:lineRule="auto"/>
        <w:jc w:val="left"/>
      </w:pPr>
    </w:p>
    <w:p w14:paraId="525E4F63" w14:textId="340D902C" w:rsidR="003F15F3" w:rsidRDefault="003F15F3" w:rsidP="00FA5870">
      <w:pPr>
        <w:tabs>
          <w:tab w:val="center" w:pos="4677"/>
          <w:tab w:val="right" w:pos="9355"/>
        </w:tabs>
        <w:spacing w:line="240" w:lineRule="auto"/>
        <w:jc w:val="left"/>
      </w:pPr>
    </w:p>
    <w:p w14:paraId="6C3EAB73" w14:textId="77777777" w:rsidR="003F15F3" w:rsidRDefault="003F15F3" w:rsidP="00FA5870">
      <w:pPr>
        <w:tabs>
          <w:tab w:val="center" w:pos="4677"/>
          <w:tab w:val="right" w:pos="9355"/>
        </w:tabs>
        <w:spacing w:line="240" w:lineRule="auto"/>
        <w:jc w:val="left"/>
      </w:pPr>
    </w:p>
    <w:p w14:paraId="0A565502" w14:textId="5321E3E6" w:rsidR="00B53EE3" w:rsidRPr="0043073D" w:rsidRDefault="00B53EE3" w:rsidP="0043073D">
      <w:pPr>
        <w:pStyle w:val="1"/>
      </w:pPr>
      <w:bookmarkStart w:id="0" w:name="_Toc41500777"/>
      <w:bookmarkStart w:id="1" w:name="_Toc41513171"/>
      <w:r w:rsidRPr="0043073D">
        <w:lastRenderedPageBreak/>
        <w:t>Введение</w:t>
      </w:r>
      <w:bookmarkEnd w:id="0"/>
      <w:bookmarkEnd w:id="1"/>
    </w:p>
    <w:p w14:paraId="7F087666" w14:textId="77777777" w:rsidR="00B53EE3" w:rsidRDefault="00B53EE3" w:rsidP="00B53EE3">
      <w:pPr>
        <w:ind w:firstLine="708"/>
      </w:pPr>
      <w:r>
        <w:t xml:space="preserve">Современная система международных отношений, сформировавшаяся после распада Советского Союза и получившая неофициальное название «пост биполярной» сегодня, спустя почти 30 лет, находится на пороге глобальных перемен, которые в силу возникновения на международной арене новых акторов, стремительного развития промышленности и технологий, экспоненциального роста численности населения, появления новых глобальных вызовов связанных с изменением климата, ведут к структурной трансформации всей системы международных отношений. </w:t>
      </w:r>
    </w:p>
    <w:p w14:paraId="02B31893" w14:textId="77777777" w:rsidR="00B53EE3" w:rsidRDefault="00B53EE3" w:rsidP="00B53EE3">
      <w:pPr>
        <w:ind w:firstLine="708"/>
      </w:pPr>
      <w:r>
        <w:t xml:space="preserve">На протяжении последних нескольких столетий топливно-энергетический комплекс (далее ТЭК) находился если не в авангарде, то во всяком случае на передовой всех ключевых изменений, исполняя с одной стороны роль фундамента для дальнейшего развития человечества, а с другой – объекта борьбы между субъектами международных отношений. Очевидно, что сегодняшние всевозрастающие потребности населения планеты требуют соответствующего обеспечения со стороны ТЭК, однако ситуация усложняется тем, что параллельно, в ответ на популяризацию климатической повестки в международном дискурсе, меняется и сама структура ТЭК, а количественный рост добычи ископаемых видов топлива более не является решением проблемы. </w:t>
      </w:r>
    </w:p>
    <w:p w14:paraId="1497C08B" w14:textId="1193B0E6" w:rsidR="00C70FBE" w:rsidRDefault="00B53EE3" w:rsidP="00FB5429">
      <w:pPr>
        <w:rPr>
          <w:szCs w:val="24"/>
        </w:rPr>
      </w:pPr>
      <w:r>
        <w:rPr>
          <w:szCs w:val="24"/>
        </w:rPr>
        <w:tab/>
        <w:t>В этом ракурсе российско-германские отношения, которые всегда были объектом пристального наблюдения со стороны мирового сообщества, представляют особый интерес. Историческая логика развития двух государств способствовала формированию незыблемой по своей сути концепции «союза ресурсов и технологий», которая</w:t>
      </w:r>
      <w:r w:rsidR="005800B6">
        <w:rPr>
          <w:szCs w:val="24"/>
        </w:rPr>
        <w:t xml:space="preserve"> </w:t>
      </w:r>
      <w:r>
        <w:rPr>
          <w:szCs w:val="24"/>
        </w:rPr>
        <w:t>сегодня</w:t>
      </w:r>
      <w:r w:rsidR="005800B6">
        <w:rPr>
          <w:szCs w:val="24"/>
        </w:rPr>
        <w:t xml:space="preserve"> фактически </w:t>
      </w:r>
      <w:r>
        <w:rPr>
          <w:szCs w:val="24"/>
        </w:rPr>
        <w:t>оказалась на грани своего существования.</w:t>
      </w:r>
      <w:r w:rsidR="004E345F">
        <w:rPr>
          <w:szCs w:val="24"/>
        </w:rPr>
        <w:t xml:space="preserve"> </w:t>
      </w:r>
      <w:r w:rsidR="005800B6">
        <w:rPr>
          <w:szCs w:val="24"/>
        </w:rPr>
        <w:t xml:space="preserve">Пройдя сквозь периоды тесного сотрудничества и смертельного противостояния, союз ресурсов и технологий оставался нерушимым, заверяя международное сообщество в своей абсолютности и непреклонности перед изменениями. Однако, распад СССР принес новую реальность в принцип работы концепции «экспорт сырья в обмен на технологии». В бытность Советского Союза, импорт технологий был, вне всякого сомнения, потребностью, но не необходимостью, поскольку имелась мощная внутренняя промышленная база; экспорт ресурсов в страны Запада был, в свою очередь, обусловлен необходимостью выхода на новые рынки в качестве компенсации недостатков системы </w:t>
      </w:r>
      <w:r w:rsidR="00C70FBE">
        <w:rPr>
          <w:szCs w:val="24"/>
        </w:rPr>
        <w:t xml:space="preserve">директивного </w:t>
      </w:r>
      <w:r w:rsidR="005800B6">
        <w:rPr>
          <w:szCs w:val="24"/>
        </w:rPr>
        <w:t>планирования</w:t>
      </w:r>
      <w:r w:rsidR="00C70FBE">
        <w:rPr>
          <w:szCs w:val="24"/>
        </w:rPr>
        <w:t xml:space="preserve"> и возникавших в её результате дефицитов и диспропорций</w:t>
      </w:r>
      <w:r w:rsidR="005800B6">
        <w:rPr>
          <w:szCs w:val="24"/>
        </w:rPr>
        <w:t>. В постбиполярной системе импорт технологий для России стал не потребностью, а жизненной необходимостью</w:t>
      </w:r>
      <w:r w:rsidR="00C70FBE">
        <w:rPr>
          <w:szCs w:val="24"/>
        </w:rPr>
        <w:t xml:space="preserve"> - </w:t>
      </w:r>
      <w:r w:rsidR="005800B6">
        <w:rPr>
          <w:szCs w:val="24"/>
        </w:rPr>
        <w:t xml:space="preserve">промышленность страны </w:t>
      </w:r>
      <w:r w:rsidR="004B74C7">
        <w:rPr>
          <w:szCs w:val="24"/>
        </w:rPr>
        <w:t>была в</w:t>
      </w:r>
      <w:r w:rsidR="005800B6">
        <w:rPr>
          <w:szCs w:val="24"/>
        </w:rPr>
        <w:t xml:space="preserve"> течении 90-х годов полностью разрушена. </w:t>
      </w:r>
      <w:r w:rsidR="00C70FBE">
        <w:rPr>
          <w:szCs w:val="24"/>
        </w:rPr>
        <w:t xml:space="preserve">Со стороны России была принята стратегия догоняющего развития, которая всецело следовала сформировавшейся </w:t>
      </w:r>
      <w:r w:rsidR="00C70FBE">
        <w:rPr>
          <w:szCs w:val="24"/>
        </w:rPr>
        <w:lastRenderedPageBreak/>
        <w:t xml:space="preserve">исторической логики российско-германских отношений. Для России главным вопросом на повестке дня стала всесторонняя модернизация, а для Германии – обеспечение всевозрастающих потребностей своей экономики через импорт энергоресурсов. Однако, начавшийся в 2000-е годы стремительный рост цен на нефть, который, казалось бы, должен был помочь в достижении этих целей, привел к совершенно разным стратегическим результатам – то, что было для постсоветской России необходимостью, стало в новых условиях </w:t>
      </w:r>
      <w:r w:rsidR="00BF02CA">
        <w:rPr>
          <w:szCs w:val="24"/>
        </w:rPr>
        <w:t xml:space="preserve">лишь </w:t>
      </w:r>
      <w:r w:rsidR="00C70FBE">
        <w:rPr>
          <w:szCs w:val="24"/>
        </w:rPr>
        <w:t xml:space="preserve">потребностью. </w:t>
      </w:r>
      <w:r w:rsidR="00FB5429">
        <w:rPr>
          <w:szCs w:val="24"/>
        </w:rPr>
        <w:t xml:space="preserve"> В</w:t>
      </w:r>
      <w:r w:rsidR="00AD0718">
        <w:rPr>
          <w:szCs w:val="24"/>
        </w:rPr>
        <w:t xml:space="preserve"> связи с этим, роль нефтегазового фактора в развитии российско-германских отношениях требует дальнейшего изучения</w:t>
      </w:r>
      <w:r w:rsidR="00FB5429">
        <w:rPr>
          <w:szCs w:val="24"/>
        </w:rPr>
        <w:t xml:space="preserve">, которое в данной работе будет происходить по двум направлениям: обеспечение Германией собственной энергетической безопасности с одной стороны и модернизация российской экономики – с другой. </w:t>
      </w:r>
      <w:r w:rsidR="00AD0718">
        <w:rPr>
          <w:szCs w:val="24"/>
        </w:rPr>
        <w:t xml:space="preserve"> </w:t>
      </w:r>
    </w:p>
    <w:p w14:paraId="0C2E2F4F" w14:textId="778517F9" w:rsidR="00BC20AD" w:rsidRDefault="00AD0718" w:rsidP="00BC20AD">
      <w:pPr>
        <w:ind w:firstLine="708"/>
        <w:rPr>
          <w:szCs w:val="24"/>
        </w:rPr>
      </w:pPr>
      <w:r w:rsidRPr="00AD0718">
        <w:rPr>
          <w:b/>
          <w:szCs w:val="24"/>
        </w:rPr>
        <w:t>Актуальность темы исследования</w:t>
      </w:r>
      <w:r w:rsidR="004329FC">
        <w:rPr>
          <w:b/>
          <w:szCs w:val="24"/>
        </w:rPr>
        <w:t xml:space="preserve"> </w:t>
      </w:r>
      <w:r w:rsidR="004329FC">
        <w:rPr>
          <w:szCs w:val="24"/>
        </w:rPr>
        <w:t xml:space="preserve">определяется тем, что российско-германские отношения на современном этапе находятся на перепутье, а влияние нефтегазового фактора, который ранее предопределял их развитие постепенно сходит на нет. Помимо этого, ситуация усугубляется противоречиями в существующей системе мирового экономического хозяйствования, которые ярко проявились в начавшемся в 2020-м году экономическом кризисе. В этом смысле, дальнейшее развитие российско-германских отношений, которые в последние годы двигались в противоположных направлениях, сегодня подвергаются дополнительному </w:t>
      </w:r>
      <w:r w:rsidR="00B93BC4">
        <w:rPr>
          <w:szCs w:val="24"/>
        </w:rPr>
        <w:t>воздействию</w:t>
      </w:r>
      <w:r w:rsidR="004329FC">
        <w:rPr>
          <w:szCs w:val="24"/>
        </w:rPr>
        <w:t xml:space="preserve"> со стороны глобальных факторов, а фундаментальное звено, которое обеспечивало торгово-экономическое взаимодействие двух стран</w:t>
      </w:r>
      <w:r w:rsidR="00C04F46">
        <w:rPr>
          <w:szCs w:val="24"/>
        </w:rPr>
        <w:t xml:space="preserve"> – нефть и газ</w:t>
      </w:r>
      <w:r w:rsidR="004329FC">
        <w:rPr>
          <w:szCs w:val="24"/>
        </w:rPr>
        <w:t xml:space="preserve">, находится под сильнейшим давлением в условиях трансформации мирового экономического уклада. </w:t>
      </w:r>
      <w:bookmarkStart w:id="2" w:name="_GoBack"/>
      <w:bookmarkEnd w:id="2"/>
    </w:p>
    <w:p w14:paraId="61BC1D21" w14:textId="06F927C8" w:rsidR="00BC20AD" w:rsidRDefault="00BC20AD" w:rsidP="00BC20AD">
      <w:pPr>
        <w:ind w:firstLine="708"/>
        <w:rPr>
          <w:szCs w:val="24"/>
        </w:rPr>
      </w:pPr>
      <w:r w:rsidRPr="00EE717A">
        <w:rPr>
          <w:b/>
          <w:szCs w:val="24"/>
        </w:rPr>
        <w:t xml:space="preserve">Степень научной разработанности темы. </w:t>
      </w:r>
      <w:r w:rsidR="00A24F82">
        <w:rPr>
          <w:szCs w:val="24"/>
        </w:rPr>
        <w:t xml:space="preserve">Данная работа написана на пересечении двух тем: развитие российско-германских отношений и роль нефтегазовый фактора на современном этапе. Каждой из этих тем посвящено большое количество работ отечественных и зарубежных исследователей, однако в стремительно преобразующихся реалиях они, по мнению автора, требуют </w:t>
      </w:r>
      <w:r w:rsidR="00BF02CA">
        <w:rPr>
          <w:szCs w:val="24"/>
        </w:rPr>
        <w:t xml:space="preserve">некоторого </w:t>
      </w:r>
      <w:r w:rsidR="00A24F82">
        <w:rPr>
          <w:szCs w:val="24"/>
        </w:rPr>
        <w:t>переосмысления.</w:t>
      </w:r>
    </w:p>
    <w:p w14:paraId="5C229EF9" w14:textId="1859D555" w:rsidR="00E305D9" w:rsidRPr="00202E97" w:rsidRDefault="00A24F82" w:rsidP="00202E97">
      <w:pPr>
        <w:ind w:firstLine="708"/>
        <w:rPr>
          <w:i/>
          <w:szCs w:val="24"/>
        </w:rPr>
      </w:pPr>
      <w:r>
        <w:rPr>
          <w:szCs w:val="24"/>
        </w:rPr>
        <w:t xml:space="preserve">Среди отечественных исследователей проблемы нефти и газа необходимо выделить </w:t>
      </w:r>
      <w:r w:rsidRPr="00A24F82">
        <w:rPr>
          <w:i/>
          <w:szCs w:val="24"/>
        </w:rPr>
        <w:t>О.Б. Брагинского</w:t>
      </w:r>
      <w:r>
        <w:rPr>
          <w:szCs w:val="24"/>
        </w:rPr>
        <w:t xml:space="preserve"> и его работу </w:t>
      </w:r>
      <w:r w:rsidRPr="00A24F82">
        <w:rPr>
          <w:i/>
          <w:szCs w:val="24"/>
        </w:rPr>
        <w:t>«Нефтегазовый комплекс мира»</w:t>
      </w:r>
      <w:r w:rsidR="00DB6539">
        <w:rPr>
          <w:rStyle w:val="af5"/>
          <w:i/>
          <w:szCs w:val="24"/>
        </w:rPr>
        <w:footnoteReference w:id="1"/>
      </w:r>
      <w:r>
        <w:rPr>
          <w:szCs w:val="24"/>
        </w:rPr>
        <w:t xml:space="preserve">, в котором описывается история, текущее состоянии и перспективы данной отрасли. В качестве исследования деятельности ТНК, в том числе на рынках нефти и газа, вызывает интерес монография </w:t>
      </w:r>
      <w:r w:rsidRPr="00A24F82">
        <w:rPr>
          <w:i/>
          <w:szCs w:val="24"/>
        </w:rPr>
        <w:lastRenderedPageBreak/>
        <w:t>Ромашкина Т.В. «Становление и развитие ТНК в условиях глобализации»</w:t>
      </w:r>
      <w:r w:rsidR="00003819">
        <w:rPr>
          <w:rStyle w:val="af5"/>
          <w:i/>
          <w:szCs w:val="24"/>
        </w:rPr>
        <w:footnoteReference w:id="2"/>
      </w:r>
      <w:r w:rsidRPr="00A24F82">
        <w:rPr>
          <w:i/>
          <w:szCs w:val="24"/>
        </w:rPr>
        <w:t>.</w:t>
      </w:r>
      <w:r>
        <w:rPr>
          <w:szCs w:val="24"/>
        </w:rPr>
        <w:t xml:space="preserve"> </w:t>
      </w:r>
      <w:r w:rsidR="00E305D9">
        <w:rPr>
          <w:szCs w:val="24"/>
        </w:rPr>
        <w:t xml:space="preserve">Невозможно не рассмотреть работу отечественного исследователя </w:t>
      </w:r>
      <w:r w:rsidR="00E305D9" w:rsidRPr="00E305D9">
        <w:rPr>
          <w:i/>
          <w:szCs w:val="24"/>
        </w:rPr>
        <w:t>С.З. Жизнина</w:t>
      </w:r>
      <w:r w:rsidR="00E305D9">
        <w:rPr>
          <w:szCs w:val="24"/>
        </w:rPr>
        <w:t xml:space="preserve"> под названием </w:t>
      </w:r>
      <w:r w:rsidR="00E305D9" w:rsidRPr="00E305D9">
        <w:rPr>
          <w:i/>
          <w:szCs w:val="24"/>
        </w:rPr>
        <w:t>«Энергетическая дипломатическая России: экономика, политика, практика»</w:t>
      </w:r>
      <w:r w:rsidR="00003819">
        <w:rPr>
          <w:rStyle w:val="af5"/>
          <w:i/>
          <w:szCs w:val="24"/>
        </w:rPr>
        <w:footnoteReference w:id="3"/>
      </w:r>
      <w:r w:rsidR="00E305D9">
        <w:rPr>
          <w:szCs w:val="24"/>
        </w:rPr>
        <w:t>, в рамках которой он описывает эволюцию становления российской энергетической дипломатии, а также стоящие перед ней проблемы и вызовы.</w:t>
      </w:r>
      <w:r w:rsidR="006F67E3">
        <w:rPr>
          <w:szCs w:val="24"/>
        </w:rPr>
        <w:t xml:space="preserve"> </w:t>
      </w:r>
      <w:r w:rsidR="00491567" w:rsidRPr="00491567">
        <w:rPr>
          <w:szCs w:val="24"/>
        </w:rPr>
        <w:t>Европейский вектор российской энергетической дипломатии исследуются в работ</w:t>
      </w:r>
      <w:r w:rsidR="00202E97">
        <w:rPr>
          <w:szCs w:val="24"/>
        </w:rPr>
        <w:t>е</w:t>
      </w:r>
      <w:r w:rsidR="00491567" w:rsidRPr="00491567">
        <w:rPr>
          <w:szCs w:val="24"/>
        </w:rPr>
        <w:t xml:space="preserve"> </w:t>
      </w:r>
      <w:r w:rsidR="00491567" w:rsidRPr="00491567">
        <w:rPr>
          <w:i/>
          <w:szCs w:val="24"/>
        </w:rPr>
        <w:t>Т.А. Романовой</w:t>
      </w:r>
      <w:r w:rsidR="00202E97">
        <w:rPr>
          <w:szCs w:val="24"/>
        </w:rPr>
        <w:t xml:space="preserve"> </w:t>
      </w:r>
      <w:r w:rsidR="00202E97" w:rsidRPr="00202E97">
        <w:rPr>
          <w:i/>
          <w:szCs w:val="24"/>
        </w:rPr>
        <w:t>«Энергетический диалог России и Европейского союза: эволюция и перспективы развития»</w:t>
      </w:r>
      <w:r w:rsidR="00202E97">
        <w:rPr>
          <w:rStyle w:val="af5"/>
          <w:szCs w:val="24"/>
        </w:rPr>
        <w:footnoteReference w:id="4"/>
      </w:r>
      <w:r w:rsidR="00202E97">
        <w:rPr>
          <w:szCs w:val="24"/>
        </w:rPr>
        <w:t xml:space="preserve">. </w:t>
      </w:r>
      <w:r w:rsidR="006F67E3">
        <w:rPr>
          <w:szCs w:val="24"/>
        </w:rPr>
        <w:t xml:space="preserve">Важное место занимает фундаментальная работа </w:t>
      </w:r>
      <w:r w:rsidR="006F67E3" w:rsidRPr="006F67E3">
        <w:rPr>
          <w:i/>
          <w:szCs w:val="24"/>
        </w:rPr>
        <w:t xml:space="preserve">Д. </w:t>
      </w:r>
      <w:proofErr w:type="spellStart"/>
      <w:r w:rsidR="006F67E3" w:rsidRPr="006F67E3">
        <w:rPr>
          <w:i/>
          <w:szCs w:val="24"/>
        </w:rPr>
        <w:t>Ёргина</w:t>
      </w:r>
      <w:proofErr w:type="spellEnd"/>
      <w:r w:rsidR="006F67E3" w:rsidRPr="006F67E3">
        <w:rPr>
          <w:i/>
          <w:szCs w:val="24"/>
        </w:rPr>
        <w:t xml:space="preserve"> «Добыча: Всемирная история борьбы за нефть, деньги и власть»</w:t>
      </w:r>
      <w:r w:rsidR="00003819">
        <w:rPr>
          <w:rStyle w:val="af5"/>
          <w:i/>
          <w:szCs w:val="24"/>
        </w:rPr>
        <w:footnoteReference w:id="5"/>
      </w:r>
      <w:r w:rsidR="006F67E3">
        <w:rPr>
          <w:szCs w:val="24"/>
        </w:rPr>
        <w:t xml:space="preserve">, в которой он описывает процесс становления нефтяной промышленности. Большое количество работ на данную тему публикуется в рамках Института </w:t>
      </w:r>
      <w:r w:rsidR="006F67E3" w:rsidRPr="006F67E3">
        <w:rPr>
          <w:szCs w:val="24"/>
        </w:rPr>
        <w:t>энергетических исследований Российской академии наук</w:t>
      </w:r>
      <w:r w:rsidR="006F67E3">
        <w:rPr>
          <w:szCs w:val="24"/>
        </w:rPr>
        <w:t xml:space="preserve">, зарубежных научных центров и международных энергетических организаций. </w:t>
      </w:r>
    </w:p>
    <w:p w14:paraId="717F4F41" w14:textId="5DE1433E" w:rsidR="00FB12CF" w:rsidRDefault="00FB12CF" w:rsidP="00FB12CF">
      <w:pPr>
        <w:ind w:firstLine="708"/>
        <w:rPr>
          <w:szCs w:val="24"/>
        </w:rPr>
      </w:pPr>
      <w:r>
        <w:rPr>
          <w:szCs w:val="24"/>
        </w:rPr>
        <w:t xml:space="preserve">Тема российско-германских отношений в отечественной науке подробно отражена в работе </w:t>
      </w:r>
      <w:r w:rsidRPr="00FB12CF">
        <w:rPr>
          <w:i/>
          <w:szCs w:val="24"/>
        </w:rPr>
        <w:t>Н.В. Павлова «Россия и Германия: несостоявшийся альянс»</w:t>
      </w:r>
      <w:r w:rsidR="00003819">
        <w:rPr>
          <w:rStyle w:val="af5"/>
          <w:i/>
          <w:szCs w:val="24"/>
        </w:rPr>
        <w:footnoteReference w:id="6"/>
      </w:r>
      <w:r>
        <w:rPr>
          <w:szCs w:val="24"/>
        </w:rPr>
        <w:t xml:space="preserve">, в которой он описывает эволюцию российско-германских отношений от зарождения государственности до современного этапа. Большое количество работ выполнено в рамках коллективных монографий, например </w:t>
      </w:r>
      <w:r w:rsidRPr="00FB12CF">
        <w:rPr>
          <w:i/>
          <w:szCs w:val="24"/>
        </w:rPr>
        <w:t>«Россия и Германия в пространстве европейских коммуникаций»</w:t>
      </w:r>
      <w:r w:rsidR="00003819">
        <w:rPr>
          <w:rStyle w:val="af5"/>
          <w:i/>
          <w:szCs w:val="24"/>
        </w:rPr>
        <w:footnoteReference w:id="7"/>
      </w:r>
      <w:r>
        <w:rPr>
          <w:szCs w:val="24"/>
        </w:rPr>
        <w:t xml:space="preserve">, или сборника научных статей, посвященному развитию двусторонних отношений </w:t>
      </w:r>
      <w:r w:rsidRPr="00FB12CF">
        <w:rPr>
          <w:i/>
          <w:szCs w:val="24"/>
        </w:rPr>
        <w:t>«Россия и Германия в системе международных отношений: через века истории»</w:t>
      </w:r>
      <w:r w:rsidR="0086756F">
        <w:rPr>
          <w:rStyle w:val="af5"/>
          <w:i/>
          <w:szCs w:val="24"/>
        </w:rPr>
        <w:footnoteReference w:id="8"/>
      </w:r>
      <w:r>
        <w:rPr>
          <w:szCs w:val="24"/>
        </w:rPr>
        <w:t xml:space="preserve">. </w:t>
      </w:r>
      <w:r w:rsidR="00202E97">
        <w:rPr>
          <w:szCs w:val="24"/>
        </w:rPr>
        <w:t>Особое место в изучении Германии как актора международных отношений</w:t>
      </w:r>
      <w:r w:rsidR="00A54B4E">
        <w:rPr>
          <w:szCs w:val="24"/>
        </w:rPr>
        <w:t xml:space="preserve"> и российско-германских двухсторонних отношений </w:t>
      </w:r>
      <w:r w:rsidR="00202E97">
        <w:rPr>
          <w:szCs w:val="24"/>
        </w:rPr>
        <w:t xml:space="preserve">необходимо отвести Институту Европы РАН и </w:t>
      </w:r>
      <w:r w:rsidR="00202E97" w:rsidRPr="003B6A89">
        <w:rPr>
          <w:i/>
          <w:szCs w:val="24"/>
        </w:rPr>
        <w:t>В.Б. Белову</w:t>
      </w:r>
      <w:r w:rsidR="00202E97">
        <w:rPr>
          <w:szCs w:val="24"/>
        </w:rPr>
        <w:t>, при активном участии которого регулярно публикуются статьи и монографии</w:t>
      </w:r>
      <w:r w:rsidR="00A54B4E">
        <w:rPr>
          <w:szCs w:val="24"/>
        </w:rPr>
        <w:t xml:space="preserve">, посвященные социально-экономическим, политическим и энергетическим проблемам страны, а также </w:t>
      </w:r>
      <w:r w:rsidR="00A54B4E">
        <w:rPr>
          <w:szCs w:val="24"/>
        </w:rPr>
        <w:lastRenderedPageBreak/>
        <w:t>актуальным вопросам двухстороннего сотрудничества</w:t>
      </w:r>
      <w:r w:rsidR="00A54B4E">
        <w:rPr>
          <w:rStyle w:val="af5"/>
          <w:szCs w:val="24"/>
        </w:rPr>
        <w:footnoteReference w:id="9"/>
      </w:r>
      <w:r w:rsidR="00A54B4E">
        <w:rPr>
          <w:szCs w:val="24"/>
        </w:rPr>
        <w:t xml:space="preserve">. </w:t>
      </w:r>
      <w:r w:rsidR="00B86436">
        <w:rPr>
          <w:szCs w:val="24"/>
        </w:rPr>
        <w:t xml:space="preserve">Отдельные политико-экономические и энергетические вопросы стран Европы исследуются в работах </w:t>
      </w:r>
      <w:r w:rsidR="00B86436" w:rsidRPr="00B86436">
        <w:rPr>
          <w:i/>
          <w:szCs w:val="24"/>
        </w:rPr>
        <w:t>С.Л. Ткаченко</w:t>
      </w:r>
      <w:r w:rsidR="00B86436">
        <w:rPr>
          <w:szCs w:val="24"/>
        </w:rPr>
        <w:t xml:space="preserve"> и </w:t>
      </w:r>
      <w:r w:rsidR="00B86436" w:rsidRPr="00B86436">
        <w:rPr>
          <w:i/>
          <w:szCs w:val="24"/>
        </w:rPr>
        <w:t>О.В. Григорьевой</w:t>
      </w:r>
      <w:r w:rsidR="00B86436">
        <w:rPr>
          <w:szCs w:val="24"/>
        </w:rPr>
        <w:t xml:space="preserve"> соответственно</w:t>
      </w:r>
      <w:r w:rsidR="00B86436">
        <w:rPr>
          <w:rStyle w:val="af5"/>
          <w:szCs w:val="24"/>
        </w:rPr>
        <w:footnoteReference w:id="10"/>
      </w:r>
      <w:r w:rsidR="00B86436">
        <w:rPr>
          <w:szCs w:val="24"/>
        </w:rPr>
        <w:t>.</w:t>
      </w:r>
    </w:p>
    <w:p w14:paraId="2D31D7B8" w14:textId="1ABBCB35" w:rsidR="00A54B4E" w:rsidRDefault="00FB12CF" w:rsidP="00866C41">
      <w:pPr>
        <w:ind w:firstLine="708"/>
        <w:rPr>
          <w:szCs w:val="24"/>
        </w:rPr>
      </w:pPr>
      <w:r>
        <w:rPr>
          <w:szCs w:val="24"/>
        </w:rPr>
        <w:t xml:space="preserve">Теоретическая база описана в работе </w:t>
      </w:r>
      <w:r w:rsidRPr="00FB12CF">
        <w:rPr>
          <w:i/>
          <w:szCs w:val="24"/>
        </w:rPr>
        <w:t xml:space="preserve">Р. </w:t>
      </w:r>
      <w:proofErr w:type="spellStart"/>
      <w:r w:rsidRPr="00FB12CF">
        <w:rPr>
          <w:i/>
          <w:szCs w:val="24"/>
        </w:rPr>
        <w:t>Кеохейна</w:t>
      </w:r>
      <w:proofErr w:type="spellEnd"/>
      <w:r w:rsidRPr="00FB12CF">
        <w:rPr>
          <w:i/>
          <w:szCs w:val="24"/>
        </w:rPr>
        <w:t xml:space="preserve"> и Дж. </w:t>
      </w:r>
      <w:proofErr w:type="spellStart"/>
      <w:r w:rsidRPr="00FB12CF">
        <w:rPr>
          <w:i/>
          <w:szCs w:val="24"/>
        </w:rPr>
        <w:t>Ная</w:t>
      </w:r>
      <w:proofErr w:type="spellEnd"/>
      <w:r w:rsidRPr="00FB12CF">
        <w:rPr>
          <w:i/>
          <w:szCs w:val="24"/>
        </w:rPr>
        <w:t xml:space="preserve"> Младшего «Власть и взаимозависимость»</w:t>
      </w:r>
      <w:r w:rsidR="00EB4D92">
        <w:rPr>
          <w:rStyle w:val="af5"/>
          <w:i/>
          <w:szCs w:val="24"/>
        </w:rPr>
        <w:footnoteReference w:id="11"/>
      </w:r>
      <w:r>
        <w:rPr>
          <w:szCs w:val="24"/>
        </w:rPr>
        <w:t xml:space="preserve">. </w:t>
      </w:r>
      <w:r w:rsidR="00FC28B3">
        <w:rPr>
          <w:szCs w:val="24"/>
        </w:rPr>
        <w:t xml:space="preserve">Отдельно необходимо выделить работу </w:t>
      </w:r>
      <w:r w:rsidR="00FC28B3" w:rsidRPr="00FC28B3">
        <w:rPr>
          <w:i/>
          <w:szCs w:val="24"/>
        </w:rPr>
        <w:t>Г. Киссинджера «Дипломатия»</w:t>
      </w:r>
      <w:r w:rsidR="00DB26FA">
        <w:rPr>
          <w:rStyle w:val="af5"/>
          <w:i/>
          <w:szCs w:val="24"/>
        </w:rPr>
        <w:footnoteReference w:id="12"/>
      </w:r>
      <w:r w:rsidR="00FC28B3">
        <w:rPr>
          <w:szCs w:val="24"/>
        </w:rPr>
        <w:t>, которая помогает понять процесс принятия политического решения и логику развития международных отношений.</w:t>
      </w:r>
    </w:p>
    <w:p w14:paraId="566808C0" w14:textId="70F9C8CF" w:rsidR="00FC28B3" w:rsidRDefault="00FC28B3" w:rsidP="008A6547">
      <w:pPr>
        <w:ind w:firstLine="708"/>
        <w:rPr>
          <w:szCs w:val="24"/>
        </w:rPr>
      </w:pPr>
      <w:r w:rsidRPr="00FC28B3">
        <w:rPr>
          <w:b/>
          <w:szCs w:val="24"/>
        </w:rPr>
        <w:t>Цель и задачи исследования.</w:t>
      </w:r>
      <w:r>
        <w:rPr>
          <w:szCs w:val="24"/>
        </w:rPr>
        <w:t xml:space="preserve"> Цель работы – определить роль нефтегазового фактора в развитии российско-германских отношений.</w:t>
      </w:r>
    </w:p>
    <w:p w14:paraId="3999A8AF" w14:textId="1E90C7A5" w:rsidR="00FC28B3" w:rsidRDefault="00FC28B3" w:rsidP="00FB12CF">
      <w:pPr>
        <w:ind w:firstLine="708"/>
        <w:rPr>
          <w:szCs w:val="24"/>
        </w:rPr>
      </w:pPr>
      <w:r>
        <w:rPr>
          <w:szCs w:val="24"/>
        </w:rPr>
        <w:t xml:space="preserve">В рамках достижения данной цели необходимо решение сопутствующих задач: </w:t>
      </w:r>
    </w:p>
    <w:p w14:paraId="5BC57645" w14:textId="77777777" w:rsidR="008A6547" w:rsidRPr="005D25A9" w:rsidRDefault="00592D8D" w:rsidP="008A6547">
      <w:pPr>
        <w:pStyle w:val="a7"/>
        <w:numPr>
          <w:ilvl w:val="0"/>
          <w:numId w:val="32"/>
        </w:numPr>
        <w:rPr>
          <w:szCs w:val="24"/>
        </w:rPr>
      </w:pPr>
      <w:r w:rsidRPr="005D25A9">
        <w:rPr>
          <w:szCs w:val="24"/>
        </w:rPr>
        <w:t xml:space="preserve">Изучить теоретическую и историческую основу нефтегазового фактора в </w:t>
      </w:r>
      <w:r w:rsidR="00DB26FA" w:rsidRPr="005D25A9">
        <w:rPr>
          <w:szCs w:val="24"/>
        </w:rPr>
        <w:t>международных</w:t>
      </w:r>
      <w:r w:rsidRPr="005D25A9">
        <w:rPr>
          <w:szCs w:val="24"/>
        </w:rPr>
        <w:t xml:space="preserve"> экономических отношениях</w:t>
      </w:r>
      <w:r w:rsidR="008A6547" w:rsidRPr="005D25A9">
        <w:rPr>
          <w:szCs w:val="24"/>
        </w:rPr>
        <w:t>.</w:t>
      </w:r>
    </w:p>
    <w:p w14:paraId="60D2B680" w14:textId="56F4BD5B" w:rsidR="00592D8D" w:rsidRPr="005D25A9" w:rsidRDefault="008A6547" w:rsidP="008A6547">
      <w:pPr>
        <w:pStyle w:val="a7"/>
        <w:numPr>
          <w:ilvl w:val="0"/>
          <w:numId w:val="32"/>
        </w:numPr>
        <w:rPr>
          <w:szCs w:val="24"/>
        </w:rPr>
      </w:pPr>
      <w:r w:rsidRPr="005D25A9">
        <w:rPr>
          <w:szCs w:val="24"/>
        </w:rPr>
        <w:t>О</w:t>
      </w:r>
      <w:r w:rsidR="00DB26FA" w:rsidRPr="005D25A9">
        <w:rPr>
          <w:szCs w:val="24"/>
        </w:rPr>
        <w:t>предел</w:t>
      </w:r>
      <w:r w:rsidRPr="005D25A9">
        <w:rPr>
          <w:szCs w:val="24"/>
        </w:rPr>
        <w:t>ить</w:t>
      </w:r>
      <w:r w:rsidR="00DB26FA" w:rsidRPr="005D25A9">
        <w:rPr>
          <w:szCs w:val="24"/>
        </w:rPr>
        <w:t xml:space="preserve"> </w:t>
      </w:r>
      <w:r w:rsidRPr="005D25A9">
        <w:rPr>
          <w:szCs w:val="24"/>
        </w:rPr>
        <w:t xml:space="preserve">роль нефти в газа в мировом экономическом хозяйствовании и выявить ключевых </w:t>
      </w:r>
      <w:r w:rsidR="00DB26FA" w:rsidRPr="005D25A9">
        <w:rPr>
          <w:szCs w:val="24"/>
        </w:rPr>
        <w:t>акторов</w:t>
      </w:r>
      <w:r w:rsidRPr="005D25A9">
        <w:rPr>
          <w:szCs w:val="24"/>
        </w:rPr>
        <w:t xml:space="preserve"> данной отрасли.</w:t>
      </w:r>
    </w:p>
    <w:p w14:paraId="203A05DA" w14:textId="18CBE311" w:rsidR="00FC28B3" w:rsidRPr="008A6547" w:rsidRDefault="00FC28B3" w:rsidP="008A6547">
      <w:pPr>
        <w:pStyle w:val="a7"/>
        <w:numPr>
          <w:ilvl w:val="0"/>
          <w:numId w:val="32"/>
        </w:numPr>
        <w:rPr>
          <w:szCs w:val="24"/>
        </w:rPr>
      </w:pPr>
      <w:r w:rsidRPr="008A6547">
        <w:rPr>
          <w:szCs w:val="24"/>
        </w:rPr>
        <w:t>Изучить отчеты крупнейших нефтегазовых ТНК и международных энергетических организаций и построить долгосрочный консенсус прогноз развития нефтегазовой отрасли.</w:t>
      </w:r>
    </w:p>
    <w:p w14:paraId="35DEC8F5" w14:textId="2D155FDF" w:rsidR="00FC28B3" w:rsidRPr="008A6547" w:rsidRDefault="00FC28B3" w:rsidP="008A6547">
      <w:pPr>
        <w:pStyle w:val="a7"/>
        <w:numPr>
          <w:ilvl w:val="0"/>
          <w:numId w:val="32"/>
        </w:numPr>
        <w:rPr>
          <w:szCs w:val="24"/>
        </w:rPr>
      </w:pPr>
      <w:r w:rsidRPr="008A6547">
        <w:rPr>
          <w:szCs w:val="24"/>
        </w:rPr>
        <w:t>Изучить исторический аспект российско-германских торгово-экономических отношений на определенных этапах в рамках модернизационного проекта российской экономики и ресурсного обеспечения Германии.</w:t>
      </w:r>
    </w:p>
    <w:p w14:paraId="280BA9F5" w14:textId="1EC596F3" w:rsidR="00FC28B3" w:rsidRPr="008A6547" w:rsidRDefault="00FC28B3" w:rsidP="008A6547">
      <w:pPr>
        <w:pStyle w:val="a7"/>
        <w:numPr>
          <w:ilvl w:val="0"/>
          <w:numId w:val="32"/>
        </w:numPr>
        <w:rPr>
          <w:szCs w:val="24"/>
        </w:rPr>
      </w:pPr>
      <w:r w:rsidRPr="008A6547">
        <w:rPr>
          <w:szCs w:val="24"/>
        </w:rPr>
        <w:t>Изучить российско-германские отношения на современном этапе и определить роль нефти и газа в достижении национальных целей по энергообеспечению Германии и модернизации российской экономик</w:t>
      </w:r>
      <w:r w:rsidR="00F704AA" w:rsidRPr="008A6547">
        <w:rPr>
          <w:szCs w:val="24"/>
        </w:rPr>
        <w:t>и, а также полученные результаты.</w:t>
      </w:r>
    </w:p>
    <w:p w14:paraId="1D3CAE7D" w14:textId="2F62E971" w:rsidR="00F704AA" w:rsidRPr="008A6547" w:rsidRDefault="00F704AA" w:rsidP="008A6547">
      <w:pPr>
        <w:pStyle w:val="a7"/>
        <w:numPr>
          <w:ilvl w:val="0"/>
          <w:numId w:val="32"/>
        </w:numPr>
        <w:rPr>
          <w:szCs w:val="24"/>
        </w:rPr>
      </w:pPr>
      <w:r w:rsidRPr="008A6547">
        <w:rPr>
          <w:szCs w:val="24"/>
        </w:rPr>
        <w:lastRenderedPageBreak/>
        <w:t xml:space="preserve">Определить факторы, под </w:t>
      </w:r>
      <w:r w:rsidR="00536FDB">
        <w:rPr>
          <w:szCs w:val="24"/>
        </w:rPr>
        <w:t>влиянием</w:t>
      </w:r>
      <w:r w:rsidRPr="008A6547">
        <w:rPr>
          <w:szCs w:val="24"/>
        </w:rPr>
        <w:t xml:space="preserve"> которых будут формироваться российско-германские отношения в будущем, роль и место нефти и газа в этом процессе, а также составить сценарии развития двусторонних отношений в будущем.</w:t>
      </w:r>
    </w:p>
    <w:p w14:paraId="09621EA3" w14:textId="39DEAEB3" w:rsidR="00F704AA" w:rsidRDefault="00F704AA" w:rsidP="008A6547">
      <w:pPr>
        <w:ind w:firstLine="708"/>
        <w:rPr>
          <w:szCs w:val="24"/>
        </w:rPr>
      </w:pPr>
      <w:r w:rsidRPr="00F704AA">
        <w:rPr>
          <w:b/>
          <w:szCs w:val="24"/>
        </w:rPr>
        <w:t>Объект и предмет исследования.</w:t>
      </w:r>
      <w:r>
        <w:rPr>
          <w:szCs w:val="24"/>
        </w:rPr>
        <w:t xml:space="preserve"> Объект исследования – российско-германские отношения. Предмет исследования </w:t>
      </w:r>
      <w:r w:rsidR="003C7771">
        <w:rPr>
          <w:szCs w:val="24"/>
        </w:rPr>
        <w:t>–</w:t>
      </w:r>
      <w:r>
        <w:rPr>
          <w:szCs w:val="24"/>
        </w:rPr>
        <w:t xml:space="preserve"> </w:t>
      </w:r>
      <w:r w:rsidR="003C7771">
        <w:rPr>
          <w:szCs w:val="24"/>
        </w:rPr>
        <w:t>нефтегазовый фактор, его роль в развитии двусторонних отношений на разных этапах.</w:t>
      </w:r>
    </w:p>
    <w:p w14:paraId="16738B26" w14:textId="77777777" w:rsidR="00357BC7" w:rsidRDefault="003C7771" w:rsidP="008A6547">
      <w:pPr>
        <w:ind w:firstLine="708"/>
        <w:rPr>
          <w:szCs w:val="24"/>
        </w:rPr>
      </w:pPr>
      <w:r w:rsidRPr="003C7771">
        <w:rPr>
          <w:b/>
          <w:szCs w:val="24"/>
        </w:rPr>
        <w:t>Теоретические и методологические основы исследования.</w:t>
      </w:r>
      <w:r>
        <w:rPr>
          <w:szCs w:val="24"/>
        </w:rPr>
        <w:t xml:space="preserve"> </w:t>
      </w:r>
    </w:p>
    <w:p w14:paraId="52DE6481" w14:textId="77777777" w:rsidR="00357BC7" w:rsidRDefault="003C7771" w:rsidP="00EE5E04">
      <w:pPr>
        <w:ind w:firstLine="708"/>
        <w:rPr>
          <w:szCs w:val="24"/>
        </w:rPr>
      </w:pPr>
      <w:r>
        <w:rPr>
          <w:szCs w:val="24"/>
        </w:rPr>
        <w:t>Теоретическим фундаментом данного исследования выступает неолиберальная традиция международных отношений, которая сформировалась после 2-й мировой войны, а после распада биполярной системы вышла на новый уровень</w:t>
      </w:r>
      <w:r w:rsidR="005B26B6">
        <w:rPr>
          <w:szCs w:val="24"/>
        </w:rPr>
        <w:t xml:space="preserve"> своего развития. Однако, в свете неоднородности развития взглядов российского руководства на международные отношения и их постепенную эволюцию, возникает необходимость использования в ходе написания данной работы реалистическую традицию, возврат к которой осуществляется через постепенное возвращение в политический дискурс принципа «национального интереса».</w:t>
      </w:r>
    </w:p>
    <w:p w14:paraId="2EE0E02C" w14:textId="18EDE3A7" w:rsidR="003C7771" w:rsidRDefault="00357BC7" w:rsidP="00EE5E04">
      <w:pPr>
        <w:ind w:firstLine="708"/>
        <w:rPr>
          <w:szCs w:val="24"/>
        </w:rPr>
      </w:pPr>
      <w:r>
        <w:rPr>
          <w:szCs w:val="24"/>
        </w:rPr>
        <w:t>Методологическая</w:t>
      </w:r>
      <w:r w:rsidR="008F23F8">
        <w:rPr>
          <w:szCs w:val="24"/>
        </w:rPr>
        <w:t xml:space="preserve"> основу исследования составили общенаучные</w:t>
      </w:r>
      <w:r w:rsidR="00D0690E">
        <w:rPr>
          <w:szCs w:val="24"/>
        </w:rPr>
        <w:t xml:space="preserve"> и </w:t>
      </w:r>
      <w:r w:rsidR="008F23F8">
        <w:rPr>
          <w:szCs w:val="24"/>
        </w:rPr>
        <w:t xml:space="preserve">экономические методы. В рамках первой группы для изучения российско-германских отношений активно использовался системный подход, деятельность ТНК и организаций рассматривалась с использованием институционального подхода. Широкое применение получил исторический </w:t>
      </w:r>
      <w:r w:rsidR="009D2D45">
        <w:rPr>
          <w:szCs w:val="24"/>
        </w:rPr>
        <w:t xml:space="preserve">и логический </w:t>
      </w:r>
      <w:r w:rsidR="008F23F8">
        <w:rPr>
          <w:szCs w:val="24"/>
        </w:rPr>
        <w:t>метод</w:t>
      </w:r>
      <w:r w:rsidR="009D2D45">
        <w:rPr>
          <w:szCs w:val="24"/>
        </w:rPr>
        <w:t>ы</w:t>
      </w:r>
      <w:r w:rsidR="008F23F8">
        <w:rPr>
          <w:szCs w:val="24"/>
        </w:rPr>
        <w:t>, который позволил</w:t>
      </w:r>
      <w:r w:rsidR="009D2D45">
        <w:rPr>
          <w:szCs w:val="24"/>
        </w:rPr>
        <w:t xml:space="preserve">и </w:t>
      </w:r>
      <w:r w:rsidR="008F23F8">
        <w:rPr>
          <w:szCs w:val="24"/>
        </w:rPr>
        <w:t>проследить эволюци</w:t>
      </w:r>
      <w:r w:rsidR="009D2D45">
        <w:rPr>
          <w:szCs w:val="24"/>
        </w:rPr>
        <w:t>ю</w:t>
      </w:r>
      <w:r w:rsidR="008F23F8">
        <w:rPr>
          <w:szCs w:val="24"/>
        </w:rPr>
        <w:t xml:space="preserve"> двусторонних отношений России и Германии</w:t>
      </w:r>
      <w:r w:rsidR="00D0690E">
        <w:rPr>
          <w:szCs w:val="24"/>
        </w:rPr>
        <w:t xml:space="preserve"> с заключительными обобщениями и выводами</w:t>
      </w:r>
      <w:r w:rsidR="008F23F8">
        <w:rPr>
          <w:szCs w:val="24"/>
        </w:rPr>
        <w:t xml:space="preserve">. </w:t>
      </w:r>
      <w:r w:rsidR="009D2D45">
        <w:rPr>
          <w:szCs w:val="24"/>
        </w:rPr>
        <w:t xml:space="preserve">Ко второй группе методов следует отнести </w:t>
      </w:r>
      <w:r w:rsidR="008A6547">
        <w:rPr>
          <w:bCs/>
          <w:iCs/>
          <w:szCs w:val="24"/>
        </w:rPr>
        <w:t>статистико-экономический</w:t>
      </w:r>
      <w:r w:rsidR="00D0690E" w:rsidRPr="003B6A89">
        <w:rPr>
          <w:bCs/>
          <w:iCs/>
          <w:szCs w:val="24"/>
        </w:rPr>
        <w:t xml:space="preserve"> метод</w:t>
      </w:r>
      <w:r w:rsidR="00D0690E">
        <w:rPr>
          <w:b/>
          <w:i/>
          <w:szCs w:val="24"/>
        </w:rPr>
        <w:t xml:space="preserve"> </w:t>
      </w:r>
      <w:r w:rsidR="00D0690E">
        <w:rPr>
          <w:szCs w:val="24"/>
        </w:rPr>
        <w:t xml:space="preserve">– для выявления взаимосвязей и трендов на длительном временном промежутке, а также метод функционального анализа, который вскрывает взаимосвязи между экономическими процессами. </w:t>
      </w:r>
    </w:p>
    <w:p w14:paraId="24F38AA2" w14:textId="11163FB6" w:rsidR="00124BD4" w:rsidRDefault="00124BD4" w:rsidP="00124BD4">
      <w:pPr>
        <w:ind w:firstLine="708"/>
        <w:rPr>
          <w:szCs w:val="24"/>
        </w:rPr>
      </w:pPr>
      <w:r w:rsidRPr="00124BD4">
        <w:rPr>
          <w:b/>
          <w:szCs w:val="24"/>
        </w:rPr>
        <w:t xml:space="preserve">Характеристика источниковой базы исследования. </w:t>
      </w:r>
      <w:r>
        <w:rPr>
          <w:szCs w:val="24"/>
        </w:rPr>
        <w:t>Источники, использовавшиеся в рамках данного исследования, можно условно разделить на три группы:</w:t>
      </w:r>
    </w:p>
    <w:p w14:paraId="6274E16D" w14:textId="724F1A25" w:rsidR="0049177C" w:rsidRDefault="00124BD4" w:rsidP="0049177C">
      <w:pPr>
        <w:pStyle w:val="a7"/>
        <w:numPr>
          <w:ilvl w:val="0"/>
          <w:numId w:val="28"/>
        </w:numPr>
        <w:rPr>
          <w:szCs w:val="24"/>
        </w:rPr>
      </w:pPr>
      <w:r>
        <w:rPr>
          <w:szCs w:val="24"/>
        </w:rPr>
        <w:t>Отчеты и прогнозы нефтегазовых транснациональных корпораций и международных энергетических организаций, отечественных и иностранных научных центров</w:t>
      </w:r>
      <w:r w:rsidR="008A13EB">
        <w:rPr>
          <w:szCs w:val="24"/>
        </w:rPr>
        <w:t>, международных институтов – МВФ, ВТО, В</w:t>
      </w:r>
      <w:r w:rsidR="00655743">
        <w:rPr>
          <w:szCs w:val="24"/>
        </w:rPr>
        <w:t>семирный банк.</w:t>
      </w:r>
    </w:p>
    <w:p w14:paraId="5FAAE1D8" w14:textId="6BEB9613" w:rsidR="0049177C" w:rsidRPr="0049177C" w:rsidRDefault="0049177C" w:rsidP="0049177C">
      <w:pPr>
        <w:pStyle w:val="a7"/>
        <w:numPr>
          <w:ilvl w:val="0"/>
          <w:numId w:val="28"/>
        </w:numPr>
        <w:rPr>
          <w:szCs w:val="24"/>
        </w:rPr>
      </w:pPr>
      <w:r>
        <w:rPr>
          <w:szCs w:val="24"/>
        </w:rPr>
        <w:lastRenderedPageBreak/>
        <w:t xml:space="preserve">Закрепленные на законодательном уровне официальные документы, которые определяют принципы реализации государственной стратегии в сфере энергетики. Например, </w:t>
      </w:r>
      <w:r w:rsidR="00FA0438">
        <w:rPr>
          <w:szCs w:val="24"/>
        </w:rPr>
        <w:t>«</w:t>
      </w:r>
      <w:r>
        <w:rPr>
          <w:szCs w:val="24"/>
        </w:rPr>
        <w:t>Доктрина энергетической безопасности Российской Федерации</w:t>
      </w:r>
      <w:r w:rsidR="00FA0438">
        <w:rPr>
          <w:szCs w:val="24"/>
        </w:rPr>
        <w:t>»</w:t>
      </w:r>
      <w:r>
        <w:rPr>
          <w:szCs w:val="24"/>
        </w:rPr>
        <w:t xml:space="preserve"> или </w:t>
      </w:r>
      <w:r w:rsidR="00FA0438">
        <w:rPr>
          <w:szCs w:val="24"/>
        </w:rPr>
        <w:t>германская «Стратегия развития национальной энергетики до 2050 г.».</w:t>
      </w:r>
    </w:p>
    <w:p w14:paraId="7EDDB3CA" w14:textId="32DF6637" w:rsidR="009E6C19" w:rsidRDefault="008A13EB" w:rsidP="009E6C19">
      <w:pPr>
        <w:pStyle w:val="a7"/>
        <w:numPr>
          <w:ilvl w:val="0"/>
          <w:numId w:val="28"/>
        </w:numPr>
        <w:rPr>
          <w:szCs w:val="24"/>
        </w:rPr>
      </w:pPr>
      <w:r>
        <w:rPr>
          <w:szCs w:val="24"/>
        </w:rPr>
        <w:t xml:space="preserve">Статистические базы данных МВФ, </w:t>
      </w:r>
      <w:r w:rsidR="00655743">
        <w:rPr>
          <w:szCs w:val="24"/>
        </w:rPr>
        <w:t>Всемирного банка</w:t>
      </w:r>
      <w:r>
        <w:rPr>
          <w:szCs w:val="24"/>
        </w:rPr>
        <w:t>, Росстата, стран ОЭСР</w:t>
      </w:r>
      <w:r w:rsidR="00137182">
        <w:rPr>
          <w:szCs w:val="24"/>
        </w:rPr>
        <w:t>.</w:t>
      </w:r>
    </w:p>
    <w:p w14:paraId="502F67EF" w14:textId="4C286F0E" w:rsidR="009E6C19" w:rsidRDefault="0046237D" w:rsidP="0046237D">
      <w:pPr>
        <w:ind w:firstLine="708"/>
        <w:rPr>
          <w:b/>
          <w:szCs w:val="24"/>
        </w:rPr>
      </w:pPr>
      <w:r>
        <w:rPr>
          <w:b/>
          <w:szCs w:val="24"/>
        </w:rPr>
        <w:t>Научная новизна:</w:t>
      </w:r>
    </w:p>
    <w:p w14:paraId="7C596B0E" w14:textId="79434572" w:rsidR="005F6FD1" w:rsidRDefault="0046237D" w:rsidP="0046237D">
      <w:pPr>
        <w:pStyle w:val="a7"/>
        <w:numPr>
          <w:ilvl w:val="0"/>
          <w:numId w:val="29"/>
        </w:numPr>
        <w:rPr>
          <w:szCs w:val="24"/>
        </w:rPr>
      </w:pPr>
      <w:r>
        <w:rPr>
          <w:szCs w:val="24"/>
        </w:rPr>
        <w:t>Проведен комплексный анализ модернизационного аспекта в структуре российско-германских торгово-экономических отношений.</w:t>
      </w:r>
    </w:p>
    <w:p w14:paraId="743A3F4B" w14:textId="77777777" w:rsidR="00536FDB" w:rsidRPr="00536FDB" w:rsidRDefault="00536FDB" w:rsidP="003B6A89">
      <w:pPr>
        <w:pStyle w:val="a7"/>
        <w:numPr>
          <w:ilvl w:val="0"/>
          <w:numId w:val="29"/>
        </w:numPr>
      </w:pPr>
      <w:r>
        <w:rPr>
          <w:szCs w:val="24"/>
        </w:rPr>
        <w:t>О</w:t>
      </w:r>
      <w:r w:rsidRPr="00536FDB">
        <w:rPr>
          <w:szCs w:val="24"/>
        </w:rPr>
        <w:t>пределена роль нефтегазового фактора в разрезе несоответствия заявленных в концепции догоняющего развития целей и полученных результатов</w:t>
      </w:r>
      <w:r>
        <w:rPr>
          <w:szCs w:val="24"/>
        </w:rPr>
        <w:t>.</w:t>
      </w:r>
    </w:p>
    <w:p w14:paraId="49247559" w14:textId="3D72B298" w:rsidR="00921F90" w:rsidRDefault="0046237D" w:rsidP="003B6A89">
      <w:pPr>
        <w:pStyle w:val="a7"/>
        <w:numPr>
          <w:ilvl w:val="0"/>
          <w:numId w:val="29"/>
        </w:numPr>
      </w:pPr>
      <w:r w:rsidRPr="005F6FD1">
        <w:rPr>
          <w:szCs w:val="24"/>
        </w:rPr>
        <w:t>Проведен комплексный анализ факторов, которые оказывают влияние на развитие российско-германских отношений в будущем, место</w:t>
      </w:r>
      <w:r w:rsidRPr="005D25A9">
        <w:rPr>
          <w:szCs w:val="24"/>
        </w:rPr>
        <w:t xml:space="preserve"> нефти и газа среди них, а также построены два сценария развития двусторонних отношений. </w:t>
      </w:r>
    </w:p>
    <w:p w14:paraId="0BA15162" w14:textId="77777777" w:rsidR="003F15F3" w:rsidRDefault="003F15F3" w:rsidP="003F15F3">
      <w:bookmarkStart w:id="5" w:name="_Toc41500778"/>
      <w:r>
        <w:br w:type="page"/>
      </w:r>
    </w:p>
    <w:p w14:paraId="4DBC76B1" w14:textId="60572E8A" w:rsidR="00153162" w:rsidRPr="00A06959" w:rsidRDefault="00153162" w:rsidP="0043073D">
      <w:pPr>
        <w:pStyle w:val="1"/>
      </w:pPr>
      <w:bookmarkStart w:id="6" w:name="_Toc41513172"/>
      <w:r w:rsidRPr="009618E5">
        <w:lastRenderedPageBreak/>
        <w:t>Глава 1</w:t>
      </w:r>
      <w:r w:rsidR="00A06959" w:rsidRPr="00A06959">
        <w:t xml:space="preserve">. </w:t>
      </w:r>
      <w:r w:rsidR="00A06959">
        <w:t>Нефтегазовый фактор в современной системе международных отношений</w:t>
      </w:r>
      <w:bookmarkEnd w:id="5"/>
      <w:bookmarkEnd w:id="6"/>
    </w:p>
    <w:p w14:paraId="4774ED20" w14:textId="0754BCF1" w:rsidR="00EC5845" w:rsidRPr="0043073D" w:rsidRDefault="00A06959" w:rsidP="00C626D3">
      <w:pPr>
        <w:pStyle w:val="2"/>
        <w:numPr>
          <w:ilvl w:val="1"/>
          <w:numId w:val="34"/>
        </w:numPr>
      </w:pPr>
      <w:bookmarkStart w:id="7" w:name="_Toc41500779"/>
      <w:bookmarkStart w:id="8" w:name="_Toc41513173"/>
      <w:r w:rsidRPr="0043073D">
        <w:t xml:space="preserve">Неолиберальная парадигма </w:t>
      </w:r>
      <w:r w:rsidR="00C626D3">
        <w:t xml:space="preserve">международных отношений </w:t>
      </w:r>
      <w:r w:rsidRPr="0043073D">
        <w:t>как теоретическ</w:t>
      </w:r>
      <w:r w:rsidR="00C626D3">
        <w:t>ое</w:t>
      </w:r>
      <w:r w:rsidRPr="0043073D">
        <w:t xml:space="preserve"> </w:t>
      </w:r>
      <w:r w:rsidR="00C626D3">
        <w:t>обоснование развития</w:t>
      </w:r>
      <w:r w:rsidRPr="0043073D">
        <w:t xml:space="preserve"> </w:t>
      </w:r>
      <w:r w:rsidR="0043073D" w:rsidRPr="0043073D">
        <w:t>глобального нефтегазового рынка</w:t>
      </w:r>
      <w:r w:rsidR="0043073D">
        <w:t>.</w:t>
      </w:r>
      <w:bookmarkEnd w:id="7"/>
      <w:bookmarkEnd w:id="8"/>
    </w:p>
    <w:p w14:paraId="2117C984" w14:textId="2258F915" w:rsidR="004E3B65" w:rsidRPr="009618E5" w:rsidRDefault="00B53EE3" w:rsidP="004E3B65">
      <w:pPr>
        <w:ind w:firstLine="708"/>
        <w:rPr>
          <w:szCs w:val="24"/>
        </w:rPr>
      </w:pPr>
      <w:r>
        <w:rPr>
          <w:szCs w:val="24"/>
        </w:rPr>
        <w:t>Изучение</w:t>
      </w:r>
      <w:r w:rsidR="00917DEB" w:rsidRPr="009618E5">
        <w:rPr>
          <w:szCs w:val="24"/>
        </w:rPr>
        <w:t xml:space="preserve"> </w:t>
      </w:r>
      <w:r>
        <w:rPr>
          <w:szCs w:val="24"/>
        </w:rPr>
        <w:t>рынка</w:t>
      </w:r>
      <w:r w:rsidR="004E538A" w:rsidRPr="009618E5">
        <w:rPr>
          <w:szCs w:val="24"/>
        </w:rPr>
        <w:t xml:space="preserve"> нефти и газа, </w:t>
      </w:r>
      <w:r w:rsidR="00917DEB" w:rsidRPr="009618E5">
        <w:rPr>
          <w:szCs w:val="24"/>
        </w:rPr>
        <w:t xml:space="preserve">которые сегодня являются одними из крупнейших товарных рынков в мире, </w:t>
      </w:r>
      <w:r w:rsidR="00D24BE0" w:rsidRPr="009618E5">
        <w:rPr>
          <w:szCs w:val="24"/>
        </w:rPr>
        <w:t>их</w:t>
      </w:r>
      <w:r w:rsidR="00D33E56" w:rsidRPr="009618E5">
        <w:rPr>
          <w:szCs w:val="24"/>
        </w:rPr>
        <w:t xml:space="preserve"> структуры</w:t>
      </w:r>
      <w:r w:rsidR="004E3B65" w:rsidRPr="009618E5">
        <w:rPr>
          <w:szCs w:val="24"/>
        </w:rPr>
        <w:t xml:space="preserve">, процессов становления и </w:t>
      </w:r>
      <w:r w:rsidR="00D33E56" w:rsidRPr="009618E5">
        <w:rPr>
          <w:szCs w:val="24"/>
        </w:rPr>
        <w:t xml:space="preserve">развития, </w:t>
      </w:r>
      <w:r w:rsidR="00917DEB" w:rsidRPr="009618E5">
        <w:rPr>
          <w:szCs w:val="24"/>
        </w:rPr>
        <w:t>лучше всего осуществляется через призму неолиберальной парадигмы международных отношений</w:t>
      </w:r>
      <w:r w:rsidR="00066295" w:rsidRPr="009618E5">
        <w:rPr>
          <w:szCs w:val="24"/>
        </w:rPr>
        <w:t>, которая получила свое развитие в</w:t>
      </w:r>
      <w:r w:rsidR="004E3B65" w:rsidRPr="009618E5">
        <w:rPr>
          <w:szCs w:val="24"/>
        </w:rPr>
        <w:t xml:space="preserve"> 70-х годах</w:t>
      </w:r>
      <w:r w:rsidR="00066295" w:rsidRPr="009618E5">
        <w:rPr>
          <w:szCs w:val="24"/>
        </w:rPr>
        <w:t xml:space="preserve"> </w:t>
      </w:r>
      <w:r w:rsidR="00066295" w:rsidRPr="009618E5">
        <w:rPr>
          <w:szCs w:val="24"/>
          <w:lang w:val="en-US"/>
        </w:rPr>
        <w:t>XX</w:t>
      </w:r>
      <w:r w:rsidR="00066295" w:rsidRPr="009618E5">
        <w:rPr>
          <w:szCs w:val="24"/>
        </w:rPr>
        <w:t>-го века, а её главными представителями стали Роберт К</w:t>
      </w:r>
      <w:r w:rsidR="00BB7BD6" w:rsidRPr="009618E5">
        <w:rPr>
          <w:szCs w:val="24"/>
        </w:rPr>
        <w:t>е</w:t>
      </w:r>
      <w:r w:rsidR="00066295" w:rsidRPr="009618E5">
        <w:rPr>
          <w:szCs w:val="24"/>
        </w:rPr>
        <w:t>охейн, Джозеф Най, Френсис Фукуяма, и др.</w:t>
      </w:r>
      <w:r w:rsidR="004E3B65" w:rsidRPr="009618E5">
        <w:rPr>
          <w:szCs w:val="24"/>
        </w:rPr>
        <w:t xml:space="preserve"> Причины становления данной теории носили по большей части экономический характер: усиление интеграционных процессов, начало процесса финансовой и экономической глобализации – все это вызвало необходимость развития классической либеральной парадигмы, которая во многом была ограничена рамками государства. </w:t>
      </w:r>
      <w:r w:rsidR="000F6247" w:rsidRPr="009618E5">
        <w:rPr>
          <w:szCs w:val="24"/>
        </w:rPr>
        <w:t xml:space="preserve">В соответствии с </w:t>
      </w:r>
      <w:r w:rsidR="00803FC7" w:rsidRPr="009618E5">
        <w:rPr>
          <w:szCs w:val="24"/>
        </w:rPr>
        <w:t>неолиберальной</w:t>
      </w:r>
      <w:r w:rsidR="000F6247" w:rsidRPr="009618E5">
        <w:rPr>
          <w:szCs w:val="24"/>
        </w:rPr>
        <w:t xml:space="preserve"> теорией, утрата государством главенствующей роли как субъекта международных отношений сопровождалось активным ростом роли транснациональных корпораций, международных организаций и наднациональных институтов. </w:t>
      </w:r>
    </w:p>
    <w:p w14:paraId="070F1610" w14:textId="5ECC784A" w:rsidR="004E538A" w:rsidRPr="009618E5" w:rsidRDefault="00BB7BD6" w:rsidP="0043073D">
      <w:pPr>
        <w:ind w:firstLine="708"/>
        <w:rPr>
          <w:szCs w:val="24"/>
        </w:rPr>
      </w:pPr>
      <w:r w:rsidRPr="009618E5">
        <w:rPr>
          <w:szCs w:val="24"/>
        </w:rPr>
        <w:t xml:space="preserve">Наиболее видными представителями неолиберальной парадигмы в международных отношениях стали Роберт Кеохейн и Джозеф Най, которые в 1977 году в книге «Власть и взаимозависимость: мировая политика в состоянии перехода» представили </w:t>
      </w:r>
      <w:r w:rsidR="00A27102" w:rsidRPr="009618E5">
        <w:rPr>
          <w:szCs w:val="24"/>
        </w:rPr>
        <w:t xml:space="preserve">свою </w:t>
      </w:r>
      <w:r w:rsidRPr="009618E5">
        <w:rPr>
          <w:szCs w:val="24"/>
        </w:rPr>
        <w:t xml:space="preserve">теорию взаимозависимости. </w:t>
      </w:r>
      <w:r w:rsidR="00A27102" w:rsidRPr="009618E5">
        <w:rPr>
          <w:szCs w:val="24"/>
        </w:rPr>
        <w:t xml:space="preserve">Авторы определяют взаимозависимость как состояние </w:t>
      </w:r>
      <w:r w:rsidR="00AF5F27" w:rsidRPr="009618E5">
        <w:rPr>
          <w:szCs w:val="24"/>
        </w:rPr>
        <w:t>взаимного</w:t>
      </w:r>
      <w:r w:rsidR="00A27102" w:rsidRPr="009618E5">
        <w:rPr>
          <w:szCs w:val="24"/>
        </w:rPr>
        <w:t xml:space="preserve"> влияния государств или иных </w:t>
      </w:r>
      <w:r w:rsidR="00AF5F27" w:rsidRPr="009618E5">
        <w:rPr>
          <w:szCs w:val="24"/>
        </w:rPr>
        <w:t xml:space="preserve">межгосударственных </w:t>
      </w:r>
      <w:r w:rsidR="00A27102" w:rsidRPr="009618E5">
        <w:rPr>
          <w:szCs w:val="24"/>
        </w:rPr>
        <w:t>акторов друг на друга</w:t>
      </w:r>
      <w:r w:rsidR="004E538A" w:rsidRPr="009618E5">
        <w:rPr>
          <w:szCs w:val="24"/>
        </w:rPr>
        <w:t>. Причинами подобного влияния становятся всевозрастающая международная кооперация, которая находит отражение в трансграничных денежных и товарных потоках, росте мобильности населения стран мира, а также развити</w:t>
      </w:r>
      <w:r w:rsidR="00AF5F27" w:rsidRPr="009618E5">
        <w:rPr>
          <w:szCs w:val="24"/>
        </w:rPr>
        <w:t>и</w:t>
      </w:r>
      <w:r w:rsidR="004E538A" w:rsidRPr="009618E5">
        <w:rPr>
          <w:szCs w:val="24"/>
        </w:rPr>
        <w:t xml:space="preserve"> связи и коммуникационных технологий</w:t>
      </w:r>
      <w:r w:rsidR="0043073D">
        <w:rPr>
          <w:rStyle w:val="af5"/>
          <w:szCs w:val="24"/>
        </w:rPr>
        <w:footnoteReference w:id="13"/>
      </w:r>
      <w:r w:rsidR="004E538A" w:rsidRPr="009618E5">
        <w:rPr>
          <w:szCs w:val="24"/>
        </w:rPr>
        <w:t xml:space="preserve">. </w:t>
      </w:r>
    </w:p>
    <w:p w14:paraId="3D2E31D5" w14:textId="77777777" w:rsidR="00E324A0" w:rsidRPr="009618E5" w:rsidRDefault="004E538A" w:rsidP="004E538A">
      <w:pPr>
        <w:ind w:firstLine="360"/>
        <w:rPr>
          <w:szCs w:val="24"/>
        </w:rPr>
      </w:pPr>
      <w:r w:rsidRPr="009618E5">
        <w:rPr>
          <w:szCs w:val="24"/>
        </w:rPr>
        <w:t xml:space="preserve">Несмотря на явно экономическую подоплеку в формировании данной теории, она во многом </w:t>
      </w:r>
      <w:r w:rsidR="00E324A0" w:rsidRPr="009618E5">
        <w:rPr>
          <w:szCs w:val="24"/>
        </w:rPr>
        <w:t>стала</w:t>
      </w:r>
      <w:r w:rsidRPr="009618E5">
        <w:rPr>
          <w:szCs w:val="24"/>
        </w:rPr>
        <w:t xml:space="preserve"> ответной реакцией на развитие </w:t>
      </w:r>
      <w:r w:rsidR="00E324A0" w:rsidRPr="009618E5">
        <w:rPr>
          <w:szCs w:val="24"/>
        </w:rPr>
        <w:t xml:space="preserve">«идеального типа» </w:t>
      </w:r>
      <w:r w:rsidRPr="009618E5">
        <w:rPr>
          <w:szCs w:val="24"/>
        </w:rPr>
        <w:t>неореалистической парадигмы</w:t>
      </w:r>
      <w:r w:rsidR="00E324A0" w:rsidRPr="009618E5">
        <w:rPr>
          <w:szCs w:val="24"/>
        </w:rPr>
        <w:t>, при котором международная политика имела следующие характерные черты:</w:t>
      </w:r>
    </w:p>
    <w:p w14:paraId="51A7F823" w14:textId="223E8680" w:rsidR="00E324A0" w:rsidRPr="009618E5" w:rsidRDefault="00E324A0" w:rsidP="00C240DF">
      <w:pPr>
        <w:pStyle w:val="a7"/>
        <w:numPr>
          <w:ilvl w:val="0"/>
          <w:numId w:val="3"/>
        </w:numPr>
        <w:rPr>
          <w:szCs w:val="24"/>
        </w:rPr>
      </w:pPr>
      <w:r w:rsidRPr="009618E5">
        <w:rPr>
          <w:szCs w:val="24"/>
        </w:rPr>
        <w:t>Борьба за власть между государствами является нормальным состоянием системы международных отношений, а перманентные конфликты в активной фазе или при наличии потенциальной угрозы решаются организованным использованием силы или насилия</w:t>
      </w:r>
      <w:r w:rsidR="00C240DF" w:rsidRPr="009618E5">
        <w:rPr>
          <w:szCs w:val="24"/>
        </w:rPr>
        <w:t xml:space="preserve"> - таким образом государства защищают свою территорию и интересы. </w:t>
      </w:r>
    </w:p>
    <w:p w14:paraId="53BAAF38" w14:textId="7DA11F69" w:rsidR="00C240DF" w:rsidRPr="009618E5" w:rsidRDefault="00C240DF" w:rsidP="00C240DF">
      <w:pPr>
        <w:pStyle w:val="a7"/>
        <w:numPr>
          <w:ilvl w:val="0"/>
          <w:numId w:val="3"/>
        </w:numPr>
        <w:rPr>
          <w:szCs w:val="24"/>
        </w:rPr>
      </w:pPr>
      <w:r w:rsidRPr="009618E5">
        <w:rPr>
          <w:szCs w:val="24"/>
        </w:rPr>
        <w:lastRenderedPageBreak/>
        <w:t>Политическая интеграция между государствами отличается хрупкостью и непродолжительностью, поскольку она возможна лишь до тех пор, пока соответствует национальным интересам наиболее сильных государств; транснациональные акторы отсутствуют или играют малозначительную роль.</w:t>
      </w:r>
    </w:p>
    <w:p w14:paraId="098F4B1C" w14:textId="7607310F" w:rsidR="00C240DF" w:rsidRPr="009618E5" w:rsidRDefault="00C240DF" w:rsidP="00C240DF">
      <w:pPr>
        <w:pStyle w:val="a7"/>
        <w:numPr>
          <w:ilvl w:val="0"/>
          <w:numId w:val="3"/>
        </w:numPr>
        <w:rPr>
          <w:szCs w:val="24"/>
        </w:rPr>
      </w:pPr>
      <w:r w:rsidRPr="009618E5">
        <w:rPr>
          <w:szCs w:val="24"/>
        </w:rPr>
        <w:t xml:space="preserve">Гарантия стабильности международной системы определяется с одной стороны правилом, что только применение или угроза применения силы позволяет государствам выживать, а с другой </w:t>
      </w:r>
      <w:r w:rsidR="0029166B" w:rsidRPr="009618E5">
        <w:rPr>
          <w:szCs w:val="24"/>
        </w:rPr>
        <w:t>–</w:t>
      </w:r>
      <w:r w:rsidRPr="009618E5">
        <w:rPr>
          <w:szCs w:val="24"/>
        </w:rPr>
        <w:t xml:space="preserve"> </w:t>
      </w:r>
      <w:r w:rsidR="0029166B" w:rsidRPr="009618E5">
        <w:rPr>
          <w:szCs w:val="24"/>
        </w:rPr>
        <w:t xml:space="preserve">эффективностью системы баланса сил, при которой государственный деятель последовательно отстаивает национальные интересы. </w:t>
      </w:r>
    </w:p>
    <w:p w14:paraId="6B27E949" w14:textId="015C0CB7" w:rsidR="00BB7BD6" w:rsidRPr="009618E5" w:rsidRDefault="000E1FC9" w:rsidP="004E538A">
      <w:pPr>
        <w:ind w:firstLine="360"/>
        <w:rPr>
          <w:szCs w:val="24"/>
        </w:rPr>
      </w:pPr>
      <w:r w:rsidRPr="009618E5">
        <w:rPr>
          <w:szCs w:val="24"/>
        </w:rPr>
        <w:t>Именно поэтому</w:t>
      </w:r>
      <w:r w:rsidR="004E538A" w:rsidRPr="009618E5">
        <w:rPr>
          <w:szCs w:val="24"/>
        </w:rPr>
        <w:t xml:space="preserve"> следующим этапом </w:t>
      </w:r>
      <w:r w:rsidR="005A560B" w:rsidRPr="009618E5">
        <w:rPr>
          <w:szCs w:val="24"/>
        </w:rPr>
        <w:t xml:space="preserve">развития теории </w:t>
      </w:r>
      <w:r w:rsidR="004E538A" w:rsidRPr="009618E5">
        <w:rPr>
          <w:szCs w:val="24"/>
        </w:rPr>
        <w:t xml:space="preserve">взаимозависимости стало </w:t>
      </w:r>
      <w:r w:rsidR="005A560B" w:rsidRPr="009618E5">
        <w:rPr>
          <w:szCs w:val="24"/>
        </w:rPr>
        <w:t xml:space="preserve">формирование </w:t>
      </w:r>
      <w:r w:rsidR="004E538A" w:rsidRPr="009618E5">
        <w:rPr>
          <w:szCs w:val="24"/>
        </w:rPr>
        <w:t>поняти</w:t>
      </w:r>
      <w:r w:rsidR="005A560B" w:rsidRPr="009618E5">
        <w:rPr>
          <w:szCs w:val="24"/>
        </w:rPr>
        <w:t>я</w:t>
      </w:r>
      <w:r w:rsidR="004E538A" w:rsidRPr="009618E5">
        <w:rPr>
          <w:szCs w:val="24"/>
        </w:rPr>
        <w:t xml:space="preserve"> «комплексная взаимозависимость» - </w:t>
      </w:r>
      <w:r w:rsidR="005A560B" w:rsidRPr="009618E5">
        <w:rPr>
          <w:szCs w:val="24"/>
        </w:rPr>
        <w:t>«</w:t>
      </w:r>
      <w:r w:rsidRPr="009618E5">
        <w:rPr>
          <w:szCs w:val="24"/>
        </w:rPr>
        <w:t>идеального типа</w:t>
      </w:r>
      <w:r w:rsidR="005A560B" w:rsidRPr="009618E5">
        <w:rPr>
          <w:szCs w:val="24"/>
        </w:rPr>
        <w:t>»</w:t>
      </w:r>
      <w:r w:rsidRPr="009618E5">
        <w:rPr>
          <w:szCs w:val="24"/>
        </w:rPr>
        <w:t xml:space="preserve"> </w:t>
      </w:r>
      <w:r w:rsidR="00A877E9" w:rsidRPr="009618E5">
        <w:rPr>
          <w:szCs w:val="24"/>
        </w:rPr>
        <w:t>межгосударственных</w:t>
      </w:r>
      <w:r w:rsidRPr="009618E5">
        <w:rPr>
          <w:szCs w:val="24"/>
        </w:rPr>
        <w:t xml:space="preserve"> отношений в неолиберальной парадигме, </w:t>
      </w:r>
      <w:r w:rsidR="00A877E9" w:rsidRPr="009618E5">
        <w:rPr>
          <w:szCs w:val="24"/>
        </w:rPr>
        <w:t xml:space="preserve">чьи отличительные </w:t>
      </w:r>
      <w:r w:rsidR="00AF5F27" w:rsidRPr="009618E5">
        <w:rPr>
          <w:szCs w:val="24"/>
        </w:rPr>
        <w:t>особенности</w:t>
      </w:r>
      <w:r w:rsidR="00A877E9" w:rsidRPr="009618E5">
        <w:rPr>
          <w:szCs w:val="24"/>
        </w:rPr>
        <w:t xml:space="preserve"> </w:t>
      </w:r>
      <w:r w:rsidR="00AF5F27" w:rsidRPr="009618E5">
        <w:rPr>
          <w:szCs w:val="24"/>
        </w:rPr>
        <w:t>утверждают, что</w:t>
      </w:r>
      <w:r w:rsidRPr="009618E5">
        <w:rPr>
          <w:szCs w:val="24"/>
        </w:rPr>
        <w:t>:</w:t>
      </w:r>
    </w:p>
    <w:p w14:paraId="5486CF5B" w14:textId="76CB65FE" w:rsidR="004E538A" w:rsidRPr="009618E5" w:rsidRDefault="005A560B" w:rsidP="006A31C9">
      <w:pPr>
        <w:pStyle w:val="a7"/>
        <w:numPr>
          <w:ilvl w:val="0"/>
          <w:numId w:val="5"/>
        </w:numPr>
        <w:rPr>
          <w:szCs w:val="24"/>
        </w:rPr>
      </w:pPr>
      <w:r w:rsidRPr="009618E5">
        <w:rPr>
          <w:szCs w:val="24"/>
        </w:rPr>
        <w:t>Наличие множественных каналов и уровней взаимодействия обеспечивает всестороннее</w:t>
      </w:r>
      <w:r w:rsidR="000E1FC9" w:rsidRPr="009618E5">
        <w:rPr>
          <w:szCs w:val="24"/>
        </w:rPr>
        <w:t xml:space="preserve"> развитие межгосударственных отношений</w:t>
      </w:r>
      <w:r w:rsidRPr="009618E5">
        <w:rPr>
          <w:szCs w:val="24"/>
        </w:rPr>
        <w:t xml:space="preserve">: </w:t>
      </w:r>
      <w:r w:rsidR="006A31C9" w:rsidRPr="009618E5">
        <w:rPr>
          <w:szCs w:val="24"/>
        </w:rPr>
        <w:t xml:space="preserve">формальные и неформальные контакты представителей правящей государственной элиты и деловых кругов, а также через транснациональные организации – банки и корпорации. Эти каналы можно разделить на три направления: межгосударственные </w:t>
      </w:r>
      <w:r w:rsidRPr="009618E5">
        <w:rPr>
          <w:szCs w:val="24"/>
        </w:rPr>
        <w:t>отношения</w:t>
      </w:r>
      <w:r w:rsidR="006A31C9" w:rsidRPr="009618E5">
        <w:rPr>
          <w:szCs w:val="24"/>
        </w:rPr>
        <w:t xml:space="preserve"> (основа </w:t>
      </w:r>
      <w:r w:rsidRPr="009618E5">
        <w:rPr>
          <w:szCs w:val="24"/>
        </w:rPr>
        <w:t>международных</w:t>
      </w:r>
      <w:r w:rsidR="006A31C9" w:rsidRPr="009618E5">
        <w:rPr>
          <w:szCs w:val="24"/>
        </w:rPr>
        <w:t xml:space="preserve"> отношений в представлении реалистов), трансправительственные (отрицающие тот факт, что государство выступает в качестве унитарного актора) и, наконец, транснациональные (опровергающие тот факт, что государства являются </w:t>
      </w:r>
      <w:r w:rsidRPr="009618E5">
        <w:rPr>
          <w:szCs w:val="24"/>
        </w:rPr>
        <w:t>главенствующими</w:t>
      </w:r>
      <w:r w:rsidR="006A31C9" w:rsidRPr="009618E5">
        <w:rPr>
          <w:szCs w:val="24"/>
        </w:rPr>
        <w:t xml:space="preserve"> акторами в системе международных отношений).</w:t>
      </w:r>
    </w:p>
    <w:p w14:paraId="4EAF67EB" w14:textId="0F7980E9" w:rsidR="006A31C9" w:rsidRPr="009618E5" w:rsidRDefault="005E3AEA" w:rsidP="006A31C9">
      <w:pPr>
        <w:pStyle w:val="a7"/>
        <w:numPr>
          <w:ilvl w:val="0"/>
          <w:numId w:val="5"/>
        </w:numPr>
        <w:rPr>
          <w:szCs w:val="24"/>
        </w:rPr>
      </w:pPr>
      <w:r w:rsidRPr="009618E5">
        <w:rPr>
          <w:szCs w:val="24"/>
        </w:rPr>
        <w:t xml:space="preserve">Повестка в межгосударственных отношениях включает в себя множество вопросов, которые не имеют </w:t>
      </w:r>
      <w:r w:rsidR="005A560B" w:rsidRPr="009618E5">
        <w:rPr>
          <w:szCs w:val="24"/>
        </w:rPr>
        <w:t xml:space="preserve">четко </w:t>
      </w:r>
      <w:r w:rsidRPr="009618E5">
        <w:rPr>
          <w:szCs w:val="24"/>
        </w:rPr>
        <w:t xml:space="preserve">установленной иерархии: многие из них могут быть вызваны особенностями внутренней политики государств (в первую очередь экономической) и отсутствием её эффективной координации с другими государствами, что в свою очередь опровергает тезис реалистической парадигмы о безоговорочном доминировании вопросов безопасности в межгосударственных отношениях. </w:t>
      </w:r>
    </w:p>
    <w:p w14:paraId="6C105B0C" w14:textId="79156109" w:rsidR="005E3AEA" w:rsidRPr="009618E5" w:rsidRDefault="005E3AEA" w:rsidP="006A31C9">
      <w:pPr>
        <w:pStyle w:val="a7"/>
        <w:numPr>
          <w:ilvl w:val="0"/>
          <w:numId w:val="5"/>
        </w:numPr>
        <w:rPr>
          <w:szCs w:val="24"/>
        </w:rPr>
      </w:pPr>
      <w:r w:rsidRPr="009618E5">
        <w:rPr>
          <w:szCs w:val="24"/>
        </w:rPr>
        <w:t xml:space="preserve">Формирование комплексной взаимозависимости ведет к </w:t>
      </w:r>
      <w:r w:rsidR="00A877E9" w:rsidRPr="009618E5">
        <w:rPr>
          <w:szCs w:val="24"/>
        </w:rPr>
        <w:t>устранению</w:t>
      </w:r>
      <w:r w:rsidRPr="009618E5">
        <w:rPr>
          <w:szCs w:val="24"/>
        </w:rPr>
        <w:t xml:space="preserve"> необходимости использования военной силы в</w:t>
      </w:r>
      <w:r w:rsidR="00A877E9" w:rsidRPr="009618E5">
        <w:rPr>
          <w:szCs w:val="24"/>
        </w:rPr>
        <w:t xml:space="preserve"> тех</w:t>
      </w:r>
      <w:r w:rsidRPr="009618E5">
        <w:rPr>
          <w:szCs w:val="24"/>
        </w:rPr>
        <w:t xml:space="preserve"> </w:t>
      </w:r>
      <w:r w:rsidR="00A877E9" w:rsidRPr="009618E5">
        <w:rPr>
          <w:szCs w:val="24"/>
        </w:rPr>
        <w:t>межгосударственных отношениях, где такая взаимозависимость существует, поскольку возникают иные рычаги воздействия</w:t>
      </w:r>
      <w:r w:rsidR="005A560B" w:rsidRPr="009618E5">
        <w:rPr>
          <w:szCs w:val="24"/>
        </w:rPr>
        <w:t xml:space="preserve"> (</w:t>
      </w:r>
      <w:r w:rsidR="00A877E9" w:rsidRPr="009618E5">
        <w:rPr>
          <w:szCs w:val="24"/>
        </w:rPr>
        <w:t xml:space="preserve">в последствии </w:t>
      </w:r>
      <w:r w:rsidR="005A560B" w:rsidRPr="009618E5">
        <w:rPr>
          <w:szCs w:val="24"/>
        </w:rPr>
        <w:t xml:space="preserve">они </w:t>
      </w:r>
      <w:r w:rsidR="00A877E9" w:rsidRPr="009618E5">
        <w:rPr>
          <w:szCs w:val="24"/>
        </w:rPr>
        <w:t xml:space="preserve">получат </w:t>
      </w:r>
      <w:r w:rsidR="005A560B" w:rsidRPr="009618E5">
        <w:rPr>
          <w:szCs w:val="24"/>
        </w:rPr>
        <w:t>название</w:t>
      </w:r>
      <w:r w:rsidR="00A877E9" w:rsidRPr="009618E5">
        <w:rPr>
          <w:szCs w:val="24"/>
        </w:rPr>
        <w:t xml:space="preserve"> «мягкой силы»</w:t>
      </w:r>
      <w:r w:rsidR="005A560B" w:rsidRPr="009618E5">
        <w:rPr>
          <w:szCs w:val="24"/>
        </w:rPr>
        <w:t>)</w:t>
      </w:r>
      <w:r w:rsidR="00A877E9" w:rsidRPr="009618E5">
        <w:rPr>
          <w:szCs w:val="24"/>
        </w:rPr>
        <w:t xml:space="preserve">. </w:t>
      </w:r>
    </w:p>
    <w:p w14:paraId="000624D3" w14:textId="1C3863E5" w:rsidR="00A877E9" w:rsidRPr="009618E5" w:rsidRDefault="004864D7" w:rsidP="0043073D">
      <w:pPr>
        <w:ind w:firstLine="708"/>
        <w:rPr>
          <w:szCs w:val="24"/>
        </w:rPr>
      </w:pPr>
      <w:r w:rsidRPr="009618E5">
        <w:rPr>
          <w:szCs w:val="24"/>
        </w:rPr>
        <w:lastRenderedPageBreak/>
        <w:t>Несмотря на явное противостояние двух «идеальных типов» систем международных отношений, сами авторы соглашаются, что реальность находится меж этими двумя экстремумами, при которых существующая система имеет особенности обоих типов.</w:t>
      </w:r>
      <w:r w:rsidR="00DA4B66" w:rsidRPr="009618E5">
        <w:rPr>
          <w:szCs w:val="24"/>
        </w:rPr>
        <w:t xml:space="preserve"> Более всего комплексная взаимозависимость наблюдается среди экономически развитых стран</w:t>
      </w:r>
      <w:r w:rsidR="008745FB" w:rsidRPr="009618E5">
        <w:rPr>
          <w:szCs w:val="24"/>
        </w:rPr>
        <w:t xml:space="preserve"> Запада – иначе, государств</w:t>
      </w:r>
      <w:r w:rsidR="00DA4B66" w:rsidRPr="009618E5">
        <w:rPr>
          <w:szCs w:val="24"/>
        </w:rPr>
        <w:t xml:space="preserve"> либеральной демократии,</w:t>
      </w:r>
      <w:r w:rsidR="008745FB" w:rsidRPr="009618E5">
        <w:rPr>
          <w:szCs w:val="24"/>
        </w:rPr>
        <w:t xml:space="preserve"> которые имеют сложившиеся глубокие политические и экономические взаимосвязи.  </w:t>
      </w:r>
    </w:p>
    <w:p w14:paraId="5D7D29C1" w14:textId="4996125E" w:rsidR="008745FB" w:rsidRPr="009618E5" w:rsidRDefault="00A00C55" w:rsidP="0043073D">
      <w:pPr>
        <w:ind w:firstLine="708"/>
        <w:rPr>
          <w:szCs w:val="24"/>
        </w:rPr>
      </w:pPr>
      <w:r w:rsidRPr="009618E5">
        <w:rPr>
          <w:szCs w:val="24"/>
        </w:rPr>
        <w:t>Особое место в теории взаимозависимости уделяется деятельности транснациональных и международных организаций</w:t>
      </w:r>
      <w:r w:rsidR="00FE3197" w:rsidRPr="009618E5">
        <w:rPr>
          <w:szCs w:val="24"/>
        </w:rPr>
        <w:t xml:space="preserve">, </w:t>
      </w:r>
      <w:r w:rsidR="00AF5F27" w:rsidRPr="009618E5">
        <w:rPr>
          <w:szCs w:val="24"/>
        </w:rPr>
        <w:t xml:space="preserve">которая </w:t>
      </w:r>
      <w:r w:rsidR="00FE3197" w:rsidRPr="009618E5">
        <w:rPr>
          <w:szCs w:val="24"/>
        </w:rPr>
        <w:t>размывает границы между внутренней и внешней политикой, но не дает ответа на причинно-следственные связи в процессе принятия внешнеполитических решений: так, транснациональные корпорации могут выступать независимыми акторами, могут быть проводниками идей государства</w:t>
      </w:r>
      <w:r w:rsidR="0045218D" w:rsidRPr="009618E5">
        <w:rPr>
          <w:szCs w:val="24"/>
        </w:rPr>
        <w:t xml:space="preserve"> или наоборот – оказывать влияние на проводимую государством политику с тем, чтобы извлечь из этого выгоду. </w:t>
      </w:r>
    </w:p>
    <w:p w14:paraId="58AD330C" w14:textId="47AF7044" w:rsidR="0045218D" w:rsidRPr="009618E5" w:rsidRDefault="0045218D" w:rsidP="0043073D">
      <w:pPr>
        <w:ind w:firstLine="708"/>
        <w:rPr>
          <w:szCs w:val="24"/>
        </w:rPr>
      </w:pPr>
      <w:r w:rsidRPr="009618E5">
        <w:rPr>
          <w:szCs w:val="24"/>
        </w:rPr>
        <w:t xml:space="preserve">Деятельность международных организаций, оставаясь всецело нивелированной в реалистической парадигме, в </w:t>
      </w:r>
      <w:r w:rsidR="005A560B" w:rsidRPr="009618E5">
        <w:rPr>
          <w:szCs w:val="24"/>
        </w:rPr>
        <w:t xml:space="preserve">неолиберальной </w:t>
      </w:r>
      <w:r w:rsidRPr="009618E5">
        <w:rPr>
          <w:szCs w:val="24"/>
        </w:rPr>
        <w:t>лишь только набирает силу</w:t>
      </w:r>
      <w:r w:rsidR="00434279" w:rsidRPr="009618E5">
        <w:rPr>
          <w:szCs w:val="24"/>
        </w:rPr>
        <w:t xml:space="preserve">: в новых условиях международные организации получают мандат на определение международной повестки, помогают </w:t>
      </w:r>
      <w:r w:rsidR="005A560B" w:rsidRPr="009618E5">
        <w:rPr>
          <w:szCs w:val="24"/>
        </w:rPr>
        <w:t>устанавливать</w:t>
      </w:r>
      <w:r w:rsidR="00434279" w:rsidRPr="009618E5">
        <w:rPr>
          <w:szCs w:val="24"/>
        </w:rPr>
        <w:t xml:space="preserve"> государственные приоритеты, темы для взаимодействия рабочих групп и межправительственных комитетов. </w:t>
      </w:r>
    </w:p>
    <w:p w14:paraId="52A161FD" w14:textId="42E84366" w:rsidR="00434279" w:rsidRPr="009618E5" w:rsidRDefault="00434279" w:rsidP="0043073D">
      <w:pPr>
        <w:ind w:firstLine="708"/>
        <w:rPr>
          <w:szCs w:val="24"/>
        </w:rPr>
      </w:pPr>
      <w:r w:rsidRPr="009618E5">
        <w:rPr>
          <w:szCs w:val="24"/>
        </w:rPr>
        <w:t>Более того, они дают малым и слабым государствам возможность компенсировать свои недостатки за счет справедливой системы представительства и распределения голосов –</w:t>
      </w:r>
      <w:r w:rsidR="0043073D">
        <w:rPr>
          <w:szCs w:val="24"/>
        </w:rPr>
        <w:t xml:space="preserve"> </w:t>
      </w:r>
      <w:r w:rsidR="004F63CD" w:rsidRPr="009618E5">
        <w:rPr>
          <w:szCs w:val="24"/>
        </w:rPr>
        <w:t xml:space="preserve">принцип </w:t>
      </w:r>
      <w:r w:rsidR="004F63CD" w:rsidRPr="009618E5">
        <w:rPr>
          <w:szCs w:val="24"/>
          <w:lang w:val="en-US"/>
        </w:rPr>
        <w:t>one</w:t>
      </w:r>
      <w:r w:rsidR="004F63CD" w:rsidRPr="009618E5">
        <w:rPr>
          <w:szCs w:val="24"/>
        </w:rPr>
        <w:t>-</w:t>
      </w:r>
      <w:r w:rsidR="004F63CD" w:rsidRPr="009618E5">
        <w:rPr>
          <w:szCs w:val="24"/>
          <w:lang w:val="en-US"/>
        </w:rPr>
        <w:t>state</w:t>
      </w:r>
      <w:r w:rsidR="004F63CD" w:rsidRPr="009618E5">
        <w:rPr>
          <w:szCs w:val="24"/>
        </w:rPr>
        <w:t>-</w:t>
      </w:r>
      <w:r w:rsidR="004F63CD" w:rsidRPr="009618E5">
        <w:rPr>
          <w:szCs w:val="24"/>
          <w:lang w:val="en-US"/>
        </w:rPr>
        <w:t>one</w:t>
      </w:r>
      <w:r w:rsidR="004F63CD" w:rsidRPr="009618E5">
        <w:rPr>
          <w:szCs w:val="24"/>
        </w:rPr>
        <w:t>-</w:t>
      </w:r>
      <w:r w:rsidR="004F63CD" w:rsidRPr="009618E5">
        <w:rPr>
          <w:szCs w:val="24"/>
          <w:lang w:val="en-US"/>
        </w:rPr>
        <w:t>vote</w:t>
      </w:r>
      <w:r w:rsidR="004F63CD" w:rsidRPr="009618E5">
        <w:rPr>
          <w:szCs w:val="24"/>
        </w:rPr>
        <w:t xml:space="preserve"> лежит в основе деятельности ООН и позволяет подобным государствам создавать коалиции для принятия решений в свою пользу. </w:t>
      </w:r>
    </w:p>
    <w:p w14:paraId="5B2BB50E" w14:textId="5DDD002D" w:rsidR="000F6247" w:rsidRPr="009618E5" w:rsidRDefault="004F63CD" w:rsidP="004E3B65">
      <w:pPr>
        <w:ind w:firstLine="708"/>
        <w:rPr>
          <w:szCs w:val="24"/>
        </w:rPr>
      </w:pPr>
      <w:r w:rsidRPr="009618E5">
        <w:rPr>
          <w:szCs w:val="24"/>
        </w:rPr>
        <w:t xml:space="preserve">Тем не менее важно помнить, что неолиберализм в международных отношениях и в экономике понятия разные, хоть и используют сходные методы. </w:t>
      </w:r>
      <w:r w:rsidR="000F6247" w:rsidRPr="009618E5">
        <w:rPr>
          <w:szCs w:val="24"/>
        </w:rPr>
        <w:t>С точки зрения экономической составляющей неолиберальной парадигмы, её представители продвигали следующие тезисы:</w:t>
      </w:r>
    </w:p>
    <w:p w14:paraId="2D2E7FF8" w14:textId="634E85C8" w:rsidR="000F6247" w:rsidRPr="009618E5" w:rsidRDefault="000F6247" w:rsidP="000F6247">
      <w:pPr>
        <w:pStyle w:val="a7"/>
        <w:numPr>
          <w:ilvl w:val="0"/>
          <w:numId w:val="2"/>
        </w:numPr>
        <w:rPr>
          <w:szCs w:val="24"/>
        </w:rPr>
      </w:pPr>
      <w:r w:rsidRPr="009618E5">
        <w:rPr>
          <w:szCs w:val="24"/>
        </w:rPr>
        <w:t>Товары и денежные потоки не должны сдерживаться государственными границами</w:t>
      </w:r>
      <w:r w:rsidR="00BE0907" w:rsidRPr="009618E5">
        <w:rPr>
          <w:szCs w:val="24"/>
        </w:rPr>
        <w:t>, а сами государства должны стремиться к функционированию на глобальном рынке.</w:t>
      </w:r>
    </w:p>
    <w:p w14:paraId="3308AD0A" w14:textId="574953E6" w:rsidR="000F6247" w:rsidRPr="009618E5" w:rsidRDefault="00BE0907" w:rsidP="000F6247">
      <w:pPr>
        <w:pStyle w:val="a7"/>
        <w:numPr>
          <w:ilvl w:val="0"/>
          <w:numId w:val="2"/>
        </w:numPr>
        <w:rPr>
          <w:szCs w:val="24"/>
        </w:rPr>
      </w:pPr>
      <w:r w:rsidRPr="009618E5">
        <w:rPr>
          <w:szCs w:val="24"/>
        </w:rPr>
        <w:t>Эффективность использования ресурсов будет достигаться только при условии специализации государств на тех товарах, при производстве которых будет минимизированы издержки.</w:t>
      </w:r>
    </w:p>
    <w:p w14:paraId="3324764C" w14:textId="025C9FD5" w:rsidR="00BE0907" w:rsidRPr="009618E5" w:rsidRDefault="00BE0907" w:rsidP="000F6247">
      <w:pPr>
        <w:pStyle w:val="a7"/>
        <w:numPr>
          <w:ilvl w:val="0"/>
          <w:numId w:val="2"/>
        </w:numPr>
        <w:rPr>
          <w:szCs w:val="24"/>
        </w:rPr>
      </w:pPr>
      <w:r w:rsidRPr="009618E5">
        <w:rPr>
          <w:szCs w:val="24"/>
        </w:rPr>
        <w:lastRenderedPageBreak/>
        <w:t>Протекционизм как мера по защите отечественного рынка ведет к сохранению неэффективных производств</w:t>
      </w:r>
      <w:r w:rsidR="00BB7BD6" w:rsidRPr="009618E5">
        <w:rPr>
          <w:szCs w:val="24"/>
        </w:rPr>
        <w:t>.</w:t>
      </w:r>
    </w:p>
    <w:p w14:paraId="366C6DEB" w14:textId="545ED16E" w:rsidR="004F63CD" w:rsidRPr="009618E5" w:rsidRDefault="00825DC1" w:rsidP="0043073D">
      <w:pPr>
        <w:ind w:firstLine="708"/>
        <w:rPr>
          <w:szCs w:val="24"/>
        </w:rPr>
      </w:pPr>
      <w:r w:rsidRPr="009618E5">
        <w:rPr>
          <w:szCs w:val="24"/>
        </w:rPr>
        <w:t>Переход к глобальной неолиберальной экономической модели стал результатом невозможности США справиться с нефтяным кризисом 1973-1975 гг. с помощью кейнсианского макроэкономического регулирования. Тем не менее «киты» данного экономического порядка были заложены намного раньше: создание Всемирного банка (ВБ) и Международного валютного фонда (МВФ) 27 декабря 1945 года – «бульдогов неолиберальной идеологии»</w:t>
      </w:r>
      <w:r w:rsidR="001B44FE">
        <w:rPr>
          <w:rStyle w:val="af5"/>
          <w:szCs w:val="24"/>
        </w:rPr>
        <w:footnoteReference w:id="14"/>
      </w:r>
      <w:r w:rsidRPr="009618E5">
        <w:rPr>
          <w:szCs w:val="24"/>
        </w:rPr>
        <w:t>, а также заключение Генерального соглашение по тарифам и торговле (ГАТТ) в 1947 году, которое стало прообразом Всемирной торговой организации (ВТО) созданной в 1995 году –</w:t>
      </w:r>
      <w:r w:rsidR="005A560B" w:rsidRPr="009618E5">
        <w:rPr>
          <w:szCs w:val="24"/>
        </w:rPr>
        <w:t xml:space="preserve"> </w:t>
      </w:r>
      <w:r w:rsidRPr="009618E5">
        <w:rPr>
          <w:szCs w:val="24"/>
        </w:rPr>
        <w:t>эти организации стали агентами по распространению неолиберального мирового порядка, чья квинтэссенция была отражена в 1989 году в 10 рекомендациях Джона Уильямсона по реформированию экономик для стран Латинской Америки, Азии, Восточной Европы и СНГ, получившие название «Вашингтонский консенсус»</w:t>
      </w:r>
      <w:r w:rsidR="001B44FE">
        <w:rPr>
          <w:rStyle w:val="af5"/>
          <w:szCs w:val="24"/>
        </w:rPr>
        <w:footnoteReference w:id="15"/>
      </w:r>
      <w:r w:rsidRPr="009618E5">
        <w:rPr>
          <w:szCs w:val="24"/>
        </w:rPr>
        <w:t xml:space="preserve">. </w:t>
      </w:r>
    </w:p>
    <w:p w14:paraId="1303FC2A" w14:textId="0EBEE1E4" w:rsidR="00A601C6" w:rsidRPr="009618E5" w:rsidRDefault="001870B7" w:rsidP="00E01259">
      <w:pPr>
        <w:rPr>
          <w:szCs w:val="24"/>
        </w:rPr>
      </w:pPr>
      <w:r w:rsidRPr="009618E5">
        <w:rPr>
          <w:szCs w:val="24"/>
        </w:rPr>
        <w:tab/>
      </w:r>
      <w:r w:rsidR="00E01259" w:rsidRPr="009618E5">
        <w:rPr>
          <w:szCs w:val="24"/>
        </w:rPr>
        <w:t>После нефтяного кризиса середины 1970-х годов и спустя почти 50 лет доминирования неолиберальной экономической модели мы сегодня наблюдаем кардинальную трансформацию экономического дискурса: приход к власти в США республиканца Д. Трампа в 2016 году, развязанная им торговая война с Китаем, выдвижение тезисов о необходимости реформы ВТО и в целом переход к политике экономического изоляционизма и меркантилизма, также выход Великобритании из ЕС, который некогда был одним из флагманов теории комплексной взаимозависимости, а сегодня переживает период турбулентности</w:t>
      </w:r>
      <w:r w:rsidR="00A236FE" w:rsidRPr="009618E5">
        <w:rPr>
          <w:szCs w:val="24"/>
        </w:rPr>
        <w:t>, - все это наводит на мысль об исчерпании модели неолиберальной мировой экономики, однако не утверждает факт исчерпания неолиберальной парадигмы международных отношений, поскольку, как мы увидим далее, ТНК и международные организации</w:t>
      </w:r>
      <w:r w:rsidR="00AF5F27" w:rsidRPr="009618E5">
        <w:rPr>
          <w:szCs w:val="24"/>
        </w:rPr>
        <w:t xml:space="preserve">, </w:t>
      </w:r>
      <w:r w:rsidR="00A236FE" w:rsidRPr="009618E5">
        <w:rPr>
          <w:szCs w:val="24"/>
        </w:rPr>
        <w:t>безусловно</w:t>
      </w:r>
      <w:r w:rsidR="00AF5F27" w:rsidRPr="009618E5">
        <w:rPr>
          <w:szCs w:val="24"/>
        </w:rPr>
        <w:t>,</w:t>
      </w:r>
      <w:r w:rsidR="00A236FE" w:rsidRPr="009618E5">
        <w:rPr>
          <w:szCs w:val="24"/>
        </w:rPr>
        <w:t xml:space="preserve"> являются одними из ключевых акторов в современной системе международных отношений. </w:t>
      </w:r>
    </w:p>
    <w:p w14:paraId="27908342" w14:textId="044F373B" w:rsidR="00B536FF" w:rsidRPr="00C626D3" w:rsidRDefault="0027374D" w:rsidP="00C626D3">
      <w:pPr>
        <w:pStyle w:val="2"/>
        <w:numPr>
          <w:ilvl w:val="1"/>
          <w:numId w:val="34"/>
        </w:numPr>
      </w:pPr>
      <w:bookmarkStart w:id="10" w:name="_Toc41500780"/>
      <w:bookmarkStart w:id="11" w:name="_Toc41513174"/>
      <w:r>
        <w:lastRenderedPageBreak/>
        <w:t>Этапы становления нефтегазовой отрасли и формирования глобальных рынков энергоносителей</w:t>
      </w:r>
      <w:bookmarkEnd w:id="10"/>
      <w:bookmarkEnd w:id="11"/>
    </w:p>
    <w:p w14:paraId="6BD5AF43" w14:textId="11950098" w:rsidR="00F64739" w:rsidRPr="00C626D3" w:rsidRDefault="00C626D3" w:rsidP="003F15F3">
      <w:pPr>
        <w:pStyle w:val="3"/>
        <w:numPr>
          <w:ilvl w:val="2"/>
          <w:numId w:val="34"/>
        </w:numPr>
      </w:pPr>
      <w:bookmarkStart w:id="12" w:name="_Toc41500781"/>
      <w:bookmarkStart w:id="13" w:name="_Toc41513175"/>
      <w:r w:rsidRPr="00C626D3">
        <w:t>Исторический аспект становления глобального рынка нефти и газа</w:t>
      </w:r>
      <w:bookmarkEnd w:id="12"/>
      <w:bookmarkEnd w:id="13"/>
    </w:p>
    <w:p w14:paraId="2DE6A233" w14:textId="77777777" w:rsidR="00E6406A" w:rsidRPr="009618E5" w:rsidRDefault="00CA2E9F" w:rsidP="00CA2E9F">
      <w:pPr>
        <w:ind w:firstLine="708"/>
        <w:rPr>
          <w:szCs w:val="24"/>
        </w:rPr>
      </w:pPr>
      <w:r w:rsidRPr="009618E5">
        <w:rPr>
          <w:szCs w:val="24"/>
        </w:rPr>
        <w:t xml:space="preserve">Несмотря на то, что на сегодняшний день совокупная доля нефти и газа в структуре мирового топливно-энергетического баланса превышает 50%, активная добыча и использование данных видов ресурсов в промышленном масштабе </w:t>
      </w:r>
      <w:r w:rsidR="00E6406A" w:rsidRPr="009618E5">
        <w:rPr>
          <w:szCs w:val="24"/>
        </w:rPr>
        <w:t xml:space="preserve">началась с исторической точки зрения относительно недавно, а саму отрасль можно назвать сравнительно молодой. Тем не менее с учетом того колоссального пути, который был пройден за относительно короткий промежуток времени, становление данных рынков (далее рынок нефти и газа будет рассматриваться по отдельности) целесообразно рассмотреть в двух плоскостях: </w:t>
      </w:r>
    </w:p>
    <w:p w14:paraId="3F1735CC" w14:textId="78AEB8BA" w:rsidR="00E6406A" w:rsidRPr="009618E5" w:rsidRDefault="00E6406A" w:rsidP="00E6406A">
      <w:pPr>
        <w:pStyle w:val="a7"/>
        <w:numPr>
          <w:ilvl w:val="0"/>
          <w:numId w:val="6"/>
        </w:numPr>
        <w:rPr>
          <w:szCs w:val="24"/>
        </w:rPr>
      </w:pPr>
      <w:r w:rsidRPr="009618E5">
        <w:rPr>
          <w:szCs w:val="24"/>
        </w:rPr>
        <w:t>Энергетический аспект - определение роли, которая отводилась ресурсу в мировой экономике, а также её трансформация на всем временном интервале;</w:t>
      </w:r>
    </w:p>
    <w:p w14:paraId="57F65D48" w14:textId="58887386" w:rsidR="00F64739" w:rsidRPr="009618E5" w:rsidRDefault="00E6406A" w:rsidP="00E6406A">
      <w:pPr>
        <w:pStyle w:val="a7"/>
        <w:numPr>
          <w:ilvl w:val="0"/>
          <w:numId w:val="6"/>
        </w:numPr>
        <w:rPr>
          <w:szCs w:val="24"/>
        </w:rPr>
      </w:pPr>
      <w:r w:rsidRPr="009618E5">
        <w:rPr>
          <w:szCs w:val="24"/>
        </w:rPr>
        <w:t>Институциональный – позиции ключевых игроков, ценообразование.</w:t>
      </w:r>
    </w:p>
    <w:p w14:paraId="277331E1" w14:textId="424D7668" w:rsidR="000B3005" w:rsidRPr="0027374D" w:rsidRDefault="0000715A" w:rsidP="0027374D">
      <w:pPr>
        <w:ind w:firstLine="708"/>
        <w:rPr>
          <w:b/>
          <w:szCs w:val="24"/>
        </w:rPr>
      </w:pPr>
      <w:r w:rsidRPr="0027374D">
        <w:rPr>
          <w:b/>
          <w:i/>
          <w:iCs/>
          <w:szCs w:val="24"/>
        </w:rPr>
        <w:t>Эволюция рынка нефти</w:t>
      </w:r>
      <w:r w:rsidR="0027374D" w:rsidRPr="0027374D">
        <w:rPr>
          <w:b/>
          <w:i/>
          <w:iCs/>
          <w:szCs w:val="24"/>
        </w:rPr>
        <w:t>.</w:t>
      </w:r>
      <w:r w:rsidR="0027374D">
        <w:rPr>
          <w:b/>
          <w:szCs w:val="24"/>
        </w:rPr>
        <w:t xml:space="preserve"> </w:t>
      </w:r>
      <w:r w:rsidR="00635C69" w:rsidRPr="009618E5">
        <w:rPr>
          <w:szCs w:val="24"/>
        </w:rPr>
        <w:t xml:space="preserve">Несмотря на то, что </w:t>
      </w:r>
      <w:r w:rsidR="00AE56ED" w:rsidRPr="009618E5">
        <w:rPr>
          <w:szCs w:val="24"/>
        </w:rPr>
        <w:t xml:space="preserve">первые </w:t>
      </w:r>
      <w:r w:rsidR="00635C69" w:rsidRPr="009618E5">
        <w:rPr>
          <w:szCs w:val="24"/>
        </w:rPr>
        <w:t xml:space="preserve">упоминания о «черном золоте» датируются несколькими веками до н.э., фактически основание отрасли началось во второй половине </w:t>
      </w:r>
      <w:r w:rsidR="00635C69" w:rsidRPr="009618E5">
        <w:rPr>
          <w:szCs w:val="24"/>
          <w:lang w:val="en-US"/>
        </w:rPr>
        <w:t>XIX</w:t>
      </w:r>
      <w:r w:rsidR="00635C69" w:rsidRPr="009618E5">
        <w:rPr>
          <w:szCs w:val="24"/>
        </w:rPr>
        <w:t xml:space="preserve"> века, когда были освоены механические способы бурения. На </w:t>
      </w:r>
      <w:r w:rsidR="00635C69" w:rsidRPr="009618E5">
        <w:rPr>
          <w:i/>
          <w:szCs w:val="24"/>
        </w:rPr>
        <w:t>первом энергетическом этапе (1860 – 1915гг.)</w:t>
      </w:r>
      <w:r w:rsidR="00635C69" w:rsidRPr="009618E5">
        <w:rPr>
          <w:szCs w:val="24"/>
        </w:rPr>
        <w:t xml:space="preserve"> нефть не являлась значимым ресурсом для энергообеспечения, а её доля </w:t>
      </w:r>
      <w:r w:rsidR="00395BAF" w:rsidRPr="009618E5">
        <w:rPr>
          <w:szCs w:val="24"/>
        </w:rPr>
        <w:t xml:space="preserve">составляла около 7 % мирового спроса. Бум нефтедобычи в этот период пришелся на США, где на фоне лихорадки и избыточного предложения нефть продавалась по бросовым ценам, чем воспользовался Джон Рокфеллер – основатель </w:t>
      </w:r>
      <w:r w:rsidR="00395BAF" w:rsidRPr="009618E5">
        <w:rPr>
          <w:szCs w:val="24"/>
          <w:lang w:val="en-US"/>
        </w:rPr>
        <w:t>Standard</w:t>
      </w:r>
      <w:r w:rsidR="00395BAF" w:rsidRPr="009618E5">
        <w:rPr>
          <w:szCs w:val="24"/>
        </w:rPr>
        <w:t xml:space="preserve"> </w:t>
      </w:r>
      <w:r w:rsidR="00395BAF" w:rsidRPr="009618E5">
        <w:rPr>
          <w:szCs w:val="24"/>
          <w:lang w:val="en-US"/>
        </w:rPr>
        <w:t>Oil</w:t>
      </w:r>
      <w:r w:rsidR="00395BAF" w:rsidRPr="009618E5">
        <w:rPr>
          <w:szCs w:val="24"/>
        </w:rPr>
        <w:t xml:space="preserve"> </w:t>
      </w:r>
      <w:r w:rsidR="00395BAF" w:rsidRPr="009618E5">
        <w:rPr>
          <w:szCs w:val="24"/>
          <w:lang w:val="en-US"/>
        </w:rPr>
        <w:t>Company</w:t>
      </w:r>
      <w:r w:rsidR="00395BAF" w:rsidRPr="009618E5">
        <w:rPr>
          <w:szCs w:val="24"/>
        </w:rPr>
        <w:t xml:space="preserve"> (1870 г.), который скупил большинство нефтеперегонных комплексов, а после и добывающих, таким образом фактически монополизировав всю американскую нефтяную промышленность. Однако уже в 1914 году антимонопольные регуляторы вынесли решение о разделении компании на 7 частей. На </w:t>
      </w:r>
      <w:r w:rsidR="00395BAF" w:rsidRPr="009618E5">
        <w:rPr>
          <w:i/>
          <w:szCs w:val="24"/>
        </w:rPr>
        <w:t>второй энергетический этап (1915-1973 гг.)</w:t>
      </w:r>
      <w:r w:rsidR="00395BAF" w:rsidRPr="009618E5">
        <w:rPr>
          <w:szCs w:val="24"/>
        </w:rPr>
        <w:t xml:space="preserve"> приходится стремительный рост использования нефти в качестве основного вида топлива (точнее его производных – бензина и мазута), а доля нефти в структуре энергопотребления к концу периода достигает 42%. Этому периоду характерно доминирование на рынке картеля «Сем</w:t>
      </w:r>
      <w:r w:rsidR="00FA580E">
        <w:rPr>
          <w:szCs w:val="24"/>
        </w:rPr>
        <w:t>ь</w:t>
      </w:r>
      <w:r w:rsidR="00395BAF" w:rsidRPr="009618E5">
        <w:rPr>
          <w:szCs w:val="24"/>
        </w:rPr>
        <w:t xml:space="preserve"> сестер»</w:t>
      </w:r>
      <w:r w:rsidR="00C96AB8" w:rsidRPr="009618E5">
        <w:rPr>
          <w:szCs w:val="24"/>
        </w:rPr>
        <w:t>, в который входили следующие ТНК:</w:t>
      </w:r>
      <w:r w:rsidR="00395BAF" w:rsidRPr="009618E5">
        <w:rPr>
          <w:szCs w:val="24"/>
        </w:rPr>
        <w:t xml:space="preserve"> </w:t>
      </w:r>
      <w:r w:rsidR="00C96AB8" w:rsidRPr="009618E5">
        <w:rPr>
          <w:szCs w:val="24"/>
        </w:rPr>
        <w:t xml:space="preserve">British Petroleum, </w:t>
      </w:r>
      <w:proofErr w:type="spellStart"/>
      <w:r w:rsidR="00C96AB8" w:rsidRPr="009618E5">
        <w:rPr>
          <w:szCs w:val="24"/>
        </w:rPr>
        <w:t>Exxon</w:t>
      </w:r>
      <w:proofErr w:type="spellEnd"/>
      <w:r w:rsidR="00C96AB8" w:rsidRPr="009618E5">
        <w:rPr>
          <w:szCs w:val="24"/>
        </w:rPr>
        <w:t xml:space="preserve">, </w:t>
      </w:r>
      <w:proofErr w:type="spellStart"/>
      <w:r w:rsidR="00C96AB8" w:rsidRPr="009618E5">
        <w:rPr>
          <w:szCs w:val="24"/>
        </w:rPr>
        <w:t>Gulf</w:t>
      </w:r>
      <w:proofErr w:type="spellEnd"/>
      <w:r w:rsidR="00C96AB8" w:rsidRPr="009618E5">
        <w:rPr>
          <w:szCs w:val="24"/>
        </w:rPr>
        <w:t xml:space="preserve"> </w:t>
      </w:r>
      <w:proofErr w:type="spellStart"/>
      <w:r w:rsidR="00C96AB8" w:rsidRPr="009618E5">
        <w:rPr>
          <w:szCs w:val="24"/>
        </w:rPr>
        <w:t>Oil</w:t>
      </w:r>
      <w:proofErr w:type="spellEnd"/>
      <w:r w:rsidR="00C96AB8" w:rsidRPr="009618E5">
        <w:rPr>
          <w:szCs w:val="24"/>
        </w:rPr>
        <w:t xml:space="preserve">, </w:t>
      </w:r>
      <w:proofErr w:type="spellStart"/>
      <w:r w:rsidR="00C96AB8" w:rsidRPr="009618E5">
        <w:rPr>
          <w:szCs w:val="24"/>
        </w:rPr>
        <w:t>Mobil</w:t>
      </w:r>
      <w:proofErr w:type="spellEnd"/>
      <w:r w:rsidR="00C96AB8" w:rsidRPr="009618E5">
        <w:rPr>
          <w:szCs w:val="24"/>
        </w:rPr>
        <w:t xml:space="preserve">, </w:t>
      </w:r>
      <w:proofErr w:type="spellStart"/>
      <w:r w:rsidR="00C96AB8" w:rsidRPr="009618E5">
        <w:rPr>
          <w:szCs w:val="24"/>
        </w:rPr>
        <w:t>Royal</w:t>
      </w:r>
      <w:proofErr w:type="spellEnd"/>
      <w:r w:rsidR="00C96AB8" w:rsidRPr="009618E5">
        <w:rPr>
          <w:szCs w:val="24"/>
        </w:rPr>
        <w:t xml:space="preserve"> </w:t>
      </w:r>
      <w:proofErr w:type="spellStart"/>
      <w:r w:rsidR="00C96AB8" w:rsidRPr="009618E5">
        <w:rPr>
          <w:szCs w:val="24"/>
        </w:rPr>
        <w:t>Dutch</w:t>
      </w:r>
      <w:proofErr w:type="spellEnd"/>
      <w:r w:rsidR="00C96AB8" w:rsidRPr="009618E5">
        <w:rPr>
          <w:szCs w:val="24"/>
        </w:rPr>
        <w:t xml:space="preserve"> </w:t>
      </w:r>
      <w:proofErr w:type="spellStart"/>
      <w:r w:rsidR="00C96AB8" w:rsidRPr="009618E5">
        <w:rPr>
          <w:szCs w:val="24"/>
        </w:rPr>
        <w:t>Shell</w:t>
      </w:r>
      <w:proofErr w:type="spellEnd"/>
      <w:r w:rsidR="00C96AB8" w:rsidRPr="009618E5">
        <w:rPr>
          <w:szCs w:val="24"/>
        </w:rPr>
        <w:t xml:space="preserve">, </w:t>
      </w:r>
      <w:proofErr w:type="spellStart"/>
      <w:r w:rsidR="00C96AB8" w:rsidRPr="009618E5">
        <w:rPr>
          <w:szCs w:val="24"/>
        </w:rPr>
        <w:t>Chevron</w:t>
      </w:r>
      <w:proofErr w:type="spellEnd"/>
      <w:r w:rsidR="00C96AB8" w:rsidRPr="009618E5">
        <w:rPr>
          <w:szCs w:val="24"/>
        </w:rPr>
        <w:t xml:space="preserve"> и </w:t>
      </w:r>
      <w:proofErr w:type="spellStart"/>
      <w:r w:rsidR="00C96AB8" w:rsidRPr="009618E5">
        <w:rPr>
          <w:szCs w:val="24"/>
        </w:rPr>
        <w:t>Texaco</w:t>
      </w:r>
      <w:proofErr w:type="spellEnd"/>
      <w:r w:rsidR="00C96AB8" w:rsidRPr="009618E5">
        <w:rPr>
          <w:szCs w:val="24"/>
        </w:rPr>
        <w:t xml:space="preserve"> – под их контролем находилось 85% мировых запасов нефти. Вызревавшая консолидация нефтедобывающих государств, которые не получали справедливую плату за экспорт своих ресурсов, привело к созданию в 1960 году организации ОПЕК.</w:t>
      </w:r>
      <w:r w:rsidR="00E3382C" w:rsidRPr="009618E5">
        <w:rPr>
          <w:szCs w:val="24"/>
        </w:rPr>
        <w:t xml:space="preserve"> Важно отметить, что на первых двух этапах цена формировалась по принципу «издержки плюс», а структура рынка </w:t>
      </w:r>
      <w:r w:rsidR="00E3382C" w:rsidRPr="009618E5">
        <w:rPr>
          <w:szCs w:val="24"/>
        </w:rPr>
        <w:lastRenderedPageBreak/>
        <w:t xml:space="preserve">прошла путь от монополии </w:t>
      </w:r>
      <w:r w:rsidR="00E3382C" w:rsidRPr="009618E5">
        <w:rPr>
          <w:szCs w:val="24"/>
          <w:lang w:val="en-US"/>
        </w:rPr>
        <w:t>Standard</w:t>
      </w:r>
      <w:r w:rsidR="00E3382C" w:rsidRPr="009618E5">
        <w:rPr>
          <w:szCs w:val="24"/>
        </w:rPr>
        <w:t xml:space="preserve"> </w:t>
      </w:r>
      <w:r w:rsidR="00E3382C" w:rsidRPr="009618E5">
        <w:rPr>
          <w:szCs w:val="24"/>
          <w:lang w:val="en-US"/>
        </w:rPr>
        <w:t>Oil</w:t>
      </w:r>
      <w:r w:rsidR="00E3382C" w:rsidRPr="009618E5">
        <w:rPr>
          <w:szCs w:val="24"/>
        </w:rPr>
        <w:t xml:space="preserve"> до фактической олигополии между несколькими ТНК. </w:t>
      </w:r>
      <w:r w:rsidR="002D4844" w:rsidRPr="009618E5">
        <w:rPr>
          <w:i/>
          <w:szCs w:val="24"/>
        </w:rPr>
        <w:t>Третий энергетический этап (1973 – 2010 гг.)</w:t>
      </w:r>
      <w:r w:rsidR="002D4844" w:rsidRPr="009618E5">
        <w:rPr>
          <w:szCs w:val="24"/>
        </w:rPr>
        <w:t xml:space="preserve"> характеризуется постепенным снижением доли нефти в структуре энергопотребления – с 42% в 1973 до 31% в 2010 год</w:t>
      </w:r>
      <w:r w:rsidR="004B2C6D" w:rsidRPr="009618E5">
        <w:rPr>
          <w:szCs w:val="24"/>
        </w:rPr>
        <w:t xml:space="preserve">у, при этом данный этап, вероятно, можно назвать наиболее насыщенным и прогрессивным в истории </w:t>
      </w:r>
      <w:r w:rsidR="000B3005" w:rsidRPr="009618E5">
        <w:rPr>
          <w:szCs w:val="24"/>
        </w:rPr>
        <w:t xml:space="preserve">институционального становления </w:t>
      </w:r>
      <w:r w:rsidR="004B2C6D" w:rsidRPr="009618E5">
        <w:rPr>
          <w:szCs w:val="24"/>
        </w:rPr>
        <w:t>рынка нефти</w:t>
      </w:r>
      <w:r w:rsidR="000B3005" w:rsidRPr="009618E5">
        <w:rPr>
          <w:szCs w:val="24"/>
        </w:rPr>
        <w:t>: п</w:t>
      </w:r>
      <w:r w:rsidR="004B2C6D" w:rsidRPr="009618E5">
        <w:rPr>
          <w:szCs w:val="24"/>
        </w:rPr>
        <w:t>ереход доминирования над рынком от «Семи сестер» к ОПЕК вплоть до 1986 года (когда появился первый фьючерс на нефть), нефтяной кризис 1973 года и введение в оборот понятия «энергетическая безопасность», создание под эгидой ОЭСР Международного энергетического агентства</w:t>
      </w:r>
      <w:r w:rsidRPr="009618E5">
        <w:rPr>
          <w:szCs w:val="24"/>
        </w:rPr>
        <w:t xml:space="preserve"> в 1975 году</w:t>
      </w:r>
      <w:r w:rsidR="004B2C6D" w:rsidRPr="009618E5">
        <w:rPr>
          <w:szCs w:val="24"/>
        </w:rPr>
        <w:t xml:space="preserve">, стремительное </w:t>
      </w:r>
      <w:r w:rsidRPr="009618E5">
        <w:rPr>
          <w:szCs w:val="24"/>
        </w:rPr>
        <w:t xml:space="preserve">развитие финансовых инструментов и </w:t>
      </w:r>
      <w:r w:rsidR="004B2C6D" w:rsidRPr="009618E5">
        <w:rPr>
          <w:szCs w:val="24"/>
        </w:rPr>
        <w:t>бирже, которое привело к появлению спекулятивного элемента в нефтяном ценообразовании, а число контрактов стало многократно превышать реальный объем нефти на рынке</w:t>
      </w:r>
      <w:r w:rsidR="000B3005" w:rsidRPr="009618E5">
        <w:rPr>
          <w:szCs w:val="24"/>
        </w:rPr>
        <w:t xml:space="preserve">, - все эти события стали значительной вехой в истории </w:t>
      </w:r>
      <w:r w:rsidRPr="009618E5">
        <w:rPr>
          <w:szCs w:val="24"/>
        </w:rPr>
        <w:t>становления нефтяного рынка</w:t>
      </w:r>
      <w:r w:rsidR="000B3005" w:rsidRPr="009618E5">
        <w:rPr>
          <w:szCs w:val="24"/>
        </w:rPr>
        <w:t xml:space="preserve">. </w:t>
      </w:r>
      <w:r w:rsidR="000B3005" w:rsidRPr="009618E5">
        <w:rPr>
          <w:i/>
          <w:szCs w:val="24"/>
        </w:rPr>
        <w:t>Четвертый энергетический этап (с 2010 г.)</w:t>
      </w:r>
      <w:r w:rsidR="000B3005" w:rsidRPr="009618E5">
        <w:rPr>
          <w:szCs w:val="24"/>
        </w:rPr>
        <w:t xml:space="preserve"> характеризуется дальнейшим снижением доли нефти в структуре энергопотребления, однако на данном этапе причиной является с одной стороны - конкуренция со стороны альтернативных и более экологически чистых источников энергии на фоне дискурса об изменении климата, а с другой – постепенное замедление мировой экономики и прохождение большинством стран пика насыщения нефтью. Отличительным для 3-го и 4-го этапа является появление новых игроков на рынке нефтедобычи и трансформация формы организации рынка от олигополии к монополистической конкуренции</w:t>
      </w:r>
      <w:r w:rsidRPr="009618E5">
        <w:rPr>
          <w:szCs w:val="24"/>
        </w:rPr>
        <w:t>, а ценообразование на фоне турбулентности в международных отношениях определяется скорее политическими и геополитические факторами, нежели через законы спроса и предложения, что впрочем, было характерно и для предыдущего энергетического этапа</w:t>
      </w:r>
      <w:r w:rsidR="000B3318" w:rsidRPr="009618E5">
        <w:rPr>
          <w:szCs w:val="24"/>
        </w:rPr>
        <w:t>, особенно второй его половины после 1986 года</w:t>
      </w:r>
      <w:r w:rsidR="0027374D">
        <w:rPr>
          <w:rStyle w:val="af5"/>
          <w:szCs w:val="24"/>
        </w:rPr>
        <w:footnoteReference w:id="16"/>
      </w:r>
      <w:r w:rsidRPr="009618E5">
        <w:rPr>
          <w:szCs w:val="24"/>
        </w:rPr>
        <w:t>.</w:t>
      </w:r>
    </w:p>
    <w:p w14:paraId="64092B4E" w14:textId="30C96437" w:rsidR="00C53625" w:rsidRDefault="0000715A" w:rsidP="00C53625">
      <w:pPr>
        <w:ind w:firstLine="708"/>
        <w:rPr>
          <w:szCs w:val="24"/>
        </w:rPr>
      </w:pPr>
      <w:r w:rsidRPr="0027374D">
        <w:rPr>
          <w:b/>
          <w:i/>
          <w:iCs/>
          <w:szCs w:val="24"/>
        </w:rPr>
        <w:t>Эволюция рынка газа</w:t>
      </w:r>
      <w:r w:rsidR="0027374D" w:rsidRPr="0027374D">
        <w:rPr>
          <w:b/>
          <w:i/>
          <w:iCs/>
          <w:szCs w:val="24"/>
        </w:rPr>
        <w:t>.</w:t>
      </w:r>
      <w:r w:rsidR="0027374D">
        <w:rPr>
          <w:b/>
          <w:szCs w:val="24"/>
        </w:rPr>
        <w:t xml:space="preserve"> </w:t>
      </w:r>
      <w:r w:rsidR="00250D24" w:rsidRPr="009618E5">
        <w:rPr>
          <w:szCs w:val="24"/>
        </w:rPr>
        <w:t>В силу специфических особенностей добычи природного газа, а также способов его доставки до потребителей, данный рынок имеет гораздо больше рисков и трансакционных издерже</w:t>
      </w:r>
      <w:r w:rsidR="00D519B2" w:rsidRPr="009618E5">
        <w:rPr>
          <w:szCs w:val="24"/>
        </w:rPr>
        <w:t>к. В связи с этим, его</w:t>
      </w:r>
      <w:r w:rsidR="00250D24" w:rsidRPr="009618E5">
        <w:rPr>
          <w:szCs w:val="24"/>
        </w:rPr>
        <w:t xml:space="preserve"> становление и развитие целесообразно рассматривать с</w:t>
      </w:r>
      <w:r w:rsidR="00D519B2" w:rsidRPr="009618E5">
        <w:rPr>
          <w:szCs w:val="24"/>
        </w:rPr>
        <w:t xml:space="preserve"> точки зрения</w:t>
      </w:r>
      <w:r w:rsidR="00250D24" w:rsidRPr="009618E5">
        <w:rPr>
          <w:szCs w:val="24"/>
        </w:rPr>
        <w:t xml:space="preserve"> </w:t>
      </w:r>
      <w:r w:rsidR="00D519B2" w:rsidRPr="009618E5">
        <w:rPr>
          <w:szCs w:val="24"/>
        </w:rPr>
        <w:t xml:space="preserve">пространственного подхода. Аналогично рынку нефти освоение газовых месторождений началось в конце </w:t>
      </w:r>
      <w:r w:rsidR="00D519B2" w:rsidRPr="009618E5">
        <w:rPr>
          <w:szCs w:val="24"/>
          <w:lang w:val="en-US"/>
        </w:rPr>
        <w:t>XIX</w:t>
      </w:r>
      <w:r w:rsidR="00D519B2" w:rsidRPr="009618E5">
        <w:rPr>
          <w:szCs w:val="24"/>
        </w:rPr>
        <w:t xml:space="preserve"> века. Цепочка производитель-потребитель действовала на </w:t>
      </w:r>
      <w:r w:rsidR="00D519B2" w:rsidRPr="009618E5">
        <w:rPr>
          <w:i/>
          <w:szCs w:val="24"/>
        </w:rPr>
        <w:t>локальном уровне</w:t>
      </w:r>
      <w:r w:rsidR="00D519B2" w:rsidRPr="009618E5">
        <w:rPr>
          <w:szCs w:val="24"/>
        </w:rPr>
        <w:t xml:space="preserve">: парное взаимодействие </w:t>
      </w:r>
      <w:r w:rsidR="00D65018" w:rsidRPr="009618E5">
        <w:rPr>
          <w:szCs w:val="24"/>
        </w:rPr>
        <w:t xml:space="preserve">предполагала </w:t>
      </w:r>
      <w:r w:rsidR="00D519B2" w:rsidRPr="009618E5">
        <w:rPr>
          <w:szCs w:val="24"/>
        </w:rPr>
        <w:t>прокладк</w:t>
      </w:r>
      <w:r w:rsidR="00D65018" w:rsidRPr="009618E5">
        <w:rPr>
          <w:szCs w:val="24"/>
        </w:rPr>
        <w:t>у</w:t>
      </w:r>
      <w:r w:rsidR="00D519B2" w:rsidRPr="009618E5">
        <w:rPr>
          <w:szCs w:val="24"/>
        </w:rPr>
        <w:t xml:space="preserve"> трубопровода между конкретным газовым месторождением и конечным потребителем. Второй этап представляет из себя </w:t>
      </w:r>
      <w:r w:rsidR="00D519B2" w:rsidRPr="009618E5">
        <w:rPr>
          <w:i/>
          <w:szCs w:val="24"/>
        </w:rPr>
        <w:t>национальные рынки</w:t>
      </w:r>
      <w:r w:rsidR="00D519B2" w:rsidRPr="009618E5">
        <w:rPr>
          <w:szCs w:val="24"/>
        </w:rPr>
        <w:t xml:space="preserve"> и характеризуется стремительным объединением изолированных ранее трубопроводов в единую сеть, а также трансформацию местных монополий в крупные холдинги, </w:t>
      </w:r>
      <w:r w:rsidR="00D519B2" w:rsidRPr="009618E5">
        <w:rPr>
          <w:szCs w:val="24"/>
        </w:rPr>
        <w:lastRenderedPageBreak/>
        <w:t xml:space="preserve">деятельность которых жестко регулируется государством. </w:t>
      </w:r>
      <w:r w:rsidR="004854DD" w:rsidRPr="009618E5">
        <w:rPr>
          <w:szCs w:val="24"/>
        </w:rPr>
        <w:t>Принцип ц</w:t>
      </w:r>
      <w:r w:rsidR="00D519B2" w:rsidRPr="009618E5">
        <w:rPr>
          <w:szCs w:val="24"/>
        </w:rPr>
        <w:t>енообразовани</w:t>
      </w:r>
      <w:r w:rsidR="004854DD" w:rsidRPr="009618E5">
        <w:rPr>
          <w:szCs w:val="24"/>
        </w:rPr>
        <w:t>я</w:t>
      </w:r>
      <w:r w:rsidR="00D519B2" w:rsidRPr="009618E5">
        <w:rPr>
          <w:szCs w:val="24"/>
        </w:rPr>
        <w:t xml:space="preserve"> также </w:t>
      </w:r>
      <w:r w:rsidR="004854DD" w:rsidRPr="009618E5">
        <w:rPr>
          <w:szCs w:val="24"/>
        </w:rPr>
        <w:t xml:space="preserve">подвергается изменению: </w:t>
      </w:r>
      <w:r w:rsidR="00D519B2" w:rsidRPr="009618E5">
        <w:rPr>
          <w:szCs w:val="24"/>
        </w:rPr>
        <w:t xml:space="preserve">вместо сверхдолгосрочных контрактов на локальном уровне, </w:t>
      </w:r>
      <w:r w:rsidR="004854DD" w:rsidRPr="009618E5">
        <w:rPr>
          <w:szCs w:val="24"/>
        </w:rPr>
        <w:t xml:space="preserve">вводится формула «издержки плюс» или долгосрочные контракты типа «бери и плати». На третьем этапе посредством строительства газопроводов большой протяженности и развития торговли сжиженным природным газом (СПГ) происходит формирование </w:t>
      </w:r>
      <w:proofErr w:type="spellStart"/>
      <w:r w:rsidR="004854DD" w:rsidRPr="009618E5">
        <w:rPr>
          <w:i/>
          <w:szCs w:val="24"/>
        </w:rPr>
        <w:t>межстрановых</w:t>
      </w:r>
      <w:proofErr w:type="spellEnd"/>
      <w:r w:rsidR="004854DD" w:rsidRPr="009618E5">
        <w:rPr>
          <w:i/>
          <w:szCs w:val="24"/>
        </w:rPr>
        <w:t xml:space="preserve"> рынков</w:t>
      </w:r>
      <w:r w:rsidR="004854DD" w:rsidRPr="009618E5">
        <w:rPr>
          <w:szCs w:val="24"/>
        </w:rPr>
        <w:t xml:space="preserve">. При таком взаимодействии возникает необходимость международных гарантий, которые находят отражение в межправительственных долгосрочных соглашениях между государством-экспортером и государством-импортером, а принцип ценообразования получает дополнительное условие: поставки газа должны осуществляться по </w:t>
      </w:r>
      <w:r w:rsidR="00426EB3" w:rsidRPr="009618E5">
        <w:rPr>
          <w:szCs w:val="24"/>
        </w:rPr>
        <w:t xml:space="preserve">конкурентным к другим видам энергоресурсам ценам. Конечным этапом в развитии рынка газа является формирование </w:t>
      </w:r>
      <w:r w:rsidR="00426EB3" w:rsidRPr="009618E5">
        <w:rPr>
          <w:i/>
          <w:szCs w:val="24"/>
        </w:rPr>
        <w:t>трансконтинентальных рынков</w:t>
      </w:r>
      <w:r w:rsidR="007B1FA8" w:rsidRPr="009618E5">
        <w:rPr>
          <w:szCs w:val="24"/>
        </w:rPr>
        <w:t xml:space="preserve"> через создание единой </w:t>
      </w:r>
      <w:r w:rsidR="005A1F45" w:rsidRPr="009618E5">
        <w:rPr>
          <w:szCs w:val="24"/>
        </w:rPr>
        <w:t xml:space="preserve">межстрановой </w:t>
      </w:r>
      <w:r w:rsidR="007B1FA8" w:rsidRPr="009618E5">
        <w:rPr>
          <w:szCs w:val="24"/>
        </w:rPr>
        <w:t>инфраструктуры и газотранспортной системы</w:t>
      </w:r>
      <w:r w:rsidR="005A1F45" w:rsidRPr="009618E5">
        <w:rPr>
          <w:szCs w:val="24"/>
        </w:rPr>
        <w:t>, а её ключевыми особенности является дилемма собственной добычи и диверсификации источников импорта, а также высокая конкуренции между ТНК</w:t>
      </w:r>
      <w:r w:rsidR="00A557F6">
        <w:rPr>
          <w:rStyle w:val="af5"/>
          <w:szCs w:val="24"/>
        </w:rPr>
        <w:footnoteReference w:id="17"/>
      </w:r>
      <w:r w:rsidR="005A1F45" w:rsidRPr="009618E5">
        <w:rPr>
          <w:szCs w:val="24"/>
        </w:rPr>
        <w:t xml:space="preserve">. </w:t>
      </w:r>
    </w:p>
    <w:p w14:paraId="39165BA3" w14:textId="2F7E1A6A" w:rsidR="00491CBD" w:rsidRPr="000C69B0" w:rsidRDefault="00491CBD" w:rsidP="00C53625">
      <w:pPr>
        <w:ind w:firstLine="708"/>
        <w:rPr>
          <w:szCs w:val="24"/>
        </w:rPr>
      </w:pPr>
      <w:r w:rsidRPr="009C4939">
        <w:rPr>
          <w:szCs w:val="24"/>
        </w:rPr>
        <w:t xml:space="preserve">В течении достаточно короткого в историческом понимании срока – со второй половины </w:t>
      </w:r>
      <w:r w:rsidRPr="009C4939">
        <w:rPr>
          <w:szCs w:val="24"/>
          <w:lang w:val="en-US"/>
        </w:rPr>
        <w:t>XIX</w:t>
      </w:r>
      <w:r w:rsidRPr="009C4939">
        <w:rPr>
          <w:szCs w:val="24"/>
        </w:rPr>
        <w:t xml:space="preserve"> века,  рынки нефти и газа прошли большой путь в своем становлении – от малозначительных товаров до системно значимого сырья, которые на сегодняшний день используются не только для удовлетворения экономических потребностей, но и как инструмент политического влияния и геополитической борьбы. </w:t>
      </w:r>
      <w:r w:rsidR="000C69B0" w:rsidRPr="009C4939">
        <w:rPr>
          <w:szCs w:val="24"/>
        </w:rPr>
        <w:t>Ключевая р</w:t>
      </w:r>
      <w:r w:rsidRPr="009C4939">
        <w:rPr>
          <w:szCs w:val="24"/>
        </w:rPr>
        <w:t xml:space="preserve">азница между особенностями становления рынков данных товаров состояла в том, что объемы добычи нефти определялись исходя из </w:t>
      </w:r>
      <w:r w:rsidR="000C69B0" w:rsidRPr="009C4939">
        <w:rPr>
          <w:szCs w:val="24"/>
        </w:rPr>
        <w:t>принципа спроса и предложения, в то время как газ обладал еще и пространственной составляющей в силу специфики его добычи и поставки к потребителю. Пройденный путь также имеет свои отличия: очевидно, что нефть в спрос на нефть уже преодолел свой пик и в настоящее время движется по нисходящей, в то время как газ – более экологически чистый вид топлива лишь набирает обороты.</w:t>
      </w:r>
    </w:p>
    <w:p w14:paraId="286B97AC" w14:textId="5CF506C3" w:rsidR="005A1F45" w:rsidRPr="003F15F3" w:rsidRDefault="00A557F6" w:rsidP="00A01447">
      <w:pPr>
        <w:pStyle w:val="3"/>
        <w:numPr>
          <w:ilvl w:val="2"/>
          <w:numId w:val="34"/>
        </w:numPr>
      </w:pPr>
      <w:bookmarkStart w:id="15" w:name="_Toc41513176"/>
      <w:r w:rsidRPr="003F15F3">
        <w:t>Ключевые а</w:t>
      </w:r>
      <w:r w:rsidR="002F452C" w:rsidRPr="003F15F3">
        <w:t>кторы</w:t>
      </w:r>
      <w:r w:rsidRPr="003F15F3">
        <w:t xml:space="preserve"> на глобальном рынке нефти и газа</w:t>
      </w:r>
      <w:bookmarkEnd w:id="15"/>
    </w:p>
    <w:p w14:paraId="7E68D3DB" w14:textId="77777777" w:rsidR="00330E7F" w:rsidRPr="009618E5" w:rsidRDefault="00FD7934" w:rsidP="00FD7934">
      <w:pPr>
        <w:ind w:firstLine="708"/>
        <w:rPr>
          <w:szCs w:val="24"/>
        </w:rPr>
      </w:pPr>
      <w:r w:rsidRPr="009618E5">
        <w:rPr>
          <w:szCs w:val="24"/>
        </w:rPr>
        <w:t xml:space="preserve">Несмотря на то, что термин «энергетическая безопасность» впервые используется еще в середине </w:t>
      </w:r>
      <w:r w:rsidRPr="009618E5">
        <w:rPr>
          <w:szCs w:val="24"/>
          <w:lang w:val="en-US"/>
        </w:rPr>
        <w:t>XX</w:t>
      </w:r>
      <w:r w:rsidRPr="009618E5">
        <w:rPr>
          <w:szCs w:val="24"/>
        </w:rPr>
        <w:t xml:space="preserve"> века, нефтяной кризис 1973 года выводит данный вопрос изначально на национальный, а затем и на глобальный уровень. Именно начиная с 1970-х годов стали формироваться элементы дипломатии и внешней политики государств, направленных на достижение энергетической безопасности.  </w:t>
      </w:r>
    </w:p>
    <w:p w14:paraId="068D087B" w14:textId="169D1163" w:rsidR="001D31CA" w:rsidRPr="009618E5" w:rsidRDefault="00FD7934" w:rsidP="00844E2A">
      <w:pPr>
        <w:ind w:firstLine="708"/>
        <w:rPr>
          <w:szCs w:val="24"/>
        </w:rPr>
      </w:pPr>
      <w:r w:rsidRPr="009618E5">
        <w:rPr>
          <w:szCs w:val="24"/>
        </w:rPr>
        <w:lastRenderedPageBreak/>
        <w:t xml:space="preserve">Существует достаточно большое количество определений термина «энергетическая безопасность». Так, </w:t>
      </w:r>
      <w:r w:rsidR="007547B5" w:rsidRPr="009618E5">
        <w:rPr>
          <w:szCs w:val="24"/>
        </w:rPr>
        <w:t xml:space="preserve">в соответствии с Доктриной энергетической безопасности РФ от 13 мая 2019 года, энергетическая безопасность определяется (на национальном уровне) </w:t>
      </w:r>
      <w:r w:rsidR="00A71B80" w:rsidRPr="009618E5">
        <w:rPr>
          <w:szCs w:val="24"/>
        </w:rPr>
        <w:t xml:space="preserve">как  </w:t>
      </w:r>
      <w:r w:rsidR="007547B5" w:rsidRPr="009618E5">
        <w:rPr>
          <w:szCs w:val="24"/>
        </w:rPr>
        <w:t>«состояние защищенности экономики и населения страны от угроз национальной безопасности в сфере энергетики, при котором обеспечивается выполнение предусмотренных законодательством Российской Федерации требований к топливо- и энергоснабжению потребителей, а также выполнение экспортных контрактов и международных обязательств Российской Федерации»</w:t>
      </w:r>
      <w:r w:rsidR="00A557F6">
        <w:rPr>
          <w:rStyle w:val="af5"/>
          <w:szCs w:val="24"/>
        </w:rPr>
        <w:footnoteReference w:id="18"/>
      </w:r>
      <w:r w:rsidR="007547B5" w:rsidRPr="009618E5">
        <w:rPr>
          <w:szCs w:val="24"/>
        </w:rPr>
        <w:t xml:space="preserve">. </w:t>
      </w:r>
      <w:r w:rsidR="00330E7F" w:rsidRPr="009618E5">
        <w:rPr>
          <w:szCs w:val="24"/>
        </w:rPr>
        <w:t>Несмотря на то, что в данном определении закреплена приверженность РФ взяты</w:t>
      </w:r>
      <w:r w:rsidR="00A71B80" w:rsidRPr="009618E5">
        <w:rPr>
          <w:szCs w:val="24"/>
        </w:rPr>
        <w:t>м</w:t>
      </w:r>
      <w:r w:rsidR="00330E7F" w:rsidRPr="009618E5">
        <w:rPr>
          <w:szCs w:val="24"/>
        </w:rPr>
        <w:t xml:space="preserve"> на себя международны</w:t>
      </w:r>
      <w:r w:rsidR="00A71B80" w:rsidRPr="009618E5">
        <w:rPr>
          <w:szCs w:val="24"/>
        </w:rPr>
        <w:t>м</w:t>
      </w:r>
      <w:r w:rsidR="00330E7F" w:rsidRPr="009618E5">
        <w:rPr>
          <w:szCs w:val="24"/>
        </w:rPr>
        <w:t xml:space="preserve"> обязательств</w:t>
      </w:r>
      <w:r w:rsidR="00A71B80" w:rsidRPr="009618E5">
        <w:rPr>
          <w:szCs w:val="24"/>
        </w:rPr>
        <w:t xml:space="preserve">ам </w:t>
      </w:r>
      <w:r w:rsidR="00330E7F" w:rsidRPr="009618E5">
        <w:rPr>
          <w:szCs w:val="24"/>
        </w:rPr>
        <w:t xml:space="preserve">в качестве надежного поставщика энергоресурсов, формулировка не раскрывает концепцию «глобальной энергетической безопасности», определение которой, как мы увидим далее, нашло </w:t>
      </w:r>
      <w:r w:rsidR="00A71B80" w:rsidRPr="009618E5">
        <w:rPr>
          <w:szCs w:val="24"/>
        </w:rPr>
        <w:t xml:space="preserve">свое </w:t>
      </w:r>
      <w:r w:rsidR="00330E7F" w:rsidRPr="009618E5">
        <w:rPr>
          <w:szCs w:val="24"/>
        </w:rPr>
        <w:t>отражение в деятельности международных организаций и наднациональных акторов в сфере нефтегазовых отношений. С.З. Жизнин определяет «глобальную энергетическую безопасность» как «</w:t>
      </w:r>
      <w:r w:rsidR="00B44989" w:rsidRPr="009618E5">
        <w:rPr>
          <w:szCs w:val="24"/>
        </w:rPr>
        <w:t>долгосрочное, надежное и экономически приемлемое обеспечение оптимальное сочетание различных видов энергии для устойчивого экономического и социального развития мира, с минимальным ущербом для окружающей среды»</w:t>
      </w:r>
      <w:r w:rsidR="00A557F6">
        <w:rPr>
          <w:rStyle w:val="af5"/>
          <w:szCs w:val="24"/>
        </w:rPr>
        <w:footnoteReference w:id="19"/>
      </w:r>
      <w:r w:rsidR="00B44989" w:rsidRPr="009618E5">
        <w:rPr>
          <w:szCs w:val="24"/>
        </w:rPr>
        <w:t xml:space="preserve">. </w:t>
      </w:r>
    </w:p>
    <w:p w14:paraId="59998D58" w14:textId="5BBBB8D6" w:rsidR="003C57E6" w:rsidRPr="009618E5" w:rsidRDefault="003C57E6" w:rsidP="003C57E6">
      <w:pPr>
        <w:ind w:firstLine="708"/>
        <w:rPr>
          <w:szCs w:val="24"/>
        </w:rPr>
      </w:pPr>
      <w:r w:rsidRPr="009618E5">
        <w:rPr>
          <w:szCs w:val="24"/>
        </w:rPr>
        <w:t>В условиях неравномерного распределения ресурсов в мире, г</w:t>
      </w:r>
      <w:r w:rsidR="00844E2A" w:rsidRPr="009618E5">
        <w:rPr>
          <w:szCs w:val="24"/>
        </w:rPr>
        <w:t>осударств</w:t>
      </w:r>
      <w:r w:rsidRPr="009618E5">
        <w:rPr>
          <w:szCs w:val="24"/>
        </w:rPr>
        <w:t>а,</w:t>
      </w:r>
      <w:r w:rsidR="00844E2A" w:rsidRPr="009618E5">
        <w:rPr>
          <w:szCs w:val="24"/>
        </w:rPr>
        <w:t xml:space="preserve"> </w:t>
      </w:r>
      <w:r w:rsidR="001D31CA" w:rsidRPr="009618E5">
        <w:rPr>
          <w:szCs w:val="24"/>
        </w:rPr>
        <w:t>занимающие</w:t>
      </w:r>
      <w:r w:rsidR="00844E2A" w:rsidRPr="009618E5">
        <w:rPr>
          <w:szCs w:val="24"/>
        </w:rPr>
        <w:t xml:space="preserve"> то или иное звено в цепочке «производитель - транзитер – потребитель» имеют свои ярко выраженные интересы. Так, государство-</w:t>
      </w:r>
      <w:r w:rsidR="00A32681" w:rsidRPr="009618E5">
        <w:rPr>
          <w:szCs w:val="24"/>
        </w:rPr>
        <w:t>импортер</w:t>
      </w:r>
      <w:r w:rsidR="00844E2A" w:rsidRPr="009618E5">
        <w:rPr>
          <w:szCs w:val="24"/>
        </w:rPr>
        <w:t xml:space="preserve"> заинтересовано в </w:t>
      </w:r>
      <w:r w:rsidR="00844E2A" w:rsidRPr="009618E5">
        <w:rPr>
          <w:i/>
          <w:szCs w:val="24"/>
        </w:rPr>
        <w:t>безопасности поставок</w:t>
      </w:r>
      <w:r w:rsidR="00844E2A" w:rsidRPr="009618E5">
        <w:rPr>
          <w:szCs w:val="24"/>
        </w:rPr>
        <w:t xml:space="preserve">, что предполагает осуществление долгосрочных и стабильных поставок энергоресурсов </w:t>
      </w:r>
      <w:r w:rsidR="00A32681" w:rsidRPr="009618E5">
        <w:rPr>
          <w:szCs w:val="24"/>
        </w:rPr>
        <w:t xml:space="preserve">со стороны </w:t>
      </w:r>
      <w:r w:rsidR="00844E2A" w:rsidRPr="009618E5">
        <w:rPr>
          <w:szCs w:val="24"/>
        </w:rPr>
        <w:t>государств</w:t>
      </w:r>
      <w:r w:rsidR="00A32681" w:rsidRPr="009618E5">
        <w:rPr>
          <w:szCs w:val="24"/>
        </w:rPr>
        <w:t xml:space="preserve">-экспортёров </w:t>
      </w:r>
      <w:r w:rsidR="00844E2A" w:rsidRPr="009618E5">
        <w:rPr>
          <w:szCs w:val="24"/>
        </w:rPr>
        <w:t>по приемлемым для обеих сторон разумным ценам.  Государство-</w:t>
      </w:r>
      <w:r w:rsidR="00A32681" w:rsidRPr="009618E5">
        <w:rPr>
          <w:szCs w:val="24"/>
        </w:rPr>
        <w:t>экспортер</w:t>
      </w:r>
      <w:r w:rsidR="00844E2A" w:rsidRPr="009618E5">
        <w:rPr>
          <w:szCs w:val="24"/>
        </w:rPr>
        <w:t xml:space="preserve"> заинтересовано в </w:t>
      </w:r>
      <w:r w:rsidR="00A32681" w:rsidRPr="009618E5">
        <w:rPr>
          <w:i/>
          <w:szCs w:val="24"/>
        </w:rPr>
        <w:t>безопасности спроса</w:t>
      </w:r>
      <w:r w:rsidR="00A32681" w:rsidRPr="009618E5">
        <w:rPr>
          <w:szCs w:val="24"/>
        </w:rPr>
        <w:t>, что предполагает наличие долгосрочных рынков сбыта и стабильных финансовых поступлений от продажи энергоресурсов по взаимоприемлемым ценам. Последнее, впрочем, зачастую является камнем преткновения. Государства-</w:t>
      </w:r>
      <w:proofErr w:type="spellStart"/>
      <w:r w:rsidR="00A32681" w:rsidRPr="009618E5">
        <w:rPr>
          <w:szCs w:val="24"/>
        </w:rPr>
        <w:t>транзитеры</w:t>
      </w:r>
      <w:proofErr w:type="spellEnd"/>
      <w:r w:rsidR="00A32681" w:rsidRPr="009618E5">
        <w:rPr>
          <w:szCs w:val="24"/>
        </w:rPr>
        <w:t xml:space="preserve"> заинтересованы </w:t>
      </w:r>
      <w:r w:rsidR="00A32681" w:rsidRPr="009618E5">
        <w:rPr>
          <w:i/>
          <w:szCs w:val="24"/>
        </w:rPr>
        <w:t>безопасности транзита</w:t>
      </w:r>
      <w:r w:rsidR="00A32681" w:rsidRPr="009618E5">
        <w:rPr>
          <w:szCs w:val="24"/>
        </w:rPr>
        <w:t>, который предполагает получение прибыли от транзита энергоресурсов через свою территорию</w:t>
      </w:r>
      <w:r w:rsidR="00B5419A">
        <w:rPr>
          <w:rStyle w:val="af5"/>
          <w:szCs w:val="24"/>
        </w:rPr>
        <w:footnoteReference w:id="20"/>
      </w:r>
      <w:r w:rsidR="00A32681" w:rsidRPr="009618E5">
        <w:rPr>
          <w:szCs w:val="24"/>
        </w:rPr>
        <w:t>.</w:t>
      </w:r>
      <w:r w:rsidR="001D31CA" w:rsidRPr="009618E5">
        <w:rPr>
          <w:szCs w:val="24"/>
        </w:rPr>
        <w:t xml:space="preserve"> </w:t>
      </w:r>
    </w:p>
    <w:p w14:paraId="606A93F4" w14:textId="0D1A8948" w:rsidR="001D31CA" w:rsidRPr="009618E5" w:rsidRDefault="00E71F11" w:rsidP="003C57E6">
      <w:pPr>
        <w:ind w:firstLine="708"/>
        <w:rPr>
          <w:szCs w:val="24"/>
        </w:rPr>
      </w:pPr>
      <w:r w:rsidRPr="00E71F11">
        <w:rPr>
          <w:b/>
          <w:bCs/>
          <w:i/>
          <w:iCs/>
          <w:szCs w:val="24"/>
        </w:rPr>
        <w:lastRenderedPageBreak/>
        <w:t>Международные организации.</w:t>
      </w:r>
      <w:r>
        <w:rPr>
          <w:szCs w:val="24"/>
        </w:rPr>
        <w:t xml:space="preserve"> </w:t>
      </w:r>
      <w:r w:rsidR="003C57E6" w:rsidRPr="009618E5">
        <w:rPr>
          <w:szCs w:val="24"/>
        </w:rPr>
        <w:t xml:space="preserve">В </w:t>
      </w:r>
      <w:r w:rsidR="001D31CA" w:rsidRPr="009618E5">
        <w:rPr>
          <w:szCs w:val="24"/>
        </w:rPr>
        <w:t xml:space="preserve">условиях глобализации мировых энергетических рынков (в т.ч. и нефтегазовых), усилении интеграционных процессов и роста взаимозависимости между государствами, </w:t>
      </w:r>
      <w:r w:rsidR="003C57E6" w:rsidRPr="009618E5">
        <w:rPr>
          <w:szCs w:val="24"/>
        </w:rPr>
        <w:t xml:space="preserve">участники глобального энергетического рынка стали предпринимать ряд шагов и действий для обеспечения </w:t>
      </w:r>
      <w:r w:rsidR="001D31CA" w:rsidRPr="009618E5">
        <w:rPr>
          <w:szCs w:val="24"/>
        </w:rPr>
        <w:t>стабиль</w:t>
      </w:r>
      <w:r w:rsidR="003C57E6" w:rsidRPr="009618E5">
        <w:rPr>
          <w:szCs w:val="24"/>
        </w:rPr>
        <w:t>ности</w:t>
      </w:r>
      <w:r w:rsidR="001D31CA" w:rsidRPr="009618E5">
        <w:rPr>
          <w:szCs w:val="24"/>
        </w:rPr>
        <w:t xml:space="preserve"> и предсказуем</w:t>
      </w:r>
      <w:r w:rsidR="003C57E6" w:rsidRPr="009618E5">
        <w:rPr>
          <w:szCs w:val="24"/>
        </w:rPr>
        <w:t>ости на глобальном</w:t>
      </w:r>
      <w:r w:rsidR="001D31CA" w:rsidRPr="009618E5">
        <w:rPr>
          <w:szCs w:val="24"/>
        </w:rPr>
        <w:t xml:space="preserve"> рынк</w:t>
      </w:r>
      <w:r w:rsidR="003C57E6" w:rsidRPr="009618E5">
        <w:rPr>
          <w:szCs w:val="24"/>
        </w:rPr>
        <w:t>е</w:t>
      </w:r>
      <w:r w:rsidR="001D31CA" w:rsidRPr="009618E5">
        <w:rPr>
          <w:szCs w:val="24"/>
        </w:rPr>
        <w:t xml:space="preserve"> энергоресурсов.</w:t>
      </w:r>
      <w:r w:rsidR="003C57E6" w:rsidRPr="009618E5">
        <w:rPr>
          <w:szCs w:val="24"/>
        </w:rPr>
        <w:t xml:space="preserve"> </w:t>
      </w:r>
    </w:p>
    <w:p w14:paraId="37F8D9AF" w14:textId="2CF421C8" w:rsidR="00CF45C4" w:rsidRPr="009618E5" w:rsidRDefault="00624017" w:rsidP="0026285B">
      <w:pPr>
        <w:ind w:firstLine="708"/>
        <w:rPr>
          <w:szCs w:val="24"/>
        </w:rPr>
      </w:pPr>
      <w:r w:rsidRPr="009618E5">
        <w:rPr>
          <w:szCs w:val="24"/>
        </w:rPr>
        <w:t xml:space="preserve">Одной из таких организаций стала </w:t>
      </w:r>
      <w:r w:rsidRPr="009618E5">
        <w:rPr>
          <w:i/>
          <w:szCs w:val="24"/>
        </w:rPr>
        <w:t>ОПЕК</w:t>
      </w:r>
      <w:r w:rsidRPr="009618E5">
        <w:rPr>
          <w:szCs w:val="24"/>
        </w:rPr>
        <w:t xml:space="preserve"> – Организация стран-экспортеров нефти. </w:t>
      </w:r>
      <w:r w:rsidR="00A86932" w:rsidRPr="009618E5">
        <w:rPr>
          <w:szCs w:val="24"/>
        </w:rPr>
        <w:t xml:space="preserve">Справедливости ради стоит отметить, что все вышеперечисленные причины кооперации государств в сфере энергетических отношений не вполне соответствуют истинной причине создания организации ОПЕК, хотя цели, которые она </w:t>
      </w:r>
      <w:r w:rsidR="004D7247" w:rsidRPr="009618E5">
        <w:rPr>
          <w:szCs w:val="24"/>
        </w:rPr>
        <w:t>преследует</w:t>
      </w:r>
      <w:r w:rsidR="00A86932" w:rsidRPr="009618E5">
        <w:rPr>
          <w:szCs w:val="24"/>
        </w:rPr>
        <w:t xml:space="preserve"> абсолютно совпадают</w:t>
      </w:r>
      <w:r w:rsidR="004D7247" w:rsidRPr="009618E5">
        <w:rPr>
          <w:szCs w:val="24"/>
        </w:rPr>
        <w:t xml:space="preserve">. ОПЕК является постоянной межправительственной организацией, созданной по итогу конференции, проходившей в Багдаде с 10 по 14 сентября 1960 года 5-ю государствами основателями: Ираном, Ираком, Кувейтом, Саудовской Аравией и Венесуэлой, позднее к ним присоединились еще 10 других государств. </w:t>
      </w:r>
      <w:r w:rsidR="00E132BD" w:rsidRPr="009618E5">
        <w:rPr>
          <w:szCs w:val="24"/>
        </w:rPr>
        <w:t xml:space="preserve">Предпосылками для создания организации стала масштабная трансформация мирового политического и экономического ландшафта, которая сопровождалась деколонизацией и возникновением новых независимым развивающихся государств. Не менее важной причиной было доминирование на нефтяном рынке картеля «Семь сестер», в связи с чем создание ОПЕК было попыткой </w:t>
      </w:r>
      <w:r w:rsidR="00CF45C4" w:rsidRPr="009618E5">
        <w:rPr>
          <w:szCs w:val="24"/>
        </w:rPr>
        <w:t>разрушить</w:t>
      </w:r>
      <w:r w:rsidR="00E132BD" w:rsidRPr="009618E5">
        <w:rPr>
          <w:szCs w:val="24"/>
        </w:rPr>
        <w:t xml:space="preserve"> сложившуюся олигополию семи</w:t>
      </w:r>
      <w:r w:rsidR="00EE1A55" w:rsidRPr="009618E5">
        <w:rPr>
          <w:szCs w:val="24"/>
        </w:rPr>
        <w:t xml:space="preserve"> западных</w:t>
      </w:r>
      <w:r w:rsidR="00E132BD" w:rsidRPr="009618E5">
        <w:rPr>
          <w:szCs w:val="24"/>
        </w:rPr>
        <w:t xml:space="preserve"> </w:t>
      </w:r>
      <w:r w:rsidR="00EE1A55" w:rsidRPr="009618E5">
        <w:rPr>
          <w:szCs w:val="24"/>
        </w:rPr>
        <w:t xml:space="preserve">нефтедобывающих </w:t>
      </w:r>
      <w:r w:rsidR="00E132BD" w:rsidRPr="009618E5">
        <w:rPr>
          <w:szCs w:val="24"/>
        </w:rPr>
        <w:t>ТНК</w:t>
      </w:r>
      <w:r w:rsidR="00CF45C4" w:rsidRPr="009618E5">
        <w:rPr>
          <w:szCs w:val="24"/>
        </w:rPr>
        <w:t xml:space="preserve">, получить контроль над ресурсами и </w:t>
      </w:r>
      <w:r w:rsidR="00EE1A55" w:rsidRPr="009618E5">
        <w:rPr>
          <w:szCs w:val="24"/>
        </w:rPr>
        <w:t>обеспечить справедливую стоимость продажи энергоресурсов</w:t>
      </w:r>
      <w:r w:rsidR="00CF45C4" w:rsidRPr="009618E5">
        <w:rPr>
          <w:szCs w:val="24"/>
        </w:rPr>
        <w:t>. Все эти цели в том или ином виде были прописаны при принятии Статута ОПЕК. Согласно статье 2, целями Организации являются:</w:t>
      </w:r>
    </w:p>
    <w:p w14:paraId="7D07AE60" w14:textId="4DA0C195" w:rsidR="0026285B" w:rsidRPr="009618E5" w:rsidRDefault="00CF45C4" w:rsidP="00CF45C4">
      <w:pPr>
        <w:pStyle w:val="a7"/>
        <w:numPr>
          <w:ilvl w:val="0"/>
          <w:numId w:val="8"/>
        </w:numPr>
        <w:rPr>
          <w:szCs w:val="24"/>
        </w:rPr>
      </w:pPr>
      <w:r w:rsidRPr="009618E5">
        <w:rPr>
          <w:szCs w:val="24"/>
        </w:rPr>
        <w:t>координация и унификация нефтяной политики государств-членов, а также определение наилучших средств для защиты их индивидуальных и коллективных интересов;</w:t>
      </w:r>
    </w:p>
    <w:p w14:paraId="2B2F5B01" w14:textId="0A1BC1B6" w:rsidR="00CF45C4" w:rsidRPr="009618E5" w:rsidRDefault="00CF45C4" w:rsidP="00CF45C4">
      <w:pPr>
        <w:pStyle w:val="a7"/>
        <w:numPr>
          <w:ilvl w:val="0"/>
          <w:numId w:val="8"/>
        </w:numPr>
        <w:rPr>
          <w:szCs w:val="24"/>
        </w:rPr>
      </w:pPr>
      <w:r w:rsidRPr="009618E5">
        <w:rPr>
          <w:szCs w:val="24"/>
        </w:rPr>
        <w:t>разработка способов и средств для обеспечения стабильности цен на глобальном рынке нефти с тем, чтобы нивелировать</w:t>
      </w:r>
      <w:r w:rsidR="006C4308" w:rsidRPr="009618E5">
        <w:rPr>
          <w:szCs w:val="24"/>
        </w:rPr>
        <w:t xml:space="preserve"> излишнюю волатильность и колебания;</w:t>
      </w:r>
    </w:p>
    <w:p w14:paraId="389013E3" w14:textId="3955F7A1" w:rsidR="006C4308" w:rsidRPr="009618E5" w:rsidRDefault="006C4308" w:rsidP="00CF45C4">
      <w:pPr>
        <w:pStyle w:val="a7"/>
        <w:numPr>
          <w:ilvl w:val="0"/>
          <w:numId w:val="8"/>
        </w:numPr>
        <w:rPr>
          <w:szCs w:val="24"/>
        </w:rPr>
      </w:pPr>
      <w:r w:rsidRPr="009618E5">
        <w:rPr>
          <w:szCs w:val="24"/>
        </w:rPr>
        <w:t>обеспечение стабильных нефтяных доходов государствам-производителям, постоянство и эффективность поставок нефти государствам-потребителям, а также справедливый возврат прибыли с инвестированного в нефтяную отрасль капитала</w:t>
      </w:r>
      <w:r w:rsidR="002E526F">
        <w:rPr>
          <w:rStyle w:val="af5"/>
          <w:szCs w:val="24"/>
        </w:rPr>
        <w:footnoteReference w:id="21"/>
      </w:r>
      <w:r w:rsidRPr="009618E5">
        <w:rPr>
          <w:szCs w:val="24"/>
        </w:rPr>
        <w:t xml:space="preserve">. </w:t>
      </w:r>
    </w:p>
    <w:p w14:paraId="58CD40B7" w14:textId="050519CF" w:rsidR="00746BC8" w:rsidRPr="009618E5" w:rsidRDefault="00D81C7A" w:rsidP="00446E9D">
      <w:pPr>
        <w:ind w:firstLine="708"/>
        <w:rPr>
          <w:szCs w:val="24"/>
        </w:rPr>
      </w:pPr>
      <w:r w:rsidRPr="009618E5">
        <w:rPr>
          <w:szCs w:val="24"/>
        </w:rPr>
        <w:lastRenderedPageBreak/>
        <w:t>Схожей организацией</w:t>
      </w:r>
      <w:r w:rsidR="005D013A" w:rsidRPr="009618E5">
        <w:rPr>
          <w:szCs w:val="24"/>
        </w:rPr>
        <w:t xml:space="preserve"> </w:t>
      </w:r>
      <w:r w:rsidR="00335D6B" w:rsidRPr="009618E5">
        <w:rPr>
          <w:szCs w:val="24"/>
        </w:rPr>
        <w:t xml:space="preserve">является </w:t>
      </w:r>
      <w:r w:rsidR="00335D6B" w:rsidRPr="009618E5">
        <w:rPr>
          <w:i/>
          <w:szCs w:val="24"/>
        </w:rPr>
        <w:t>ОАПЕК</w:t>
      </w:r>
      <w:r w:rsidR="00335D6B" w:rsidRPr="009618E5">
        <w:rPr>
          <w:szCs w:val="24"/>
        </w:rPr>
        <w:t xml:space="preserve"> - Организация арабских стран — экспортёров нефти, которая была создана в 1968 году. Инициатива создания Организации принадлежала трем наиболее консервативным арабским нефтедобывающим государствам – Кувейту, Ливии и Саудовской Аравии, однако позже число государств-членов расширилось до 11. Как и в случае с ОПЕК, заявленная цель Организации предполагала сотрудничество государств-членов организации в нефтяной промышленности, укрепление межгосударственных связей на этой почве, защита индивидуальных и коллективных интересов, обеспечение бесперебойных поставок нефти потребителям по приемлемым ценам, а также создание благоприятных условий для роста инвестиционной активности в нефтяной отрасли</w:t>
      </w:r>
      <w:r w:rsidR="002E526F">
        <w:rPr>
          <w:rStyle w:val="af5"/>
          <w:szCs w:val="24"/>
        </w:rPr>
        <w:footnoteReference w:id="22"/>
      </w:r>
      <w:r w:rsidR="00335D6B" w:rsidRPr="009618E5">
        <w:rPr>
          <w:szCs w:val="24"/>
        </w:rPr>
        <w:t xml:space="preserve">. Хотя, в современным дискурсе по вопросам нефтедобычи доминирует ОПЕК, не стоит забывать, что нефтяной кризис 1973-1974 гг. был спровоцирован именно ОАПЕК, который наложил эмбарго на поставку нефти государствам поддержавшим Израиль (США и их союзники в Западной Европе) в ходе четвертой арабо-израильской войны. </w:t>
      </w:r>
    </w:p>
    <w:p w14:paraId="03F4065B" w14:textId="5F4B18D0" w:rsidR="00CC6432" w:rsidRPr="009618E5" w:rsidRDefault="006D2A0B" w:rsidP="00446E9D">
      <w:pPr>
        <w:ind w:firstLine="708"/>
        <w:rPr>
          <w:szCs w:val="24"/>
        </w:rPr>
      </w:pPr>
      <w:r w:rsidRPr="009618E5">
        <w:rPr>
          <w:szCs w:val="24"/>
        </w:rPr>
        <w:t xml:space="preserve">В сфере газовых отношений </w:t>
      </w:r>
      <w:r w:rsidR="005D013A" w:rsidRPr="009618E5">
        <w:rPr>
          <w:szCs w:val="24"/>
        </w:rPr>
        <w:t xml:space="preserve">важная роль отводится </w:t>
      </w:r>
      <w:r w:rsidRPr="009618E5">
        <w:rPr>
          <w:szCs w:val="24"/>
        </w:rPr>
        <w:t>организаци</w:t>
      </w:r>
      <w:r w:rsidR="005D013A" w:rsidRPr="009618E5">
        <w:rPr>
          <w:szCs w:val="24"/>
        </w:rPr>
        <w:t>и</w:t>
      </w:r>
      <w:r w:rsidRPr="009618E5">
        <w:rPr>
          <w:szCs w:val="24"/>
        </w:rPr>
        <w:t xml:space="preserve"> </w:t>
      </w:r>
      <w:r w:rsidRPr="009618E5">
        <w:rPr>
          <w:i/>
          <w:szCs w:val="24"/>
        </w:rPr>
        <w:t>Форум стран-экспортеров газа</w:t>
      </w:r>
      <w:r w:rsidR="00086898" w:rsidRPr="009618E5">
        <w:rPr>
          <w:szCs w:val="24"/>
        </w:rPr>
        <w:t xml:space="preserve"> (ФСЭГ)</w:t>
      </w:r>
      <w:r w:rsidRPr="009618E5">
        <w:rPr>
          <w:szCs w:val="24"/>
        </w:rPr>
        <w:t xml:space="preserve"> или, как </w:t>
      </w:r>
      <w:r w:rsidR="005D013A" w:rsidRPr="009618E5">
        <w:rPr>
          <w:szCs w:val="24"/>
        </w:rPr>
        <w:t>её</w:t>
      </w:r>
      <w:r w:rsidRPr="009618E5">
        <w:rPr>
          <w:szCs w:val="24"/>
        </w:rPr>
        <w:t xml:space="preserve"> прозвали журналисты</w:t>
      </w:r>
      <w:r w:rsidR="00086898" w:rsidRPr="009618E5">
        <w:rPr>
          <w:szCs w:val="24"/>
        </w:rPr>
        <w:t>,</w:t>
      </w:r>
      <w:r w:rsidRPr="009618E5">
        <w:rPr>
          <w:szCs w:val="24"/>
        </w:rPr>
        <w:t xml:space="preserve"> - «газовый ОПЕК». </w:t>
      </w:r>
      <w:r w:rsidR="00086898" w:rsidRPr="009618E5">
        <w:rPr>
          <w:szCs w:val="24"/>
        </w:rPr>
        <w:t>Учрежденный 23 декабря 2008 года, членами Организации сегодня являются 11 государств, помимо этого, статус наблюдателя предоставлен 9 государствам. На сегодняшний день, Форум занимает прочную позицию среди международных энергетических организаций, а под контролем его членов находятся 72% мировых доказанных запасов газа, доля которых на рынке достигает 46%, при этом доля трубопроводного и сжиженного газа в мировом экспорте составляет 55% и 61% соответственно</w:t>
      </w:r>
      <w:r w:rsidR="002E526F">
        <w:rPr>
          <w:rStyle w:val="af5"/>
          <w:szCs w:val="24"/>
        </w:rPr>
        <w:footnoteReference w:id="23"/>
      </w:r>
      <w:r w:rsidR="00086898" w:rsidRPr="009618E5">
        <w:rPr>
          <w:szCs w:val="24"/>
        </w:rPr>
        <w:t>.</w:t>
      </w:r>
    </w:p>
    <w:p w14:paraId="4F91C2BE" w14:textId="024A81B7" w:rsidR="00090EEA" w:rsidRPr="009618E5" w:rsidRDefault="00755D3E" w:rsidP="00446E9D">
      <w:pPr>
        <w:ind w:firstLine="708"/>
        <w:rPr>
          <w:szCs w:val="24"/>
        </w:rPr>
      </w:pPr>
      <w:r w:rsidRPr="009618E5">
        <w:rPr>
          <w:szCs w:val="24"/>
        </w:rPr>
        <w:t>Закономерным развитием событий после начала нефтяного кризиса в 1973 года, стал</w:t>
      </w:r>
      <w:r w:rsidR="00FD57BA" w:rsidRPr="009618E5">
        <w:rPr>
          <w:szCs w:val="24"/>
        </w:rPr>
        <w:t>а</w:t>
      </w:r>
      <w:r w:rsidRPr="009618E5">
        <w:rPr>
          <w:szCs w:val="24"/>
        </w:rPr>
        <w:t xml:space="preserve"> активизация вопроса энергобезопасност</w:t>
      </w:r>
      <w:r w:rsidR="00FD57BA" w:rsidRPr="009618E5">
        <w:rPr>
          <w:szCs w:val="24"/>
        </w:rPr>
        <w:t xml:space="preserve">и среди стран Запада. Вынесенные в процессе кризиса уроки подтвердили, что рынок нефти является глобальным, а потому влияние производителя на потребителя носит глобальный характер, что в свою очередь ведет к необходимости перехода защиты интересов индустриальных государств от индивидуального (национального) уровня к международному; </w:t>
      </w:r>
      <w:r w:rsidR="005D426C" w:rsidRPr="009618E5">
        <w:rPr>
          <w:szCs w:val="24"/>
        </w:rPr>
        <w:t xml:space="preserve">для улучшения и повышения эффективности взаимодействия с производителями должны быть заключены соглашения, </w:t>
      </w:r>
      <w:r w:rsidR="005D426C" w:rsidRPr="009618E5">
        <w:rPr>
          <w:szCs w:val="24"/>
        </w:rPr>
        <w:lastRenderedPageBreak/>
        <w:t>а  долгосрочной целью должно стать снижение нефтяной зависимости через развитие альтернативных источников. Также, государства-члены должны создать стратегический нефтяной резерв, который в случае будущего нефтяного эмбарго сможет гарантировать бесперебойные поставки нефти между государствами Организации</w:t>
      </w:r>
      <w:r w:rsidR="00EB6B81" w:rsidRPr="009618E5">
        <w:rPr>
          <w:szCs w:val="24"/>
        </w:rPr>
        <w:t xml:space="preserve"> через «систему чрезвычайного распределения»</w:t>
      </w:r>
      <w:r w:rsidR="005D426C" w:rsidRPr="009618E5">
        <w:rPr>
          <w:szCs w:val="24"/>
        </w:rPr>
        <w:t xml:space="preserve">. Особую роль в этом аспекте будет возложена на секретариат, который сможет </w:t>
      </w:r>
      <w:r w:rsidR="00EB6B81" w:rsidRPr="009618E5">
        <w:rPr>
          <w:szCs w:val="24"/>
        </w:rPr>
        <w:t>активизировать данную систему вне зависимости от давления со стороны того или иного государства.</w:t>
      </w:r>
      <w:r w:rsidR="00090EEA" w:rsidRPr="009618E5">
        <w:rPr>
          <w:szCs w:val="24"/>
        </w:rPr>
        <w:t xml:space="preserve"> Претворение в жизнь всех вышеизложенных уроков не заставило себя долго ждать и в 1974 году в Париже было образовано </w:t>
      </w:r>
      <w:r w:rsidR="00090EEA" w:rsidRPr="009618E5">
        <w:rPr>
          <w:i/>
          <w:szCs w:val="24"/>
        </w:rPr>
        <w:t>Международное энергетическое агентство</w:t>
      </w:r>
      <w:r w:rsidR="00090EEA" w:rsidRPr="009618E5">
        <w:rPr>
          <w:szCs w:val="24"/>
        </w:rPr>
        <w:t xml:space="preserve"> (МЭА), основной целью которого формально стало многостороннее сотрудничество с правительствами государств и бизнесом для безопасного и устойчивого обеспечения энергоресурсами. Де-факто же целью организации была защита интересов государств-импортеров</w:t>
      </w:r>
      <w:r w:rsidR="003A5AD7">
        <w:rPr>
          <w:rStyle w:val="af5"/>
          <w:szCs w:val="24"/>
        </w:rPr>
        <w:footnoteReference w:id="24"/>
      </w:r>
      <w:r w:rsidR="00090EEA" w:rsidRPr="009618E5">
        <w:rPr>
          <w:szCs w:val="24"/>
        </w:rPr>
        <w:t>.</w:t>
      </w:r>
      <w:r w:rsidR="00A85BD8" w:rsidRPr="009618E5">
        <w:rPr>
          <w:szCs w:val="24"/>
        </w:rPr>
        <w:t xml:space="preserve"> На сегодняшний день членами организации являются 29 государств, а возможность вступления определяется членством государства в Организации экономического сотрудничества и развития (ОЭСР). </w:t>
      </w:r>
    </w:p>
    <w:p w14:paraId="19A0B7C1" w14:textId="6B6FA8AF" w:rsidR="007132FE" w:rsidRPr="009618E5" w:rsidRDefault="00D12EA1" w:rsidP="00D12EA1">
      <w:pPr>
        <w:rPr>
          <w:szCs w:val="24"/>
        </w:rPr>
      </w:pPr>
      <w:r w:rsidRPr="009618E5">
        <w:rPr>
          <w:szCs w:val="24"/>
        </w:rPr>
        <w:tab/>
        <w:t xml:space="preserve">С точки зрения статуса, все вышеперечисленные международные организации объединены на основе соглашений и уставов, что позволяет отнести их к категории формальных. Однако, в практике международных отношений, огромную, если не равноправную роль, играют неформальные объединения. С учетом специфики нефтегазовой отрасли, к таким объединениям можно отнести </w:t>
      </w:r>
      <w:r w:rsidRPr="009618E5">
        <w:rPr>
          <w:i/>
          <w:szCs w:val="24"/>
        </w:rPr>
        <w:t>Международный энергетический форум</w:t>
      </w:r>
      <w:r w:rsidRPr="009618E5">
        <w:rPr>
          <w:szCs w:val="24"/>
        </w:rPr>
        <w:t xml:space="preserve"> (МЭФ)</w:t>
      </w:r>
      <w:r w:rsidR="00AD2493" w:rsidRPr="009618E5">
        <w:rPr>
          <w:szCs w:val="24"/>
        </w:rPr>
        <w:t>. Учрежденный в 1991 году как межправительственная некоммерческая организация, на его основе 70 государств мира, обеспечивающие почти 90% мирового спроса и предложения в нефти и газе, имеют возможность проведения глобального энергетического диалога для обеспечения стабильности, транспарентности и предсказуемости рынков с одной стороны, а также удовлетворения интересов импортеров и экспортеров с другой</w:t>
      </w:r>
      <w:r w:rsidR="003A5AD7">
        <w:rPr>
          <w:rStyle w:val="af5"/>
          <w:szCs w:val="24"/>
        </w:rPr>
        <w:footnoteReference w:id="25"/>
      </w:r>
      <w:r w:rsidR="00AD2493" w:rsidRPr="009618E5">
        <w:rPr>
          <w:szCs w:val="24"/>
        </w:rPr>
        <w:t>. Особым достижением в работе МЭФ стало претворение в жизнь инициативы «</w:t>
      </w:r>
      <w:r w:rsidR="00AD2493" w:rsidRPr="009618E5">
        <w:rPr>
          <w:szCs w:val="24"/>
          <w:lang w:val="en-US"/>
        </w:rPr>
        <w:t>Joint</w:t>
      </w:r>
      <w:r w:rsidR="00AD2493" w:rsidRPr="009618E5">
        <w:rPr>
          <w:szCs w:val="24"/>
        </w:rPr>
        <w:t xml:space="preserve"> </w:t>
      </w:r>
      <w:r w:rsidR="00AD2493" w:rsidRPr="009618E5">
        <w:rPr>
          <w:szCs w:val="24"/>
          <w:lang w:val="en-US"/>
        </w:rPr>
        <w:t>Data</w:t>
      </w:r>
      <w:r w:rsidR="00AD2493" w:rsidRPr="009618E5">
        <w:rPr>
          <w:szCs w:val="24"/>
        </w:rPr>
        <w:t xml:space="preserve"> </w:t>
      </w:r>
      <w:r w:rsidR="00AD2493" w:rsidRPr="009618E5">
        <w:rPr>
          <w:szCs w:val="24"/>
          <w:lang w:val="en-US"/>
        </w:rPr>
        <w:t>Initiative</w:t>
      </w:r>
      <w:r w:rsidR="00AD2493" w:rsidRPr="009618E5">
        <w:rPr>
          <w:szCs w:val="24"/>
        </w:rPr>
        <w:t>»</w:t>
      </w:r>
      <w:r w:rsidR="008E0FC3" w:rsidRPr="009618E5">
        <w:rPr>
          <w:szCs w:val="24"/>
        </w:rPr>
        <w:t xml:space="preserve">: руководство со стороны МЭФ и </w:t>
      </w:r>
      <w:r w:rsidR="00AD2493" w:rsidRPr="009618E5">
        <w:rPr>
          <w:szCs w:val="24"/>
        </w:rPr>
        <w:t>поддержк</w:t>
      </w:r>
      <w:r w:rsidR="008E0FC3" w:rsidRPr="009618E5">
        <w:rPr>
          <w:szCs w:val="24"/>
        </w:rPr>
        <w:t>а со стороны</w:t>
      </w:r>
      <w:r w:rsidR="00AD2493" w:rsidRPr="009618E5">
        <w:rPr>
          <w:szCs w:val="24"/>
        </w:rPr>
        <w:t xml:space="preserve"> партнеров и международных организаций (АТЭС, ФСЭГ, МЭА, </w:t>
      </w:r>
      <w:proofErr w:type="spellStart"/>
      <w:r w:rsidR="00AD2493" w:rsidRPr="009618E5">
        <w:rPr>
          <w:szCs w:val="24"/>
        </w:rPr>
        <w:t>Евростат</w:t>
      </w:r>
      <w:proofErr w:type="spellEnd"/>
      <w:r w:rsidR="00AD2493" w:rsidRPr="009618E5">
        <w:rPr>
          <w:szCs w:val="24"/>
        </w:rPr>
        <w:t xml:space="preserve">, ОПЕК, Статистический отдел ООН, </w:t>
      </w:r>
      <w:r w:rsidR="00AD2493" w:rsidRPr="009618E5">
        <w:rPr>
          <w:szCs w:val="24"/>
          <w:lang w:val="en-US"/>
        </w:rPr>
        <w:t>OLADE</w:t>
      </w:r>
      <w:r w:rsidR="00AD2493" w:rsidRPr="009618E5">
        <w:rPr>
          <w:szCs w:val="24"/>
        </w:rPr>
        <w:t xml:space="preserve">) </w:t>
      </w:r>
      <w:r w:rsidR="008E0FC3" w:rsidRPr="009618E5">
        <w:rPr>
          <w:szCs w:val="24"/>
        </w:rPr>
        <w:t xml:space="preserve">позволили решить проблему отсутствия достоверных </w:t>
      </w:r>
      <w:r w:rsidR="008E0FC3" w:rsidRPr="009618E5">
        <w:rPr>
          <w:szCs w:val="24"/>
        </w:rPr>
        <w:lastRenderedPageBreak/>
        <w:t>статистических данных по добыче нефти, повысить осведомленность всех игроков на рынке нефти и</w:t>
      </w:r>
      <w:r w:rsidR="00495DE4" w:rsidRPr="009618E5">
        <w:rPr>
          <w:szCs w:val="24"/>
        </w:rPr>
        <w:t xml:space="preserve">, </w:t>
      </w:r>
      <w:r w:rsidR="008E0FC3" w:rsidRPr="009618E5">
        <w:rPr>
          <w:szCs w:val="24"/>
        </w:rPr>
        <w:t>тем самым, обеспечить необходимую транспарентность</w:t>
      </w:r>
      <w:r w:rsidR="003A5AD7">
        <w:rPr>
          <w:rStyle w:val="af5"/>
          <w:szCs w:val="24"/>
        </w:rPr>
        <w:footnoteReference w:id="26"/>
      </w:r>
      <w:r w:rsidR="008E0FC3" w:rsidRPr="009618E5">
        <w:rPr>
          <w:szCs w:val="24"/>
        </w:rPr>
        <w:t xml:space="preserve">. </w:t>
      </w:r>
    </w:p>
    <w:p w14:paraId="2E321FE6" w14:textId="7DB4FF9A" w:rsidR="00446E9D" w:rsidRPr="009618E5" w:rsidRDefault="00D753A0" w:rsidP="00446E9D">
      <w:pPr>
        <w:ind w:firstLine="708"/>
        <w:rPr>
          <w:szCs w:val="24"/>
        </w:rPr>
      </w:pPr>
      <w:r w:rsidRPr="009618E5">
        <w:rPr>
          <w:szCs w:val="24"/>
        </w:rPr>
        <w:t xml:space="preserve">Другими неформальными площадками являются «Группа семи» (ранее – </w:t>
      </w:r>
      <w:r w:rsidR="00A34B21" w:rsidRPr="009618E5">
        <w:rPr>
          <w:szCs w:val="24"/>
        </w:rPr>
        <w:t>«Группа восьми»</w:t>
      </w:r>
      <w:r w:rsidRPr="009618E5">
        <w:rPr>
          <w:szCs w:val="24"/>
        </w:rPr>
        <w:t>) и «Группа двадцати»,</w:t>
      </w:r>
      <w:r w:rsidR="00A34B21" w:rsidRPr="009618E5">
        <w:rPr>
          <w:szCs w:val="24"/>
        </w:rPr>
        <w:t xml:space="preserve"> а </w:t>
      </w:r>
      <w:r w:rsidRPr="009618E5">
        <w:rPr>
          <w:szCs w:val="24"/>
        </w:rPr>
        <w:t>в ходе саммитов вопросы энергетической безопасности</w:t>
      </w:r>
      <w:r w:rsidR="00A34B21" w:rsidRPr="009618E5">
        <w:rPr>
          <w:szCs w:val="24"/>
        </w:rPr>
        <w:t xml:space="preserve"> и </w:t>
      </w:r>
      <w:r w:rsidRPr="009618E5">
        <w:rPr>
          <w:szCs w:val="24"/>
        </w:rPr>
        <w:t xml:space="preserve">стабильности на рынках углеводородов занимают одно из ведущих позиций. </w:t>
      </w:r>
      <w:r w:rsidR="009F7ED2" w:rsidRPr="009618E5">
        <w:rPr>
          <w:szCs w:val="24"/>
        </w:rPr>
        <w:t xml:space="preserve">Также существует целая сеть формальных и неформальных объединений на региональном уровне, которые занимаются вопросами энергобезопасности, выработкой и регулированием единой энергетической политики в рамках интеграционных объединений (например, Европейская энергетическая хартия 1991 года). </w:t>
      </w:r>
    </w:p>
    <w:p w14:paraId="6F57D73B" w14:textId="6EA3B2AE" w:rsidR="007F3839" w:rsidRPr="009618E5" w:rsidRDefault="007F3839" w:rsidP="00446E9D">
      <w:pPr>
        <w:ind w:firstLine="708"/>
        <w:rPr>
          <w:szCs w:val="24"/>
        </w:rPr>
      </w:pPr>
      <w:r w:rsidRPr="009618E5">
        <w:rPr>
          <w:szCs w:val="24"/>
        </w:rPr>
        <w:t xml:space="preserve">Подводя черту </w:t>
      </w:r>
      <w:r w:rsidR="008C296E" w:rsidRPr="009618E5">
        <w:rPr>
          <w:szCs w:val="24"/>
        </w:rPr>
        <w:t>под международными организациями,</w:t>
      </w:r>
      <w:r w:rsidRPr="009618E5">
        <w:rPr>
          <w:szCs w:val="24"/>
        </w:rPr>
        <w:t xml:space="preserve"> следует отметить, что за достаточно короткий </w:t>
      </w:r>
      <w:r w:rsidR="002E70DA" w:rsidRPr="009618E5">
        <w:rPr>
          <w:szCs w:val="24"/>
        </w:rPr>
        <w:t>промежуток времени</w:t>
      </w:r>
      <w:r w:rsidRPr="009618E5">
        <w:rPr>
          <w:szCs w:val="24"/>
        </w:rPr>
        <w:t xml:space="preserve"> (фактически с 1960 года) сфера межгосударственных нефтегазовых отношений прошла огромным путь от национального уровня к международному</w:t>
      </w:r>
      <w:r w:rsidR="002E70DA" w:rsidRPr="009618E5">
        <w:rPr>
          <w:szCs w:val="24"/>
        </w:rPr>
        <w:t>. Б</w:t>
      </w:r>
      <w:r w:rsidRPr="009618E5">
        <w:rPr>
          <w:szCs w:val="24"/>
        </w:rPr>
        <w:t xml:space="preserve">ыл созданы ряд международных институтов и объединений глобального и регионального уровня, общей целью которых было налаживание диалога между государствами-экспортерами и государствами-импортерами, выработка общих решений, формирование стабильного и предсказуемого рынка нефти и газа. </w:t>
      </w:r>
      <w:r w:rsidR="002E70DA" w:rsidRPr="009618E5">
        <w:rPr>
          <w:szCs w:val="24"/>
        </w:rPr>
        <w:t>Процессы объединения и интеграции стали объективной реальностью по мере усиления глобализационных процессов и формирования глобального рынка нефти и газа, а сопровождающие их экономические и нефтяные кризисы принесли понимание того, что усилия предпринимаемые на национальном уровне для решения глобальных энергетических проблем отныне не являются приемлемыми.</w:t>
      </w:r>
    </w:p>
    <w:p w14:paraId="0F290CBB" w14:textId="67A71D54" w:rsidR="0044424A" w:rsidRPr="009618E5" w:rsidRDefault="003A5AD7" w:rsidP="003A5AD7">
      <w:pPr>
        <w:ind w:firstLine="708"/>
        <w:rPr>
          <w:szCs w:val="24"/>
        </w:rPr>
      </w:pPr>
      <w:r w:rsidRPr="003A5AD7">
        <w:rPr>
          <w:b/>
          <w:bCs/>
          <w:i/>
          <w:iCs/>
          <w:szCs w:val="24"/>
        </w:rPr>
        <w:t>Нефтегазовые компании.</w:t>
      </w:r>
      <w:r>
        <w:rPr>
          <w:szCs w:val="24"/>
        </w:rPr>
        <w:t xml:space="preserve"> </w:t>
      </w:r>
      <w:r w:rsidR="00E006D6" w:rsidRPr="009618E5">
        <w:rPr>
          <w:szCs w:val="24"/>
        </w:rPr>
        <w:t xml:space="preserve">В отличии от международных </w:t>
      </w:r>
      <w:r w:rsidR="006B448D" w:rsidRPr="009618E5">
        <w:rPr>
          <w:szCs w:val="24"/>
        </w:rPr>
        <w:t xml:space="preserve">энергетических </w:t>
      </w:r>
      <w:r w:rsidR="00E006D6" w:rsidRPr="009618E5">
        <w:rPr>
          <w:szCs w:val="24"/>
        </w:rPr>
        <w:t>организаций, возникновение которых носи</w:t>
      </w:r>
      <w:r w:rsidR="0044424A" w:rsidRPr="009618E5">
        <w:rPr>
          <w:szCs w:val="24"/>
        </w:rPr>
        <w:t>ло</w:t>
      </w:r>
      <w:r w:rsidR="00E006D6" w:rsidRPr="009618E5">
        <w:rPr>
          <w:szCs w:val="24"/>
        </w:rPr>
        <w:t xml:space="preserve"> по большей части реакционный характер,</w:t>
      </w:r>
      <w:r w:rsidR="0044424A" w:rsidRPr="009618E5">
        <w:rPr>
          <w:szCs w:val="24"/>
        </w:rPr>
        <w:t xml:space="preserve"> нефтегазовые компании формировались под воздействием всевозрастающей роли нефти и газа в мировом топлив</w:t>
      </w:r>
      <w:r w:rsidR="005D013A" w:rsidRPr="009618E5">
        <w:rPr>
          <w:szCs w:val="24"/>
        </w:rPr>
        <w:t>н</w:t>
      </w:r>
      <w:r w:rsidR="0044424A" w:rsidRPr="009618E5">
        <w:rPr>
          <w:szCs w:val="24"/>
        </w:rPr>
        <w:t xml:space="preserve">о-энергетическом балансе. </w:t>
      </w:r>
      <w:r w:rsidR="002B37C4" w:rsidRPr="009618E5">
        <w:rPr>
          <w:szCs w:val="24"/>
        </w:rPr>
        <w:t>Все нефтегазовые компании мира можно разделить на три условных категории: транснациональные нефтяные корпорации (ТНК), государственные нефтяные компании, независимые компании</w:t>
      </w:r>
      <w:r w:rsidR="00E71F11">
        <w:rPr>
          <w:rStyle w:val="af5"/>
          <w:szCs w:val="24"/>
        </w:rPr>
        <w:footnoteReference w:id="27"/>
      </w:r>
      <w:r w:rsidR="002B37C4" w:rsidRPr="009618E5">
        <w:rPr>
          <w:szCs w:val="24"/>
        </w:rPr>
        <w:t xml:space="preserve">. </w:t>
      </w:r>
    </w:p>
    <w:p w14:paraId="7945F1C2" w14:textId="696BD298" w:rsidR="0044424A" w:rsidRPr="009618E5" w:rsidRDefault="0044424A" w:rsidP="0044424A">
      <w:pPr>
        <w:ind w:firstLine="708"/>
        <w:rPr>
          <w:szCs w:val="24"/>
        </w:rPr>
      </w:pPr>
      <w:r w:rsidRPr="009618E5">
        <w:rPr>
          <w:szCs w:val="24"/>
        </w:rPr>
        <w:t xml:space="preserve">Нефтяные ТНК появились порядка 100 лет назад, некоторые из них стали прямыми наследниками американской нефтяной корпорации </w:t>
      </w:r>
      <w:r w:rsidRPr="009618E5">
        <w:rPr>
          <w:szCs w:val="24"/>
          <w:lang w:val="en-US"/>
        </w:rPr>
        <w:t>Standard</w:t>
      </w:r>
      <w:r w:rsidRPr="009618E5">
        <w:rPr>
          <w:szCs w:val="24"/>
        </w:rPr>
        <w:t xml:space="preserve"> </w:t>
      </w:r>
      <w:r w:rsidRPr="009618E5">
        <w:rPr>
          <w:szCs w:val="24"/>
          <w:lang w:val="en-US"/>
        </w:rPr>
        <w:t>Oil</w:t>
      </w:r>
      <w:r w:rsidRPr="009618E5">
        <w:rPr>
          <w:szCs w:val="24"/>
        </w:rPr>
        <w:t xml:space="preserve"> и, в том или ином виде, продолжают свою деятельность и сегодня, причем находясь на передовых позициях. </w:t>
      </w:r>
      <w:r w:rsidRPr="009618E5">
        <w:rPr>
          <w:szCs w:val="24"/>
        </w:rPr>
        <w:lastRenderedPageBreak/>
        <w:t>Отличительной особенностью ТНК является то, что время существования и накопленный опыт позволили им диверсифицировать структуру и направления деятельности, которая, как правило, через дочерние предприятия осуществляет полный цикл работ: разведка-добыча-транспортировка-переработка-сбыт</w:t>
      </w:r>
      <w:r w:rsidR="00EF1C8A" w:rsidRPr="009618E5">
        <w:rPr>
          <w:szCs w:val="24"/>
        </w:rPr>
        <w:t>; кроме того, крупнейшие ТНК обладают собственным флотом, танкерами, хранилищами и терминалами</w:t>
      </w:r>
      <w:r w:rsidR="00C9131F" w:rsidRPr="009618E5">
        <w:rPr>
          <w:szCs w:val="24"/>
        </w:rPr>
        <w:t xml:space="preserve">. Нельзя не отметить, что многие крупные нефтяные ТНК занимаются добычей и транспортировкой газа, поэтому в глобальных рейтингах чаще используются термины «нефтегазовые» компании. </w:t>
      </w:r>
    </w:p>
    <w:p w14:paraId="3C0F0F0A" w14:textId="614E72CC" w:rsidR="00C9131F" w:rsidRPr="009618E5" w:rsidRDefault="00C9131F" w:rsidP="0044424A">
      <w:pPr>
        <w:ind w:firstLine="708"/>
        <w:rPr>
          <w:szCs w:val="24"/>
        </w:rPr>
      </w:pPr>
      <w:r w:rsidRPr="009618E5">
        <w:rPr>
          <w:szCs w:val="24"/>
        </w:rPr>
        <w:t xml:space="preserve">Государственные нефтегазовые компании в целом соответствуют масштабам деятельности ТНК, однако в силу различий между государственным и частным управлением, они действуют менее эффективно, медленнее проводят изменения и внедряют инновации. </w:t>
      </w:r>
    </w:p>
    <w:p w14:paraId="20CFF3F2" w14:textId="4CC07B3C" w:rsidR="00C9131F" w:rsidRPr="009618E5" w:rsidRDefault="00C9131F" w:rsidP="00782F09">
      <w:pPr>
        <w:ind w:firstLine="708"/>
        <w:rPr>
          <w:szCs w:val="24"/>
        </w:rPr>
      </w:pPr>
      <w:r w:rsidRPr="009618E5">
        <w:rPr>
          <w:szCs w:val="24"/>
        </w:rPr>
        <w:t>Независимые компании обычно функционируют в одном направлении из всей производственной цепочки. Их доля на рынке нефти и газа невелика, а деятельность находится в серьезной зависимости от ситуации на рынке (в отличии от ТНК или госкомпаний, масштабы и ресурсы которых позволяют иметь стратегические резервы для прохождения периода турбулентности</w:t>
      </w:r>
      <w:r w:rsidR="005D013A" w:rsidRPr="009618E5">
        <w:rPr>
          <w:szCs w:val="24"/>
        </w:rPr>
        <w:t>)</w:t>
      </w:r>
      <w:r w:rsidRPr="009618E5">
        <w:rPr>
          <w:szCs w:val="24"/>
        </w:rPr>
        <w:t>.</w:t>
      </w:r>
    </w:p>
    <w:p w14:paraId="662F57D4" w14:textId="4E1C1E95" w:rsidR="006B448D" w:rsidRDefault="00782F09" w:rsidP="006B448D">
      <w:pPr>
        <w:ind w:firstLine="708"/>
        <w:rPr>
          <w:szCs w:val="24"/>
        </w:rPr>
      </w:pPr>
      <w:r w:rsidRPr="009618E5">
        <w:rPr>
          <w:szCs w:val="24"/>
        </w:rPr>
        <w:t xml:space="preserve">Нефтегазовая промышленность является одной из наиболее прибыльных в мире, а потому </w:t>
      </w:r>
      <w:r w:rsidR="000D3173" w:rsidRPr="009618E5">
        <w:rPr>
          <w:szCs w:val="24"/>
        </w:rPr>
        <w:t xml:space="preserve">её </w:t>
      </w:r>
      <w:r w:rsidRPr="009618E5">
        <w:rPr>
          <w:szCs w:val="24"/>
        </w:rPr>
        <w:t xml:space="preserve">компании регулярно занимают передовые места во всевозможных рейтингах крупнейших компаний мира. В соответствии с рейтингом </w:t>
      </w:r>
      <w:r w:rsidRPr="009618E5">
        <w:rPr>
          <w:szCs w:val="24"/>
          <w:lang w:val="en-US"/>
        </w:rPr>
        <w:t>Global</w:t>
      </w:r>
      <w:r w:rsidRPr="009618E5">
        <w:rPr>
          <w:szCs w:val="24"/>
        </w:rPr>
        <w:t xml:space="preserve"> 2000 журнала </w:t>
      </w:r>
      <w:r w:rsidRPr="009618E5">
        <w:rPr>
          <w:szCs w:val="24"/>
          <w:lang w:val="en-US"/>
        </w:rPr>
        <w:t>Forbes</w:t>
      </w:r>
      <w:r w:rsidRPr="009618E5">
        <w:rPr>
          <w:szCs w:val="24"/>
        </w:rPr>
        <w:t xml:space="preserve">, </w:t>
      </w:r>
      <w:r w:rsidR="007B6C30" w:rsidRPr="009618E5">
        <w:rPr>
          <w:szCs w:val="24"/>
        </w:rPr>
        <w:t xml:space="preserve">в 2019 году в топ-10 нефтегазовых компаний вошли: </w:t>
      </w:r>
      <w:r w:rsidR="007B6C30" w:rsidRPr="009618E5">
        <w:rPr>
          <w:szCs w:val="24"/>
          <w:lang w:val="en-US"/>
        </w:rPr>
        <w:t>Royal</w:t>
      </w:r>
      <w:r w:rsidR="007B6C30" w:rsidRPr="009618E5">
        <w:rPr>
          <w:szCs w:val="24"/>
        </w:rPr>
        <w:t xml:space="preserve"> </w:t>
      </w:r>
      <w:r w:rsidR="007B6C30" w:rsidRPr="009618E5">
        <w:rPr>
          <w:szCs w:val="24"/>
          <w:lang w:val="en-US"/>
        </w:rPr>
        <w:t>Dutch</w:t>
      </w:r>
      <w:r w:rsidR="007B6C30" w:rsidRPr="009618E5">
        <w:rPr>
          <w:szCs w:val="24"/>
        </w:rPr>
        <w:t xml:space="preserve"> </w:t>
      </w:r>
      <w:r w:rsidR="007B6C30" w:rsidRPr="009618E5">
        <w:rPr>
          <w:szCs w:val="24"/>
          <w:lang w:val="en-US"/>
        </w:rPr>
        <w:t>Shell</w:t>
      </w:r>
      <w:r w:rsidR="007B6C30" w:rsidRPr="009618E5">
        <w:rPr>
          <w:szCs w:val="24"/>
        </w:rPr>
        <w:t xml:space="preserve"> (#9), </w:t>
      </w:r>
      <w:r w:rsidR="007B6C30" w:rsidRPr="009618E5">
        <w:rPr>
          <w:szCs w:val="24"/>
          <w:lang w:val="en-US"/>
        </w:rPr>
        <w:t>ExxonMobil</w:t>
      </w:r>
      <w:r w:rsidR="007B6C30" w:rsidRPr="009618E5">
        <w:rPr>
          <w:szCs w:val="24"/>
        </w:rPr>
        <w:t xml:space="preserve"> (#11), </w:t>
      </w:r>
      <w:r w:rsidR="007B6C30" w:rsidRPr="009618E5">
        <w:rPr>
          <w:szCs w:val="24"/>
          <w:lang w:val="en-US"/>
        </w:rPr>
        <w:t>Chevron</w:t>
      </w:r>
      <w:r w:rsidR="007B6C30" w:rsidRPr="009618E5">
        <w:rPr>
          <w:szCs w:val="24"/>
        </w:rPr>
        <w:t xml:space="preserve"> (#19), </w:t>
      </w:r>
      <w:r w:rsidR="007B6C30" w:rsidRPr="009618E5">
        <w:rPr>
          <w:szCs w:val="24"/>
          <w:lang w:val="en-US"/>
        </w:rPr>
        <w:t>PetroChina</w:t>
      </w:r>
      <w:r w:rsidR="007B6C30" w:rsidRPr="009618E5">
        <w:rPr>
          <w:szCs w:val="24"/>
        </w:rPr>
        <w:t xml:space="preserve"> (#22), </w:t>
      </w:r>
      <w:r w:rsidR="007B6C30" w:rsidRPr="009618E5">
        <w:rPr>
          <w:szCs w:val="24"/>
          <w:lang w:val="en-US"/>
        </w:rPr>
        <w:t>British</w:t>
      </w:r>
      <w:r w:rsidR="007B6C30" w:rsidRPr="009618E5">
        <w:rPr>
          <w:szCs w:val="24"/>
        </w:rPr>
        <w:t xml:space="preserve"> </w:t>
      </w:r>
      <w:r w:rsidR="007B6C30" w:rsidRPr="009618E5">
        <w:rPr>
          <w:szCs w:val="24"/>
          <w:lang w:val="en-US"/>
        </w:rPr>
        <w:t>Petroleum</w:t>
      </w:r>
      <w:r w:rsidR="007B6C30" w:rsidRPr="009618E5">
        <w:rPr>
          <w:szCs w:val="24"/>
        </w:rPr>
        <w:t xml:space="preserve"> (#24), </w:t>
      </w:r>
      <w:r w:rsidR="007B6C30" w:rsidRPr="009618E5">
        <w:rPr>
          <w:szCs w:val="24"/>
          <w:lang w:val="en-US"/>
        </w:rPr>
        <w:t>Total</w:t>
      </w:r>
      <w:r w:rsidR="007B6C30" w:rsidRPr="009618E5">
        <w:rPr>
          <w:szCs w:val="24"/>
        </w:rPr>
        <w:t xml:space="preserve"> (#25), </w:t>
      </w:r>
      <w:r w:rsidR="007B6C30" w:rsidRPr="009618E5">
        <w:rPr>
          <w:szCs w:val="24"/>
          <w:lang w:val="en-US"/>
        </w:rPr>
        <w:t>Sinopec</w:t>
      </w:r>
      <w:r w:rsidR="007B6C30" w:rsidRPr="009618E5">
        <w:rPr>
          <w:szCs w:val="24"/>
        </w:rPr>
        <w:t xml:space="preserve"> (#35), </w:t>
      </w:r>
      <w:r w:rsidR="007B6C30" w:rsidRPr="009618E5">
        <w:rPr>
          <w:szCs w:val="24"/>
          <w:lang w:val="en-US"/>
        </w:rPr>
        <w:t>Gazprom</w:t>
      </w:r>
      <w:r w:rsidR="007B6C30" w:rsidRPr="009618E5">
        <w:rPr>
          <w:szCs w:val="24"/>
        </w:rPr>
        <w:t xml:space="preserve"> (#40), </w:t>
      </w:r>
      <w:r w:rsidR="007B6C30" w:rsidRPr="009618E5">
        <w:rPr>
          <w:szCs w:val="24"/>
          <w:lang w:val="en-US"/>
        </w:rPr>
        <w:t>Petrobras</w:t>
      </w:r>
      <w:r w:rsidR="007B6C30" w:rsidRPr="009618E5">
        <w:rPr>
          <w:szCs w:val="24"/>
        </w:rPr>
        <w:t xml:space="preserve"> (#50), </w:t>
      </w:r>
      <w:r w:rsidR="007B6C30" w:rsidRPr="009618E5">
        <w:rPr>
          <w:szCs w:val="24"/>
          <w:lang w:val="en-US"/>
        </w:rPr>
        <w:t>Rosneft</w:t>
      </w:r>
      <w:r w:rsidR="007B6C30" w:rsidRPr="009618E5">
        <w:rPr>
          <w:szCs w:val="24"/>
        </w:rPr>
        <w:t xml:space="preserve"> (#52)</w:t>
      </w:r>
      <w:r w:rsidR="00E71F11">
        <w:rPr>
          <w:rStyle w:val="af5"/>
          <w:szCs w:val="24"/>
        </w:rPr>
        <w:footnoteReference w:id="28"/>
      </w:r>
      <w:r w:rsidR="007B6C30" w:rsidRPr="009618E5">
        <w:rPr>
          <w:szCs w:val="24"/>
        </w:rPr>
        <w:t xml:space="preserve">. Критерии для определения позиции в списке включают четыре составляющих: объем продаж, прибыль, совокупные активы и рыночная стоимость. Безусловно, данный рейтинг не является единственным. Аналогично ежегодные рейтинги составляют журнал </w:t>
      </w:r>
      <w:r w:rsidR="007B6C30" w:rsidRPr="009618E5">
        <w:rPr>
          <w:szCs w:val="24"/>
          <w:lang w:val="en-US"/>
        </w:rPr>
        <w:t>Fortune</w:t>
      </w:r>
      <w:r w:rsidR="007B6C30" w:rsidRPr="009618E5">
        <w:rPr>
          <w:szCs w:val="24"/>
        </w:rPr>
        <w:t xml:space="preserve">, газета </w:t>
      </w:r>
      <w:r w:rsidR="007B6C30" w:rsidRPr="009618E5">
        <w:rPr>
          <w:szCs w:val="24"/>
          <w:lang w:val="en-US"/>
        </w:rPr>
        <w:t>Financial</w:t>
      </w:r>
      <w:r w:rsidR="007B6C30" w:rsidRPr="009618E5">
        <w:rPr>
          <w:szCs w:val="24"/>
        </w:rPr>
        <w:t xml:space="preserve"> </w:t>
      </w:r>
      <w:r w:rsidR="007B6C30" w:rsidRPr="009618E5">
        <w:rPr>
          <w:szCs w:val="24"/>
          <w:lang w:val="en-US"/>
        </w:rPr>
        <w:t>Times</w:t>
      </w:r>
      <w:r w:rsidR="007B6C30" w:rsidRPr="009618E5">
        <w:rPr>
          <w:szCs w:val="24"/>
        </w:rPr>
        <w:t xml:space="preserve">, </w:t>
      </w:r>
      <w:r w:rsidR="007B6C30" w:rsidRPr="009618E5">
        <w:rPr>
          <w:szCs w:val="24"/>
          <w:lang w:val="en-US"/>
        </w:rPr>
        <w:t>Business</w:t>
      </w:r>
      <w:r w:rsidR="007B6C30" w:rsidRPr="009618E5">
        <w:rPr>
          <w:szCs w:val="24"/>
        </w:rPr>
        <w:t xml:space="preserve"> </w:t>
      </w:r>
      <w:r w:rsidR="007B6C30" w:rsidRPr="009618E5">
        <w:rPr>
          <w:szCs w:val="24"/>
          <w:lang w:val="en-US"/>
        </w:rPr>
        <w:t>Week</w:t>
      </w:r>
      <w:r w:rsidR="007B6C30" w:rsidRPr="009618E5">
        <w:rPr>
          <w:szCs w:val="24"/>
        </w:rPr>
        <w:t xml:space="preserve">, </w:t>
      </w:r>
      <w:r w:rsidR="007B6C30" w:rsidRPr="009618E5">
        <w:rPr>
          <w:szCs w:val="24"/>
          <w:lang w:val="en-US"/>
        </w:rPr>
        <w:t>Industry</w:t>
      </w:r>
      <w:r w:rsidR="007B6C30" w:rsidRPr="009618E5">
        <w:rPr>
          <w:szCs w:val="24"/>
        </w:rPr>
        <w:t xml:space="preserve"> </w:t>
      </w:r>
      <w:r w:rsidR="007B6C30" w:rsidRPr="009618E5">
        <w:rPr>
          <w:szCs w:val="24"/>
          <w:lang w:val="en-US"/>
        </w:rPr>
        <w:t>Week</w:t>
      </w:r>
      <w:r w:rsidR="007B6C30" w:rsidRPr="009618E5">
        <w:rPr>
          <w:szCs w:val="24"/>
        </w:rPr>
        <w:t xml:space="preserve">, а также специализированные журналы – </w:t>
      </w:r>
      <w:r w:rsidR="007B6C30" w:rsidRPr="009618E5">
        <w:rPr>
          <w:szCs w:val="24"/>
          <w:lang w:val="en-US"/>
        </w:rPr>
        <w:t>Oil</w:t>
      </w:r>
      <w:r w:rsidR="007B6C30" w:rsidRPr="009618E5">
        <w:rPr>
          <w:szCs w:val="24"/>
        </w:rPr>
        <w:t xml:space="preserve"> </w:t>
      </w:r>
      <w:r w:rsidR="007B6C30" w:rsidRPr="009618E5">
        <w:rPr>
          <w:szCs w:val="24"/>
          <w:lang w:val="en-US"/>
        </w:rPr>
        <w:t>and</w:t>
      </w:r>
      <w:r w:rsidR="007B6C30" w:rsidRPr="009618E5">
        <w:rPr>
          <w:szCs w:val="24"/>
        </w:rPr>
        <w:t xml:space="preserve"> </w:t>
      </w:r>
      <w:r w:rsidR="007B6C30" w:rsidRPr="009618E5">
        <w:rPr>
          <w:szCs w:val="24"/>
          <w:lang w:val="en-US"/>
        </w:rPr>
        <w:t>Gas</w:t>
      </w:r>
      <w:r w:rsidR="007B6C30" w:rsidRPr="009618E5">
        <w:rPr>
          <w:szCs w:val="24"/>
        </w:rPr>
        <w:t xml:space="preserve"> </w:t>
      </w:r>
      <w:r w:rsidR="007B6C30" w:rsidRPr="009618E5">
        <w:rPr>
          <w:szCs w:val="24"/>
          <w:lang w:val="en-US"/>
        </w:rPr>
        <w:t>Journal</w:t>
      </w:r>
      <w:r w:rsidR="007B6C30" w:rsidRPr="009618E5">
        <w:rPr>
          <w:szCs w:val="24"/>
        </w:rPr>
        <w:t>. Несмотря на то, что критерии оценки деятельности компаний могут несколько отличаться, список компаний, находящихся на вершине и занимающие большую часть рынка, остается практически неизменным.</w:t>
      </w:r>
      <w:r w:rsidR="00A75EA8" w:rsidRPr="009618E5">
        <w:rPr>
          <w:szCs w:val="24"/>
        </w:rPr>
        <w:t xml:space="preserve"> Стоит отметить, что </w:t>
      </w:r>
      <w:r w:rsidR="00A75EA8" w:rsidRPr="009618E5">
        <w:rPr>
          <w:szCs w:val="24"/>
          <w:lang w:val="en-US"/>
        </w:rPr>
        <w:t>ExxonMobil</w:t>
      </w:r>
      <w:r w:rsidR="00A75EA8" w:rsidRPr="009618E5">
        <w:rPr>
          <w:szCs w:val="24"/>
        </w:rPr>
        <w:t xml:space="preserve">, </w:t>
      </w:r>
      <w:r w:rsidR="00A75EA8" w:rsidRPr="009618E5">
        <w:rPr>
          <w:szCs w:val="24"/>
          <w:lang w:val="de-DE"/>
        </w:rPr>
        <w:t>British</w:t>
      </w:r>
      <w:r w:rsidR="00A75EA8" w:rsidRPr="009618E5">
        <w:rPr>
          <w:szCs w:val="24"/>
        </w:rPr>
        <w:t xml:space="preserve"> </w:t>
      </w:r>
      <w:r w:rsidR="00A75EA8" w:rsidRPr="009618E5">
        <w:rPr>
          <w:szCs w:val="24"/>
          <w:lang w:val="de-DE"/>
        </w:rPr>
        <w:t>Petroleum</w:t>
      </w:r>
      <w:r w:rsidR="00A75EA8" w:rsidRPr="009618E5">
        <w:rPr>
          <w:szCs w:val="24"/>
        </w:rPr>
        <w:t xml:space="preserve"> и </w:t>
      </w:r>
      <w:r w:rsidR="00A75EA8" w:rsidRPr="009618E5">
        <w:rPr>
          <w:szCs w:val="24"/>
          <w:lang w:val="en-US"/>
        </w:rPr>
        <w:t>Chevron</w:t>
      </w:r>
      <w:r w:rsidR="00A75EA8" w:rsidRPr="009618E5">
        <w:rPr>
          <w:szCs w:val="24"/>
        </w:rPr>
        <w:t xml:space="preserve"> являются наследниками </w:t>
      </w:r>
      <w:r w:rsidR="00A75EA8" w:rsidRPr="009618E5">
        <w:rPr>
          <w:szCs w:val="24"/>
          <w:lang w:val="en-US"/>
        </w:rPr>
        <w:t>Standard</w:t>
      </w:r>
      <w:r w:rsidR="00A75EA8" w:rsidRPr="009618E5">
        <w:rPr>
          <w:szCs w:val="24"/>
        </w:rPr>
        <w:t xml:space="preserve"> </w:t>
      </w:r>
      <w:r w:rsidR="00A75EA8" w:rsidRPr="009618E5">
        <w:rPr>
          <w:szCs w:val="24"/>
          <w:lang w:val="en-US"/>
        </w:rPr>
        <w:t>Oil</w:t>
      </w:r>
      <w:r w:rsidR="00A75EA8" w:rsidRPr="009618E5">
        <w:rPr>
          <w:szCs w:val="24"/>
        </w:rPr>
        <w:t xml:space="preserve"> </w:t>
      </w:r>
      <w:r w:rsidR="00A75EA8" w:rsidRPr="009618E5">
        <w:rPr>
          <w:szCs w:val="24"/>
          <w:lang w:val="en-US"/>
        </w:rPr>
        <w:t>Company</w:t>
      </w:r>
      <w:r w:rsidR="00A75EA8" w:rsidRPr="009618E5">
        <w:rPr>
          <w:szCs w:val="24"/>
        </w:rPr>
        <w:t xml:space="preserve">. Кроме того, эти компании, а также </w:t>
      </w:r>
      <w:r w:rsidR="00A75EA8" w:rsidRPr="009618E5">
        <w:rPr>
          <w:szCs w:val="24"/>
          <w:lang w:val="en-US"/>
        </w:rPr>
        <w:t>Royal</w:t>
      </w:r>
      <w:r w:rsidR="00A75EA8" w:rsidRPr="009618E5">
        <w:rPr>
          <w:szCs w:val="24"/>
        </w:rPr>
        <w:t xml:space="preserve"> </w:t>
      </w:r>
      <w:r w:rsidR="00A75EA8" w:rsidRPr="009618E5">
        <w:rPr>
          <w:szCs w:val="24"/>
          <w:lang w:val="en-US"/>
        </w:rPr>
        <w:t>Dutch</w:t>
      </w:r>
      <w:r w:rsidR="00A75EA8" w:rsidRPr="009618E5">
        <w:rPr>
          <w:szCs w:val="24"/>
        </w:rPr>
        <w:t xml:space="preserve"> </w:t>
      </w:r>
      <w:r w:rsidR="00A75EA8" w:rsidRPr="009618E5">
        <w:rPr>
          <w:szCs w:val="24"/>
          <w:lang w:val="en-US"/>
        </w:rPr>
        <w:t>Shell</w:t>
      </w:r>
      <w:r w:rsidR="00A75EA8" w:rsidRPr="009618E5">
        <w:rPr>
          <w:szCs w:val="24"/>
        </w:rPr>
        <w:t xml:space="preserve"> входили в некогда могущественный картель «Семь сестер»</w:t>
      </w:r>
      <w:r w:rsidR="005D013A" w:rsidRPr="009618E5">
        <w:rPr>
          <w:szCs w:val="24"/>
        </w:rPr>
        <w:t>.</w:t>
      </w:r>
    </w:p>
    <w:p w14:paraId="27CE2AF9" w14:textId="5D67A70E" w:rsidR="000C69B0" w:rsidRPr="009618E5" w:rsidRDefault="000C69B0" w:rsidP="000C69B0">
      <w:pPr>
        <w:rPr>
          <w:szCs w:val="24"/>
        </w:rPr>
      </w:pPr>
      <w:r>
        <w:rPr>
          <w:szCs w:val="24"/>
        </w:rPr>
        <w:lastRenderedPageBreak/>
        <w:tab/>
      </w:r>
      <w:r w:rsidRPr="009C4939">
        <w:rPr>
          <w:szCs w:val="24"/>
        </w:rPr>
        <w:t xml:space="preserve">Становление мировых рынков нефти и газа с точки зрения </w:t>
      </w:r>
      <w:r w:rsidR="008228DA" w:rsidRPr="009C4939">
        <w:rPr>
          <w:szCs w:val="24"/>
        </w:rPr>
        <w:t xml:space="preserve">акторов, действующих в данных отраслях, также получило стремительное развитие: конкурентная борьба на рынке привела к тому, что некогда небольшие частные компании стали крупнейшими ТНК, а изначально отсутствовавшее координирование действий привело в конечном счете к появлению международных энергетических организаций – формальных и неформальных, основной целью которых стало обеспеченье стабильности и предсказуемости на рынке энергоресурсов. Помимо этого, нельзя исключать </w:t>
      </w:r>
      <w:r w:rsidR="003F4751" w:rsidRPr="009C4939">
        <w:rPr>
          <w:szCs w:val="24"/>
        </w:rPr>
        <w:t xml:space="preserve">и </w:t>
      </w:r>
      <w:r w:rsidR="008228DA" w:rsidRPr="009C4939">
        <w:rPr>
          <w:szCs w:val="24"/>
        </w:rPr>
        <w:t xml:space="preserve">спекулятивный аспект, в ходе которого «игроки» на бирже, оказывают серьезнейшее влияние </w:t>
      </w:r>
      <w:r w:rsidR="00013213" w:rsidRPr="009C4939">
        <w:rPr>
          <w:szCs w:val="24"/>
        </w:rPr>
        <w:t>на товарное ценообразование и усиливают турбулентность для извлечения прибыли.</w:t>
      </w:r>
      <w:r w:rsidR="00013213">
        <w:rPr>
          <w:szCs w:val="24"/>
        </w:rPr>
        <w:t xml:space="preserve"> </w:t>
      </w:r>
    </w:p>
    <w:p w14:paraId="6BB2803A" w14:textId="69333E55" w:rsidR="0094203F" w:rsidRPr="00E71F11" w:rsidRDefault="00433B53" w:rsidP="00A01447">
      <w:pPr>
        <w:pStyle w:val="3"/>
        <w:numPr>
          <w:ilvl w:val="2"/>
          <w:numId w:val="34"/>
        </w:numPr>
      </w:pPr>
      <w:bookmarkStart w:id="19" w:name="_Toc41500782"/>
      <w:bookmarkStart w:id="20" w:name="_Toc41513177"/>
      <w:r>
        <w:t>Перспективы нефти и газа в структуре глобального энергетического баланса</w:t>
      </w:r>
      <w:bookmarkEnd w:id="19"/>
      <w:bookmarkEnd w:id="20"/>
    </w:p>
    <w:p w14:paraId="4EB634C5" w14:textId="621721B6" w:rsidR="00B10EC9" w:rsidRPr="009618E5" w:rsidRDefault="00B10EC9" w:rsidP="00B65BDF">
      <w:pPr>
        <w:ind w:firstLine="708"/>
        <w:rPr>
          <w:szCs w:val="24"/>
        </w:rPr>
      </w:pPr>
      <w:r w:rsidRPr="009618E5">
        <w:rPr>
          <w:szCs w:val="24"/>
        </w:rPr>
        <w:t>В своей книге «Дипломатия», Генри Киссинджер писал о том, что каждое столетие возникает страна, способная изменять сложившуюся в мире систему международных отношений и подстраивать её под свою собственную систему ценностей. Так, Франция оставила за собой XVII век, Великобритания – XVIII, XIX же был справедливо разделен между Австрией Меттерниха и Германией Бисмарка, XX век – вне всякого сомнения стал веком США, а в XXI - все больше внимания уделяется смещению центра силы в Китай</w:t>
      </w:r>
      <w:r w:rsidR="00433B53">
        <w:rPr>
          <w:rStyle w:val="af5"/>
          <w:szCs w:val="24"/>
        </w:rPr>
        <w:footnoteReference w:id="29"/>
      </w:r>
      <w:r w:rsidRPr="009618E5">
        <w:rPr>
          <w:szCs w:val="24"/>
        </w:rPr>
        <w:t>. Аналогичный закономерный процесс наблюдается и в сфере энергоресурсов. Так, в структуре мирового потребления энергоресурсов в XIX - начале XX-го века, главенствующую роль занимал уголь, в XX же веке, развитие технологий вывело на авансцену нового игрока – нефть, доля которой к 2000-му году достигла 36% при одновременном снижении доли угля до 23%.  В XXI веке, на фоне развития дискурса об изменении климатических условий, дальнейшего развития технологий добычи ископаемых ресурсов (сланцевая революция), роста доли альтернативных источников электроэнергии происходит очередной этап смены главенствующего игрока в структуре мирового топливно-энергетического баланса – эстафета переходит от нефти к природному газу. И хотя формально нефть, занимая 31% в корзине мирового потребления, остается лидером, процесс передачи власти уже начался, а доля природного газа достигла 21%</w:t>
      </w:r>
      <w:r w:rsidR="00433B53">
        <w:rPr>
          <w:szCs w:val="24"/>
        </w:rPr>
        <w:t xml:space="preserve"> </w:t>
      </w:r>
      <w:r w:rsidR="00433B53">
        <w:rPr>
          <w:rStyle w:val="af5"/>
          <w:szCs w:val="24"/>
        </w:rPr>
        <w:footnoteReference w:id="30"/>
      </w:r>
      <w:r w:rsidRPr="009618E5">
        <w:rPr>
          <w:szCs w:val="24"/>
        </w:rPr>
        <w:t xml:space="preserve">. Будучи экологически чистым видом ископаемого топлива, природный газ укрепляет свои позиции в странах, наиболее активно продвигающих экологическую повестку и борьбу с изменением климата. </w:t>
      </w:r>
      <w:r w:rsidR="00B65BDF" w:rsidRPr="009618E5">
        <w:rPr>
          <w:szCs w:val="24"/>
        </w:rPr>
        <w:t xml:space="preserve">Источником объективности и достоверности подобного заявления являются многочисленные долгосрочные прогнозы ТНК, международных организаций и </w:t>
      </w:r>
      <w:r w:rsidR="00B65BDF" w:rsidRPr="009618E5">
        <w:rPr>
          <w:szCs w:val="24"/>
        </w:rPr>
        <w:lastRenderedPageBreak/>
        <w:t xml:space="preserve">экспертных сообществ, на основе которых можно сделать сводный консенсус-прогноз в отношении трансформации структуры мирового энергетического баланса. </w:t>
      </w:r>
    </w:p>
    <w:p w14:paraId="6158D79B" w14:textId="318909EB" w:rsidR="00B65BDF" w:rsidRPr="009618E5" w:rsidRDefault="00595E7E" w:rsidP="00B65BDF">
      <w:pPr>
        <w:ind w:firstLine="708"/>
        <w:rPr>
          <w:szCs w:val="24"/>
        </w:rPr>
      </w:pPr>
      <w:r w:rsidRPr="009618E5">
        <w:rPr>
          <w:szCs w:val="24"/>
        </w:rPr>
        <w:t xml:space="preserve">Опубликованный в 2019 году </w:t>
      </w:r>
      <w:r w:rsidRPr="009618E5">
        <w:rPr>
          <w:szCs w:val="24"/>
          <w:lang w:val="en-US"/>
        </w:rPr>
        <w:t>Shell</w:t>
      </w:r>
      <w:r w:rsidRPr="009618E5">
        <w:rPr>
          <w:szCs w:val="24"/>
        </w:rPr>
        <w:t xml:space="preserve"> </w:t>
      </w:r>
      <w:r w:rsidRPr="009618E5">
        <w:rPr>
          <w:szCs w:val="24"/>
          <w:lang w:val="en-US"/>
        </w:rPr>
        <w:t>Energy</w:t>
      </w:r>
      <w:r w:rsidRPr="009618E5">
        <w:rPr>
          <w:szCs w:val="24"/>
        </w:rPr>
        <w:t xml:space="preserve"> </w:t>
      </w:r>
      <w:r w:rsidRPr="009618E5">
        <w:rPr>
          <w:szCs w:val="24"/>
          <w:lang w:val="en-US"/>
        </w:rPr>
        <w:t>Transition</w:t>
      </w:r>
      <w:r w:rsidRPr="009618E5">
        <w:rPr>
          <w:szCs w:val="24"/>
        </w:rPr>
        <w:t xml:space="preserve"> </w:t>
      </w:r>
      <w:r w:rsidRPr="009618E5">
        <w:rPr>
          <w:szCs w:val="24"/>
          <w:lang w:val="en-US"/>
        </w:rPr>
        <w:t>Report</w:t>
      </w:r>
      <w:r w:rsidRPr="009618E5">
        <w:rPr>
          <w:szCs w:val="24"/>
        </w:rPr>
        <w:t xml:space="preserve"> предоставляет три возможных сценария трансформации мирового энергопотребления с условными названиями </w:t>
      </w:r>
      <w:r w:rsidRPr="009618E5">
        <w:rPr>
          <w:szCs w:val="24"/>
          <w:lang w:val="en-US"/>
        </w:rPr>
        <w:t>Mountains</w:t>
      </w:r>
      <w:r w:rsidRPr="009618E5">
        <w:rPr>
          <w:szCs w:val="24"/>
        </w:rPr>
        <w:t xml:space="preserve">, </w:t>
      </w:r>
      <w:r w:rsidRPr="009618E5">
        <w:rPr>
          <w:szCs w:val="24"/>
          <w:lang w:val="en-US"/>
        </w:rPr>
        <w:t>Oceans</w:t>
      </w:r>
      <w:r w:rsidRPr="009618E5">
        <w:rPr>
          <w:szCs w:val="24"/>
        </w:rPr>
        <w:t xml:space="preserve">, </w:t>
      </w:r>
      <w:r w:rsidRPr="009618E5">
        <w:rPr>
          <w:szCs w:val="24"/>
          <w:lang w:val="en-US"/>
        </w:rPr>
        <w:t>Sky</w:t>
      </w:r>
      <w:r w:rsidR="00433B53">
        <w:rPr>
          <w:rStyle w:val="af5"/>
          <w:szCs w:val="24"/>
          <w:lang w:val="en-US"/>
        </w:rPr>
        <w:footnoteReference w:id="31"/>
      </w:r>
      <w:r w:rsidRPr="009618E5">
        <w:rPr>
          <w:szCs w:val="24"/>
        </w:rPr>
        <w:t xml:space="preserve">. Ключевым различием между ними является взаимодействие между государствами, бизнес-структурами и потребителями. В сценарии </w:t>
      </w:r>
      <w:r w:rsidRPr="009618E5">
        <w:rPr>
          <w:szCs w:val="24"/>
          <w:lang w:val="en-US"/>
        </w:rPr>
        <w:t>Mountains</w:t>
      </w:r>
      <w:r w:rsidRPr="009618E5">
        <w:rPr>
          <w:szCs w:val="24"/>
        </w:rPr>
        <w:t xml:space="preserve"> основная роль отводится государствам и правительствам, </w:t>
      </w:r>
      <w:r w:rsidR="00BB3CE8" w:rsidRPr="009618E5">
        <w:rPr>
          <w:szCs w:val="24"/>
        </w:rPr>
        <w:t xml:space="preserve">сотрудничество которых обеспечивает стабильность и защиту национальных интересов. Напротив, в сценарии </w:t>
      </w:r>
      <w:r w:rsidR="00BB3CE8" w:rsidRPr="009618E5">
        <w:rPr>
          <w:szCs w:val="24"/>
          <w:lang w:val="en-US"/>
        </w:rPr>
        <w:t>Oceans</w:t>
      </w:r>
      <w:r w:rsidR="00BB3CE8" w:rsidRPr="009618E5">
        <w:rPr>
          <w:szCs w:val="24"/>
        </w:rPr>
        <w:t xml:space="preserve"> основная роль отводится частной инициативе и бизнес-структурам, которые в условиях рыночной конкуренции выступают двигателем изменений. Тем не менее отмечается, что достижение масштабных скоординированных инициатив в ходе реализации данного сценария может быть затруднено. В обоих сценариях предполагается достижение </w:t>
      </w:r>
      <w:r w:rsidR="00BB3CE8" w:rsidRPr="009618E5">
        <w:rPr>
          <w:szCs w:val="24"/>
          <w:lang w:val="en-US"/>
        </w:rPr>
        <w:t>net</w:t>
      </w:r>
      <w:r w:rsidR="00BB3CE8" w:rsidRPr="009618E5">
        <w:rPr>
          <w:szCs w:val="24"/>
        </w:rPr>
        <w:t>-</w:t>
      </w:r>
      <w:r w:rsidR="00BB3CE8" w:rsidRPr="009618E5">
        <w:rPr>
          <w:szCs w:val="24"/>
          <w:lang w:val="en-US"/>
        </w:rPr>
        <w:t>zero</w:t>
      </w:r>
      <w:r w:rsidR="00BB3CE8" w:rsidRPr="009618E5">
        <w:rPr>
          <w:szCs w:val="24"/>
        </w:rPr>
        <w:t xml:space="preserve"> </w:t>
      </w:r>
      <w:r w:rsidR="00BB3CE8" w:rsidRPr="009618E5">
        <w:rPr>
          <w:szCs w:val="24"/>
          <w:lang w:val="en-US"/>
        </w:rPr>
        <w:t>emissions</w:t>
      </w:r>
      <w:r w:rsidR="00BB3CE8" w:rsidRPr="009618E5">
        <w:rPr>
          <w:szCs w:val="24"/>
        </w:rPr>
        <w:t xml:space="preserve"> к концу столетия, однако не выполняется цель Парижских соглашений по климату в части удержания роста средней температуры. В сценарии </w:t>
      </w:r>
      <w:r w:rsidR="00BB3CE8" w:rsidRPr="009618E5">
        <w:rPr>
          <w:szCs w:val="24"/>
          <w:lang w:val="en-US"/>
        </w:rPr>
        <w:t>Sky</w:t>
      </w:r>
      <w:r w:rsidR="00BB3CE8" w:rsidRPr="009618E5">
        <w:rPr>
          <w:szCs w:val="24"/>
        </w:rPr>
        <w:t xml:space="preserve"> </w:t>
      </w:r>
      <w:r w:rsidR="003627BD" w:rsidRPr="009618E5">
        <w:rPr>
          <w:szCs w:val="24"/>
        </w:rPr>
        <w:t xml:space="preserve">движущей силой является общество, которое при поддержке правительства сумеет достичь реализовать цели Парижских соглашений по климату, а также достигнет </w:t>
      </w:r>
      <w:r w:rsidR="003627BD" w:rsidRPr="009618E5">
        <w:rPr>
          <w:szCs w:val="24"/>
          <w:lang w:val="en-US"/>
        </w:rPr>
        <w:t>net</w:t>
      </w:r>
      <w:r w:rsidR="003627BD" w:rsidRPr="009618E5">
        <w:rPr>
          <w:szCs w:val="24"/>
        </w:rPr>
        <w:t>-</w:t>
      </w:r>
      <w:r w:rsidR="003627BD" w:rsidRPr="009618E5">
        <w:rPr>
          <w:szCs w:val="24"/>
          <w:lang w:val="en-US"/>
        </w:rPr>
        <w:t>zero</w:t>
      </w:r>
      <w:r w:rsidR="003627BD" w:rsidRPr="009618E5">
        <w:rPr>
          <w:szCs w:val="24"/>
        </w:rPr>
        <w:t xml:space="preserve"> </w:t>
      </w:r>
      <w:r w:rsidR="003627BD" w:rsidRPr="009618E5">
        <w:rPr>
          <w:szCs w:val="24"/>
          <w:lang w:val="en-US"/>
        </w:rPr>
        <w:t>emissions</w:t>
      </w:r>
      <w:r w:rsidR="003627BD" w:rsidRPr="009618E5">
        <w:rPr>
          <w:szCs w:val="24"/>
        </w:rPr>
        <w:t xml:space="preserve"> к 2070 году</w:t>
      </w:r>
      <w:r w:rsidR="004965B9">
        <w:rPr>
          <w:rStyle w:val="af5"/>
          <w:szCs w:val="24"/>
        </w:rPr>
        <w:footnoteReference w:id="32"/>
      </w:r>
      <w:r w:rsidR="003627BD" w:rsidRPr="009618E5">
        <w:rPr>
          <w:szCs w:val="24"/>
        </w:rPr>
        <w:t xml:space="preserve">. </w:t>
      </w:r>
    </w:p>
    <w:p w14:paraId="53F30092" w14:textId="25633707" w:rsidR="00715B2A" w:rsidRPr="009618E5" w:rsidRDefault="00715B2A" w:rsidP="004965B9">
      <w:pPr>
        <w:ind w:firstLine="708"/>
        <w:rPr>
          <w:szCs w:val="24"/>
        </w:rPr>
      </w:pPr>
      <w:r w:rsidRPr="009618E5">
        <w:rPr>
          <w:szCs w:val="24"/>
        </w:rPr>
        <w:t xml:space="preserve">Структура энергопотребления в регионах в целом отражает прогнозные изменения в сценарии </w:t>
      </w:r>
      <w:r w:rsidRPr="009618E5">
        <w:rPr>
          <w:szCs w:val="24"/>
          <w:lang w:val="en-US"/>
        </w:rPr>
        <w:t>Sky</w:t>
      </w:r>
      <w:r w:rsidRPr="009618E5">
        <w:rPr>
          <w:szCs w:val="24"/>
        </w:rPr>
        <w:t xml:space="preserve">, однако с учетом географической специфики. Так, к 2070 году доля нефти и газа </w:t>
      </w:r>
      <w:r w:rsidR="00784573" w:rsidRPr="009618E5">
        <w:rPr>
          <w:szCs w:val="24"/>
        </w:rPr>
        <w:t>в Северной Америке и в Европе достигнет минимальных значений и будет компенсирована за счет солнечной и ветроэнергетики</w:t>
      </w:r>
      <w:r w:rsidR="004965B9">
        <w:rPr>
          <w:rStyle w:val="af5"/>
          <w:szCs w:val="24"/>
        </w:rPr>
        <w:footnoteReference w:id="33"/>
      </w:r>
      <w:r w:rsidR="00784573" w:rsidRPr="009618E5">
        <w:rPr>
          <w:szCs w:val="24"/>
        </w:rPr>
        <w:t>.</w:t>
      </w:r>
    </w:p>
    <w:p w14:paraId="2373E138" w14:textId="2FE02AD2" w:rsidR="00456FA2" w:rsidRPr="009618E5" w:rsidRDefault="00456FA2" w:rsidP="004965B9">
      <w:pPr>
        <w:ind w:firstLine="708"/>
        <w:rPr>
          <w:szCs w:val="24"/>
        </w:rPr>
      </w:pPr>
      <w:r w:rsidRPr="009618E5">
        <w:rPr>
          <w:szCs w:val="24"/>
        </w:rPr>
        <w:t xml:space="preserve">В соответствии с прогнозом компании </w:t>
      </w:r>
      <w:r w:rsidRPr="009618E5">
        <w:rPr>
          <w:szCs w:val="24"/>
          <w:lang w:val="en-US"/>
        </w:rPr>
        <w:t>Exxon</w:t>
      </w:r>
      <w:r w:rsidRPr="009618E5">
        <w:rPr>
          <w:szCs w:val="24"/>
        </w:rPr>
        <w:t xml:space="preserve"> </w:t>
      </w:r>
      <w:r w:rsidR="00A06E54" w:rsidRPr="009618E5">
        <w:rPr>
          <w:szCs w:val="24"/>
          <w:lang w:val="en-US"/>
        </w:rPr>
        <w:t>Mobil</w:t>
      </w:r>
      <w:r w:rsidRPr="009618E5">
        <w:rPr>
          <w:szCs w:val="24"/>
        </w:rPr>
        <w:t xml:space="preserve"> к 2040 году нефть продолжит играть ведущую роль в мировом энергобалансе. Потребление природного газа будет расти быстрее чем остальные виды энергетики и достигнет к 2040 году 25%. Доля угля снизится ниже 20%, а его использование будет носить строго региональный характер</w:t>
      </w:r>
      <w:r w:rsidR="004965B9">
        <w:rPr>
          <w:rStyle w:val="af5"/>
          <w:szCs w:val="24"/>
        </w:rPr>
        <w:footnoteReference w:id="34"/>
      </w:r>
      <w:r w:rsidRPr="009618E5">
        <w:rPr>
          <w:szCs w:val="24"/>
        </w:rPr>
        <w:t>. Отмечается, что к 2040 году Китай и Индия будут составлять 50 % мирового энергетического спроса, а доля стран не входящих в ОЭСР – 70%. Совокупная доля энергопотребления США и стран ОЭСР в Европе будет составлять к 2040 году менее 25%</w:t>
      </w:r>
      <w:r w:rsidR="004965B9">
        <w:rPr>
          <w:rStyle w:val="af5"/>
          <w:szCs w:val="24"/>
        </w:rPr>
        <w:footnoteReference w:id="35"/>
      </w:r>
      <w:r w:rsidRPr="009618E5">
        <w:rPr>
          <w:szCs w:val="24"/>
        </w:rPr>
        <w:t xml:space="preserve">. </w:t>
      </w:r>
    </w:p>
    <w:p w14:paraId="27CFD3D6" w14:textId="7D8310DF" w:rsidR="00456FA2" w:rsidRDefault="00225C59" w:rsidP="00456FA2">
      <w:pPr>
        <w:ind w:firstLine="708"/>
        <w:rPr>
          <w:szCs w:val="24"/>
        </w:rPr>
      </w:pPr>
      <w:r w:rsidRPr="009618E5">
        <w:rPr>
          <w:szCs w:val="24"/>
        </w:rPr>
        <w:lastRenderedPageBreak/>
        <w:t>В соответствии с п</w:t>
      </w:r>
      <w:r w:rsidR="00456FA2" w:rsidRPr="009618E5">
        <w:rPr>
          <w:szCs w:val="24"/>
        </w:rPr>
        <w:t>рогноз</w:t>
      </w:r>
      <w:r w:rsidRPr="009618E5">
        <w:rPr>
          <w:szCs w:val="24"/>
        </w:rPr>
        <w:t>ом компании</w:t>
      </w:r>
      <w:r w:rsidR="00456FA2" w:rsidRPr="009618E5">
        <w:rPr>
          <w:szCs w:val="24"/>
        </w:rPr>
        <w:t xml:space="preserve"> </w:t>
      </w:r>
      <w:r w:rsidR="00456FA2" w:rsidRPr="009618E5">
        <w:rPr>
          <w:szCs w:val="24"/>
          <w:lang w:val="en-US"/>
        </w:rPr>
        <w:t>B</w:t>
      </w:r>
      <w:r w:rsidR="00380E8F">
        <w:rPr>
          <w:szCs w:val="24"/>
          <w:lang w:val="en-US"/>
        </w:rPr>
        <w:t>ritish</w:t>
      </w:r>
      <w:r w:rsidR="00380E8F" w:rsidRPr="00380E8F">
        <w:rPr>
          <w:szCs w:val="24"/>
        </w:rPr>
        <w:t xml:space="preserve"> </w:t>
      </w:r>
      <w:r w:rsidR="00456FA2" w:rsidRPr="009618E5">
        <w:rPr>
          <w:szCs w:val="24"/>
          <w:lang w:val="en-US"/>
        </w:rPr>
        <w:t>P</w:t>
      </w:r>
      <w:r w:rsidR="00380E8F">
        <w:rPr>
          <w:szCs w:val="24"/>
          <w:lang w:val="en-US"/>
        </w:rPr>
        <w:t>etroleum</w:t>
      </w:r>
      <w:r w:rsidR="00456FA2" w:rsidRPr="009618E5">
        <w:rPr>
          <w:szCs w:val="24"/>
        </w:rPr>
        <w:t xml:space="preserve"> </w:t>
      </w:r>
      <w:r w:rsidRPr="009618E5">
        <w:rPr>
          <w:szCs w:val="24"/>
        </w:rPr>
        <w:t>до 2040 года переход к низкоуглеродной энергетической системе будет осуществляться за счет роста потребления природного газа и возобновляемых источников, а их совместная доля в общем приросте энергопотребления составит 85%</w:t>
      </w:r>
      <w:r w:rsidR="004A7A19">
        <w:rPr>
          <w:rStyle w:val="af5"/>
          <w:szCs w:val="24"/>
        </w:rPr>
        <w:footnoteReference w:id="36"/>
      </w:r>
      <w:r w:rsidRPr="009618E5">
        <w:rPr>
          <w:szCs w:val="24"/>
        </w:rPr>
        <w:t>. Доля возобновляемых источников вырастет с сегодняшних 4% до 15% к 2040 году при среднегодовом росте на 7,1%. Темпы прироста потребления природного газа составят 1,7%, что сделает его 2-м крупнейшим источником в структуре глобального энергопотребления. Потребление нефти будет расти на 0,3% в год до 2030 года и после будет сохраняться на одном уровне</w:t>
      </w:r>
      <w:r w:rsidR="004A7A19" w:rsidRPr="004A7A19">
        <w:rPr>
          <w:szCs w:val="24"/>
        </w:rPr>
        <w:t xml:space="preserve"> </w:t>
      </w:r>
      <w:r w:rsidR="004A7A19">
        <w:rPr>
          <w:rStyle w:val="af5"/>
          <w:szCs w:val="24"/>
        </w:rPr>
        <w:footnoteReference w:id="37"/>
      </w:r>
      <w:r w:rsidRPr="009618E5">
        <w:rPr>
          <w:szCs w:val="24"/>
        </w:rPr>
        <w:t xml:space="preserve">. </w:t>
      </w:r>
    </w:p>
    <w:p w14:paraId="23608171" w14:textId="2854B74E" w:rsidR="00456FA2" w:rsidRPr="003B6A89" w:rsidRDefault="00380E8F" w:rsidP="00380E8F">
      <w:pPr>
        <w:ind w:firstLine="708"/>
        <w:rPr>
          <w:noProof/>
          <w:szCs w:val="24"/>
        </w:rPr>
      </w:pPr>
      <w:r>
        <w:rPr>
          <w:szCs w:val="24"/>
        </w:rPr>
        <w:t>В своем отчете «</w:t>
      </w:r>
      <w:r>
        <w:rPr>
          <w:szCs w:val="24"/>
          <w:lang w:val="en-US"/>
        </w:rPr>
        <w:t>World</w:t>
      </w:r>
      <w:r w:rsidRPr="00380E8F">
        <w:rPr>
          <w:szCs w:val="24"/>
        </w:rPr>
        <w:t xml:space="preserve"> </w:t>
      </w:r>
      <w:r>
        <w:rPr>
          <w:szCs w:val="24"/>
          <w:lang w:val="en-US"/>
        </w:rPr>
        <w:t>Oil</w:t>
      </w:r>
      <w:r w:rsidRPr="00380E8F">
        <w:rPr>
          <w:szCs w:val="24"/>
        </w:rPr>
        <w:t xml:space="preserve"> </w:t>
      </w:r>
      <w:r>
        <w:rPr>
          <w:szCs w:val="24"/>
          <w:lang w:val="en-US"/>
        </w:rPr>
        <w:t>Outlook</w:t>
      </w:r>
      <w:r>
        <w:rPr>
          <w:szCs w:val="24"/>
        </w:rPr>
        <w:t>»</w:t>
      </w:r>
      <w:r w:rsidRPr="00380E8F">
        <w:rPr>
          <w:szCs w:val="24"/>
        </w:rPr>
        <w:t xml:space="preserve"> </w:t>
      </w:r>
      <w:r>
        <w:rPr>
          <w:szCs w:val="24"/>
        </w:rPr>
        <w:t>ОПЕК приводит несколько другие данные. Его прогноз, как и все предыдущие, исходит из постепенного снижения доли стран ОЭСР в Европе в глобальном энергопотреблении с 12,4% до 9,5% к 2040-му году. Наибольший прирост придется на Индию: с 6,9% до 10,7%. Структура энергопотребления по видам топлива также будет трансформироваться: доля нефти и угля снизится с текущих 30,9% до 27,1% и с 27% до 23,2% соответственно. Доля природного газа, наоборот, будет стремительно расти – 21,9% до 25,1%</w:t>
      </w:r>
      <w:r w:rsidR="00BE3E6B" w:rsidRPr="003B6A89">
        <w:rPr>
          <w:szCs w:val="24"/>
        </w:rPr>
        <w:t xml:space="preserve"> </w:t>
      </w:r>
      <w:r w:rsidR="004A7A19">
        <w:rPr>
          <w:rStyle w:val="af5"/>
          <w:szCs w:val="24"/>
          <w:lang w:val="en-US"/>
        </w:rPr>
        <w:footnoteReference w:id="38"/>
      </w:r>
      <w:r>
        <w:rPr>
          <w:szCs w:val="24"/>
        </w:rPr>
        <w:t>.</w:t>
      </w:r>
      <w:r w:rsidR="00BE3E6B">
        <w:rPr>
          <w:szCs w:val="24"/>
        </w:rPr>
        <w:t xml:space="preserve"> </w:t>
      </w:r>
    </w:p>
    <w:p w14:paraId="2EAAE037" w14:textId="72BF45BF" w:rsidR="00142BE7" w:rsidRDefault="00380E8F" w:rsidP="00380E8F">
      <w:pPr>
        <w:rPr>
          <w:szCs w:val="24"/>
        </w:rPr>
      </w:pPr>
      <w:r>
        <w:rPr>
          <w:szCs w:val="24"/>
        </w:rPr>
        <w:tab/>
      </w:r>
      <w:r w:rsidR="00142BE7">
        <w:rPr>
          <w:szCs w:val="24"/>
        </w:rPr>
        <w:t>Форум стран-экспортеров газа в своем прогнозе до 2050 года исходит из того, что доля ископаемых видов топлива продолжит доминировать и составит 71% к 2050 году против 81% в 2018. Нефть останется важным источником энергии, однако её доля снизится до 26%. Использование угля будет снижаться более стремительными темпами и к 2050 году его доля в структуре энергопотребления составит 18%. В свою очередь, природный газ станет единственным углеводородом, чья доля будет расти: с нынешних 23% до 27%. Прогноз потребления в регионах говорит о</w:t>
      </w:r>
      <w:r w:rsidR="00142BE7" w:rsidRPr="00142BE7">
        <w:rPr>
          <w:szCs w:val="24"/>
        </w:rPr>
        <w:t xml:space="preserve"> </w:t>
      </w:r>
      <w:r w:rsidR="00142BE7">
        <w:rPr>
          <w:szCs w:val="24"/>
        </w:rPr>
        <w:t>существенном приросте энергопотребления в странах</w:t>
      </w:r>
      <w:r w:rsidR="00142BE7" w:rsidRPr="00142BE7">
        <w:rPr>
          <w:szCs w:val="24"/>
        </w:rPr>
        <w:t xml:space="preserve"> </w:t>
      </w:r>
      <w:r w:rsidR="00142BE7">
        <w:rPr>
          <w:szCs w:val="24"/>
        </w:rPr>
        <w:t>Азиатско-Тихоокеанского региона и Африке до 46% и 11% соответственно</w:t>
      </w:r>
      <w:r w:rsidR="004A7A19">
        <w:rPr>
          <w:rStyle w:val="af5"/>
          <w:szCs w:val="24"/>
        </w:rPr>
        <w:footnoteReference w:id="39"/>
      </w:r>
      <w:r w:rsidR="00142BE7">
        <w:rPr>
          <w:szCs w:val="24"/>
        </w:rPr>
        <w:t>.</w:t>
      </w:r>
      <w:r w:rsidR="00DA2619">
        <w:rPr>
          <w:szCs w:val="24"/>
        </w:rPr>
        <w:t xml:space="preserve"> </w:t>
      </w:r>
      <w:r w:rsidR="00142BE7">
        <w:rPr>
          <w:szCs w:val="24"/>
        </w:rPr>
        <w:t>Энергопотребление в странах Европы по итогам прогнозируемого периода снизится. Этому будут способствовать достижения</w:t>
      </w:r>
      <w:r w:rsidR="00142BE7" w:rsidRPr="00142BE7">
        <w:rPr>
          <w:szCs w:val="24"/>
        </w:rPr>
        <w:t xml:space="preserve"> в </w:t>
      </w:r>
      <w:r w:rsidR="00142BE7">
        <w:rPr>
          <w:szCs w:val="24"/>
        </w:rPr>
        <w:t>сфере</w:t>
      </w:r>
      <w:r w:rsidR="00142BE7" w:rsidRPr="00142BE7">
        <w:rPr>
          <w:szCs w:val="24"/>
        </w:rPr>
        <w:t xml:space="preserve"> энергоемкости, переход на более </w:t>
      </w:r>
      <w:r w:rsidR="00142BE7">
        <w:rPr>
          <w:szCs w:val="24"/>
        </w:rPr>
        <w:t>энерго</w:t>
      </w:r>
      <w:r w:rsidR="00142BE7" w:rsidRPr="00142BE7">
        <w:rPr>
          <w:szCs w:val="24"/>
        </w:rPr>
        <w:t>эффективные технологии</w:t>
      </w:r>
      <w:r w:rsidR="00142BE7">
        <w:rPr>
          <w:szCs w:val="24"/>
        </w:rPr>
        <w:t>. Не менее весомое</w:t>
      </w:r>
      <w:r w:rsidR="00142BE7" w:rsidRPr="00142BE7">
        <w:rPr>
          <w:szCs w:val="24"/>
        </w:rPr>
        <w:t xml:space="preserve"> воздействие </w:t>
      </w:r>
      <w:r w:rsidR="00142BE7">
        <w:rPr>
          <w:szCs w:val="24"/>
        </w:rPr>
        <w:t xml:space="preserve">окажет проводимая </w:t>
      </w:r>
      <w:r w:rsidR="00142BE7" w:rsidRPr="00142BE7">
        <w:rPr>
          <w:szCs w:val="24"/>
        </w:rPr>
        <w:t>энергетическ</w:t>
      </w:r>
      <w:r w:rsidR="00142BE7">
        <w:rPr>
          <w:szCs w:val="24"/>
        </w:rPr>
        <w:t xml:space="preserve">ая </w:t>
      </w:r>
      <w:r w:rsidR="00142BE7" w:rsidRPr="00142BE7">
        <w:rPr>
          <w:szCs w:val="24"/>
        </w:rPr>
        <w:t>политик</w:t>
      </w:r>
      <w:r w:rsidR="00142BE7">
        <w:rPr>
          <w:szCs w:val="24"/>
        </w:rPr>
        <w:t>а</w:t>
      </w:r>
      <w:r w:rsidR="00142BE7" w:rsidRPr="00142BE7">
        <w:rPr>
          <w:szCs w:val="24"/>
        </w:rPr>
        <w:t xml:space="preserve">, </w:t>
      </w:r>
      <w:r w:rsidR="00142BE7">
        <w:rPr>
          <w:szCs w:val="24"/>
        </w:rPr>
        <w:t>направленная</w:t>
      </w:r>
      <w:r w:rsidR="00142BE7" w:rsidRPr="00142BE7">
        <w:rPr>
          <w:szCs w:val="24"/>
        </w:rPr>
        <w:t xml:space="preserve"> на</w:t>
      </w:r>
      <w:r w:rsidR="00142BE7">
        <w:rPr>
          <w:szCs w:val="24"/>
        </w:rPr>
        <w:t xml:space="preserve"> постепенное снижение</w:t>
      </w:r>
      <w:r w:rsidR="00142BE7" w:rsidRPr="00142BE7">
        <w:rPr>
          <w:szCs w:val="24"/>
        </w:rPr>
        <w:t xml:space="preserve"> </w:t>
      </w:r>
      <w:r w:rsidR="00142BE7">
        <w:rPr>
          <w:szCs w:val="24"/>
        </w:rPr>
        <w:t>выбросов в атмосферу.</w:t>
      </w:r>
      <w:r w:rsidR="00142BE7" w:rsidRPr="00142BE7">
        <w:rPr>
          <w:szCs w:val="24"/>
        </w:rPr>
        <w:t xml:space="preserve"> </w:t>
      </w:r>
      <w:r w:rsidR="00142BE7">
        <w:rPr>
          <w:szCs w:val="24"/>
        </w:rPr>
        <w:t>Таким образом</w:t>
      </w:r>
      <w:r w:rsidR="00142BE7" w:rsidRPr="00142BE7">
        <w:rPr>
          <w:szCs w:val="24"/>
        </w:rPr>
        <w:t>, спрос на энергоносители в Европе к 2050 году составит 9% от общемировых объемов по сравнению с 14% в настоящее время</w:t>
      </w:r>
      <w:r w:rsidR="004A7A19">
        <w:rPr>
          <w:rStyle w:val="af5"/>
          <w:szCs w:val="24"/>
        </w:rPr>
        <w:footnoteReference w:id="40"/>
      </w:r>
      <w:r w:rsidR="00142BE7" w:rsidRPr="00142BE7">
        <w:rPr>
          <w:szCs w:val="24"/>
        </w:rPr>
        <w:t>.</w:t>
      </w:r>
      <w:r w:rsidR="00142BE7">
        <w:rPr>
          <w:szCs w:val="24"/>
        </w:rPr>
        <w:t xml:space="preserve"> </w:t>
      </w:r>
    </w:p>
    <w:p w14:paraId="335FF683" w14:textId="233E52AF" w:rsidR="00142BE7" w:rsidRPr="00142BE7" w:rsidRDefault="00142BE7" w:rsidP="00DA2619">
      <w:pPr>
        <w:ind w:firstLine="708"/>
        <w:rPr>
          <w:szCs w:val="24"/>
        </w:rPr>
      </w:pPr>
      <w:r>
        <w:rPr>
          <w:szCs w:val="24"/>
        </w:rPr>
        <w:lastRenderedPageBreak/>
        <w:t>Основной прирост потребления природного газа придется на Азиатско-Тихоокеанский регио</w:t>
      </w:r>
      <w:r w:rsidR="00242295">
        <w:rPr>
          <w:szCs w:val="24"/>
        </w:rPr>
        <w:t>н: его доля в общемировом спросе к 2050 году составит 27% и выведет его на первое место, обогнав Северную Америку – 26%. Европа в среднесрочной перспективе будет медленно наращивать объем потребления природного газа, однако уже в 2030-х пик потребления будет пройден – дальнейшее снижение будет происходить за счет перехода к альтернативным источникам энергии</w:t>
      </w:r>
      <w:r w:rsidR="004A7A19">
        <w:rPr>
          <w:szCs w:val="24"/>
        </w:rPr>
        <w:t xml:space="preserve"> </w:t>
      </w:r>
      <w:r w:rsidR="004A7A19">
        <w:rPr>
          <w:rStyle w:val="af5"/>
          <w:szCs w:val="24"/>
        </w:rPr>
        <w:footnoteReference w:id="41"/>
      </w:r>
      <w:r w:rsidR="00242295">
        <w:rPr>
          <w:szCs w:val="24"/>
        </w:rPr>
        <w:t xml:space="preserve">. </w:t>
      </w:r>
    </w:p>
    <w:p w14:paraId="25B04CC4" w14:textId="67B07124" w:rsidR="00261FC3" w:rsidRDefault="00261FC3" w:rsidP="004A7A19">
      <w:pPr>
        <w:ind w:firstLine="708"/>
        <w:rPr>
          <w:szCs w:val="24"/>
        </w:rPr>
      </w:pPr>
      <w:r>
        <w:rPr>
          <w:szCs w:val="24"/>
        </w:rPr>
        <w:t xml:space="preserve">В соответствии с </w:t>
      </w:r>
      <w:r w:rsidR="000E1EA4">
        <w:rPr>
          <w:szCs w:val="24"/>
        </w:rPr>
        <w:t>прогнозом</w:t>
      </w:r>
      <w:r>
        <w:rPr>
          <w:szCs w:val="24"/>
        </w:rPr>
        <w:t xml:space="preserve"> Международного энергетического агентства потребление нефти в сценарии устойчивого развития снизится с текущих 97 млн. баррелей в день до 67. В случае реализации консервативного сценария спрос на нефть будет расти малыми темпами и к 2040-му году достигнет 106 млн. баррелей в день. Тем не менее, его доля в глобальном энергопотреблении снизится при одновременном росте потребления природного газа и развития альтернативной энергетики</w:t>
      </w:r>
      <w:r w:rsidR="004A7A19">
        <w:rPr>
          <w:szCs w:val="24"/>
        </w:rPr>
        <w:t xml:space="preserve"> </w:t>
      </w:r>
      <w:r w:rsidR="004A7A19">
        <w:rPr>
          <w:rStyle w:val="af5"/>
          <w:szCs w:val="24"/>
        </w:rPr>
        <w:footnoteReference w:id="42"/>
      </w:r>
      <w:r>
        <w:rPr>
          <w:szCs w:val="24"/>
        </w:rPr>
        <w:t xml:space="preserve">. </w:t>
      </w:r>
    </w:p>
    <w:p w14:paraId="347451B5" w14:textId="1CA1AF8D" w:rsidR="00B83A70" w:rsidRPr="00B83A70" w:rsidRDefault="00261FC3" w:rsidP="00013213">
      <w:pPr>
        <w:ind w:firstLine="708"/>
        <w:rPr>
          <w:szCs w:val="24"/>
        </w:rPr>
      </w:pPr>
      <w:r>
        <w:rPr>
          <w:szCs w:val="24"/>
        </w:rPr>
        <w:t>З</w:t>
      </w:r>
      <w:r w:rsidR="00A021BA">
        <w:rPr>
          <w:szCs w:val="24"/>
        </w:rPr>
        <w:t xml:space="preserve">начительный рост потребления природного газа </w:t>
      </w:r>
      <w:r>
        <w:rPr>
          <w:szCs w:val="24"/>
        </w:rPr>
        <w:t xml:space="preserve">будет происходить в первую очередь </w:t>
      </w:r>
      <w:r w:rsidR="00A021BA">
        <w:rPr>
          <w:szCs w:val="24"/>
        </w:rPr>
        <w:t>за счет Индии и Китая</w:t>
      </w:r>
      <w:r>
        <w:rPr>
          <w:szCs w:val="24"/>
        </w:rPr>
        <w:t>: с 62 до 303 млрд. м</w:t>
      </w:r>
      <w:r w:rsidRPr="00A021BA">
        <w:rPr>
          <w:szCs w:val="24"/>
          <w:vertAlign w:val="superscript"/>
        </w:rPr>
        <w:t>3</w:t>
      </w:r>
      <w:r>
        <w:rPr>
          <w:szCs w:val="24"/>
        </w:rPr>
        <w:t xml:space="preserve"> и </w:t>
      </w:r>
      <w:r w:rsidR="00A021BA">
        <w:rPr>
          <w:szCs w:val="24"/>
        </w:rPr>
        <w:t xml:space="preserve">с 282 до </w:t>
      </w:r>
      <w:r>
        <w:rPr>
          <w:szCs w:val="24"/>
        </w:rPr>
        <w:t>497 млрд. м</w:t>
      </w:r>
      <w:r w:rsidRPr="00261FC3">
        <w:rPr>
          <w:szCs w:val="24"/>
          <w:vertAlign w:val="superscript"/>
        </w:rPr>
        <w:t>3</w:t>
      </w:r>
      <w:r>
        <w:rPr>
          <w:szCs w:val="24"/>
        </w:rPr>
        <w:t xml:space="preserve"> соответственно (в сценарии устойчивого развития), с 62 до 196 млрд. м</w:t>
      </w:r>
      <w:r w:rsidRPr="00261FC3">
        <w:rPr>
          <w:szCs w:val="24"/>
          <w:vertAlign w:val="superscript"/>
        </w:rPr>
        <w:t>3</w:t>
      </w:r>
      <w:r>
        <w:rPr>
          <w:szCs w:val="24"/>
        </w:rPr>
        <w:t xml:space="preserve"> и с 282 до 655 млрд. м</w:t>
      </w:r>
      <w:r w:rsidRPr="00261FC3">
        <w:rPr>
          <w:szCs w:val="24"/>
          <w:vertAlign w:val="superscript"/>
        </w:rPr>
        <w:t>3</w:t>
      </w:r>
      <w:r>
        <w:rPr>
          <w:szCs w:val="24"/>
        </w:rPr>
        <w:t xml:space="preserve"> (в консервативном сценарии). Потребление газа в Европе (страны ЕС) снизится с 480 до 266 млрд. м</w:t>
      </w:r>
      <w:r w:rsidRPr="00261FC3">
        <w:rPr>
          <w:szCs w:val="24"/>
          <w:vertAlign w:val="superscript"/>
        </w:rPr>
        <w:t>3</w:t>
      </w:r>
      <w:r>
        <w:rPr>
          <w:szCs w:val="24"/>
        </w:rPr>
        <w:t xml:space="preserve"> или до 386 млрд. м</w:t>
      </w:r>
      <w:r w:rsidRPr="00261FC3">
        <w:rPr>
          <w:szCs w:val="24"/>
          <w:vertAlign w:val="superscript"/>
        </w:rPr>
        <w:t>3</w:t>
      </w:r>
      <w:r>
        <w:rPr>
          <w:szCs w:val="24"/>
        </w:rPr>
        <w:t xml:space="preserve"> при аналогичных сценариях</w:t>
      </w:r>
      <w:r w:rsidR="00D450CA">
        <w:rPr>
          <w:szCs w:val="24"/>
        </w:rPr>
        <w:t xml:space="preserve"> (см. рисунок 6)</w:t>
      </w:r>
      <w:r w:rsidR="004A7A19">
        <w:rPr>
          <w:szCs w:val="24"/>
        </w:rPr>
        <w:t xml:space="preserve"> </w:t>
      </w:r>
      <w:r w:rsidR="004A7A19">
        <w:rPr>
          <w:rStyle w:val="af5"/>
          <w:szCs w:val="24"/>
        </w:rPr>
        <w:footnoteReference w:id="43"/>
      </w:r>
      <w:r>
        <w:rPr>
          <w:szCs w:val="24"/>
        </w:rPr>
        <w:t xml:space="preserve">. </w:t>
      </w: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7"/>
        <w:gridCol w:w="1986"/>
        <w:gridCol w:w="2327"/>
        <w:gridCol w:w="2835"/>
      </w:tblGrid>
      <w:tr w:rsidR="000E1EA4" w14:paraId="69CFA49E" w14:textId="77777777" w:rsidTr="000E1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14:paraId="2E3FD835" w14:textId="0AAA1FC9" w:rsidR="000E1EA4" w:rsidRDefault="000E1EA4" w:rsidP="00BC1A22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986" w:type="dxa"/>
          </w:tcPr>
          <w:p w14:paraId="7EE31BB5" w14:textId="081DFB33" w:rsidR="000E1EA4" w:rsidRDefault="000E1EA4" w:rsidP="00BC1A22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ТНК или Международная организация</w:t>
            </w:r>
          </w:p>
        </w:tc>
        <w:tc>
          <w:tcPr>
            <w:tcW w:w="2327" w:type="dxa"/>
          </w:tcPr>
          <w:p w14:paraId="69AAF5C6" w14:textId="53D2E61E" w:rsidR="000E1EA4" w:rsidRPr="00BC1A22" w:rsidRDefault="000E1EA4" w:rsidP="00BC1A22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>
              <w:rPr>
                <w:szCs w:val="24"/>
              </w:rPr>
              <w:t>Доля нефти в энергопотреблении в 2040 г., %</w:t>
            </w:r>
          </w:p>
        </w:tc>
        <w:tc>
          <w:tcPr>
            <w:tcW w:w="2835" w:type="dxa"/>
          </w:tcPr>
          <w:p w14:paraId="5EA3930E" w14:textId="3449F51D" w:rsidR="000E1EA4" w:rsidRDefault="000E1EA4" w:rsidP="00BC1A22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Доля природного газа в энергопотреблении в 2040 г., %</w:t>
            </w:r>
          </w:p>
        </w:tc>
      </w:tr>
      <w:tr w:rsidR="00634C53" w14:paraId="57CA13B8" w14:textId="77777777" w:rsidTr="000E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14:paraId="05415455" w14:textId="48498775" w:rsidR="00634C53" w:rsidRPr="00634C53" w:rsidRDefault="00634C53" w:rsidP="00BC1A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6" w:type="dxa"/>
          </w:tcPr>
          <w:p w14:paraId="364CF82D" w14:textId="0910EF43" w:rsidR="00634C53" w:rsidRPr="00634C53" w:rsidRDefault="00634C53" w:rsidP="00BC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Shell</w:t>
            </w:r>
          </w:p>
        </w:tc>
        <w:tc>
          <w:tcPr>
            <w:tcW w:w="2327" w:type="dxa"/>
          </w:tcPr>
          <w:p w14:paraId="41D9B223" w14:textId="1AC8616D" w:rsidR="00634C53" w:rsidRPr="00634C53" w:rsidRDefault="00634C53" w:rsidP="00BC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 w:rsidR="00D450CA"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% (</w:t>
            </w:r>
            <w:r>
              <w:rPr>
                <w:szCs w:val="24"/>
              </w:rPr>
              <w:t>2050 г.)</w:t>
            </w:r>
          </w:p>
        </w:tc>
        <w:tc>
          <w:tcPr>
            <w:tcW w:w="2835" w:type="dxa"/>
          </w:tcPr>
          <w:p w14:paraId="5793AFBF" w14:textId="19FA178B" w:rsidR="00634C53" w:rsidRDefault="00634C53" w:rsidP="00BC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450CA">
              <w:rPr>
                <w:szCs w:val="24"/>
              </w:rPr>
              <w:t>7</w:t>
            </w:r>
            <w:r>
              <w:rPr>
                <w:szCs w:val="24"/>
              </w:rPr>
              <w:t>%</w:t>
            </w:r>
          </w:p>
        </w:tc>
      </w:tr>
      <w:tr w:rsidR="00634C53" w14:paraId="338821AC" w14:textId="77777777" w:rsidTr="000E1E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14:paraId="329DD5E1" w14:textId="395AEE8F" w:rsidR="00634C53" w:rsidRDefault="00634C53" w:rsidP="00BC1A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986" w:type="dxa"/>
          </w:tcPr>
          <w:p w14:paraId="6C22F01A" w14:textId="65B611D7" w:rsidR="00634C53" w:rsidRPr="00634C53" w:rsidRDefault="00634C53" w:rsidP="00BC1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Exxon Mobil</w:t>
            </w:r>
          </w:p>
        </w:tc>
        <w:tc>
          <w:tcPr>
            <w:tcW w:w="2327" w:type="dxa"/>
          </w:tcPr>
          <w:p w14:paraId="13620DB5" w14:textId="4830EEB0" w:rsidR="00634C53" w:rsidRPr="00634C53" w:rsidRDefault="00634C53" w:rsidP="00BC1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30%</w:t>
            </w:r>
          </w:p>
        </w:tc>
        <w:tc>
          <w:tcPr>
            <w:tcW w:w="2835" w:type="dxa"/>
          </w:tcPr>
          <w:p w14:paraId="33B4A0C3" w14:textId="122BAADB" w:rsidR="00634C53" w:rsidRPr="00634C53" w:rsidRDefault="00634C53" w:rsidP="00BC1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25%</w:t>
            </w:r>
          </w:p>
        </w:tc>
      </w:tr>
      <w:tr w:rsidR="00634C53" w14:paraId="02606DDD" w14:textId="77777777" w:rsidTr="000E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14:paraId="36887058" w14:textId="4691DF18" w:rsidR="00634C53" w:rsidRDefault="00634C53" w:rsidP="00BC1A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86" w:type="dxa"/>
          </w:tcPr>
          <w:p w14:paraId="2B4AC31A" w14:textId="23511C29" w:rsidR="00634C53" w:rsidRPr="00634C53" w:rsidRDefault="00634C53" w:rsidP="00BC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BP</w:t>
            </w:r>
          </w:p>
        </w:tc>
        <w:tc>
          <w:tcPr>
            <w:tcW w:w="2327" w:type="dxa"/>
          </w:tcPr>
          <w:p w14:paraId="6E2B7BD5" w14:textId="104E7F03" w:rsidR="00634C53" w:rsidRPr="00634C53" w:rsidRDefault="00634C53" w:rsidP="00BC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27%</w:t>
            </w:r>
          </w:p>
        </w:tc>
        <w:tc>
          <w:tcPr>
            <w:tcW w:w="2835" w:type="dxa"/>
          </w:tcPr>
          <w:p w14:paraId="153A8DD9" w14:textId="7A3279C5" w:rsidR="00634C53" w:rsidRPr="00634C53" w:rsidRDefault="00634C53" w:rsidP="00BC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26%</w:t>
            </w:r>
          </w:p>
        </w:tc>
      </w:tr>
      <w:tr w:rsidR="000E1EA4" w14:paraId="142FBD73" w14:textId="77777777" w:rsidTr="000E1E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14:paraId="6412ADCB" w14:textId="5AE54F9F" w:rsidR="000E1EA4" w:rsidRDefault="00634C53" w:rsidP="00BC1A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E1EA4">
              <w:rPr>
                <w:szCs w:val="24"/>
              </w:rPr>
              <w:t>.</w:t>
            </w:r>
          </w:p>
        </w:tc>
        <w:tc>
          <w:tcPr>
            <w:tcW w:w="1986" w:type="dxa"/>
          </w:tcPr>
          <w:p w14:paraId="61A466BC" w14:textId="39393E2A" w:rsidR="000E1EA4" w:rsidRDefault="000E1EA4" w:rsidP="00BC1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ОПЕК</w:t>
            </w:r>
          </w:p>
        </w:tc>
        <w:tc>
          <w:tcPr>
            <w:tcW w:w="2327" w:type="dxa"/>
          </w:tcPr>
          <w:p w14:paraId="7B061C00" w14:textId="5EB5438F" w:rsidR="000E1EA4" w:rsidRDefault="000E1EA4" w:rsidP="00BC1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27,1%</w:t>
            </w:r>
          </w:p>
        </w:tc>
        <w:tc>
          <w:tcPr>
            <w:tcW w:w="2835" w:type="dxa"/>
          </w:tcPr>
          <w:p w14:paraId="346D26CF" w14:textId="6D538F24" w:rsidR="000E1EA4" w:rsidRDefault="000E1EA4" w:rsidP="00BC1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25,1%</w:t>
            </w:r>
          </w:p>
        </w:tc>
      </w:tr>
      <w:tr w:rsidR="000E1EA4" w14:paraId="243502E7" w14:textId="77777777" w:rsidTr="000E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14:paraId="575C3C91" w14:textId="22017D3F" w:rsidR="000E1EA4" w:rsidRDefault="00634C53" w:rsidP="00BC1A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986" w:type="dxa"/>
          </w:tcPr>
          <w:p w14:paraId="068393E9" w14:textId="3BA22B19" w:rsidR="000E1EA4" w:rsidRDefault="000E1EA4" w:rsidP="00BC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ФСЭГ</w:t>
            </w:r>
          </w:p>
        </w:tc>
        <w:tc>
          <w:tcPr>
            <w:tcW w:w="2327" w:type="dxa"/>
          </w:tcPr>
          <w:p w14:paraId="00CE0ECA" w14:textId="6AEDBCC2" w:rsidR="000E1EA4" w:rsidRDefault="000E1EA4" w:rsidP="00BC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26% (к 2050г.)</w:t>
            </w:r>
          </w:p>
        </w:tc>
        <w:tc>
          <w:tcPr>
            <w:tcW w:w="2835" w:type="dxa"/>
          </w:tcPr>
          <w:p w14:paraId="7C1A173F" w14:textId="490EFCDC" w:rsidR="000E1EA4" w:rsidRDefault="000E1EA4" w:rsidP="00BC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27% (к 2050г.)</w:t>
            </w:r>
          </w:p>
        </w:tc>
      </w:tr>
      <w:tr w:rsidR="000E1EA4" w14:paraId="21093070" w14:textId="77777777" w:rsidTr="000E1E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14:paraId="0CA75665" w14:textId="4DEE980E" w:rsidR="000E1EA4" w:rsidRDefault="00634C53" w:rsidP="00BC1A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E1EA4">
              <w:rPr>
                <w:szCs w:val="24"/>
              </w:rPr>
              <w:t>.</w:t>
            </w:r>
          </w:p>
        </w:tc>
        <w:tc>
          <w:tcPr>
            <w:tcW w:w="1986" w:type="dxa"/>
          </w:tcPr>
          <w:p w14:paraId="20BD28B1" w14:textId="088C6264" w:rsidR="000E1EA4" w:rsidRDefault="000E1EA4" w:rsidP="00BC1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МЭА</w:t>
            </w:r>
          </w:p>
        </w:tc>
        <w:tc>
          <w:tcPr>
            <w:tcW w:w="2327" w:type="dxa"/>
          </w:tcPr>
          <w:p w14:paraId="13CEE0CD" w14:textId="06220B59" w:rsidR="000E1EA4" w:rsidRDefault="000E1EA4" w:rsidP="00BC1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27,7%</w:t>
            </w:r>
          </w:p>
        </w:tc>
        <w:tc>
          <w:tcPr>
            <w:tcW w:w="2835" w:type="dxa"/>
          </w:tcPr>
          <w:p w14:paraId="0292CB6E" w14:textId="57CD5A87" w:rsidR="000E1EA4" w:rsidRDefault="000E1EA4" w:rsidP="00B83A7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25%</w:t>
            </w:r>
          </w:p>
        </w:tc>
      </w:tr>
    </w:tbl>
    <w:p w14:paraId="3FAB47D1" w14:textId="01D8739E" w:rsidR="007E4330" w:rsidRDefault="00B83A70" w:rsidP="00013213">
      <w:pPr>
        <w:pStyle w:val="af1"/>
        <w:jc w:val="center"/>
        <w:rPr>
          <w:i w:val="0"/>
          <w:iCs w:val="0"/>
          <w:color w:val="auto"/>
          <w:sz w:val="24"/>
          <w:szCs w:val="24"/>
        </w:rPr>
      </w:pPr>
      <w:r w:rsidRPr="00B83A70">
        <w:rPr>
          <w:i w:val="0"/>
          <w:iCs w:val="0"/>
          <w:color w:val="auto"/>
          <w:sz w:val="24"/>
          <w:szCs w:val="24"/>
        </w:rPr>
        <w:t xml:space="preserve">Таблица </w:t>
      </w:r>
      <w:r w:rsidRPr="00B83A70">
        <w:rPr>
          <w:i w:val="0"/>
          <w:iCs w:val="0"/>
          <w:color w:val="auto"/>
          <w:sz w:val="24"/>
          <w:szCs w:val="24"/>
        </w:rPr>
        <w:fldChar w:fldCharType="begin"/>
      </w:r>
      <w:r w:rsidRPr="00B83A70">
        <w:rPr>
          <w:i w:val="0"/>
          <w:iCs w:val="0"/>
          <w:color w:val="auto"/>
          <w:sz w:val="24"/>
          <w:szCs w:val="24"/>
        </w:rPr>
        <w:instrText xml:space="preserve"> SEQ Таблица \* ARABIC </w:instrText>
      </w:r>
      <w:r w:rsidRPr="00B83A70">
        <w:rPr>
          <w:i w:val="0"/>
          <w:iCs w:val="0"/>
          <w:color w:val="auto"/>
          <w:sz w:val="24"/>
          <w:szCs w:val="24"/>
        </w:rPr>
        <w:fldChar w:fldCharType="separate"/>
      </w:r>
      <w:r w:rsidRPr="00B83A70">
        <w:rPr>
          <w:i w:val="0"/>
          <w:iCs w:val="0"/>
          <w:noProof/>
          <w:color w:val="auto"/>
          <w:sz w:val="24"/>
          <w:szCs w:val="24"/>
        </w:rPr>
        <w:t>1</w:t>
      </w:r>
      <w:r w:rsidRPr="00B83A70">
        <w:rPr>
          <w:i w:val="0"/>
          <w:iCs w:val="0"/>
          <w:color w:val="auto"/>
          <w:sz w:val="24"/>
          <w:szCs w:val="24"/>
        </w:rPr>
        <w:fldChar w:fldCharType="end"/>
      </w:r>
      <w:r w:rsidRPr="00B83A70">
        <w:rPr>
          <w:i w:val="0"/>
          <w:iCs w:val="0"/>
          <w:color w:val="auto"/>
          <w:sz w:val="24"/>
          <w:szCs w:val="24"/>
        </w:rPr>
        <w:t>.Сводный прогноз доли нефти и газа в энергопотреблении до 2040 (2050) на основе прогнозов ТНК и М</w:t>
      </w:r>
      <w:r w:rsidR="00013213">
        <w:rPr>
          <w:i w:val="0"/>
          <w:iCs w:val="0"/>
          <w:color w:val="auto"/>
          <w:sz w:val="24"/>
          <w:szCs w:val="24"/>
        </w:rPr>
        <w:t>О</w:t>
      </w:r>
    </w:p>
    <w:p w14:paraId="07B2AE17" w14:textId="6983C396" w:rsidR="00013213" w:rsidRPr="009C4939" w:rsidRDefault="00013213" w:rsidP="00013213">
      <w:pPr>
        <w:ind w:firstLine="708"/>
        <w:rPr>
          <w:szCs w:val="24"/>
        </w:rPr>
      </w:pPr>
      <w:r w:rsidRPr="009C4939">
        <w:rPr>
          <w:szCs w:val="24"/>
        </w:rPr>
        <w:lastRenderedPageBreak/>
        <w:t>Анализ долгосрочных прогнозов крупнейших ТНК и международных энергетических организаций до 2040/2050 г. позволяет подтвердить существующие тенденции на рынке энергоресурсов и сформулировать сводный консенсус-прогноз доли нефти и газа в структуре энергопотребления. Доля природного газа за два последующих десятилетия увеличится с текущих 21% до 26%. Доля нефти снизится с текущих 31% до 27% к 2040 году. Рост потребления будет обеспечиваться за счет растущих потребностей Азиатско-Тихоокеанского региона, в первую очередь Индии и Китая. Потребление на европейском континенте будет расти малыми темпами примерно до 2030 года, а затем начнет снижаться за счет внедрения новых технологий, относительно слабого прироста населения и реализации программ по снижению выбросов в атмосферу и использованию «зеленой» энергетики.</w:t>
      </w:r>
    </w:p>
    <w:p w14:paraId="2E42F2A5" w14:textId="5D863CB5" w:rsidR="00F97991" w:rsidRPr="009C4939" w:rsidRDefault="003F4751" w:rsidP="00013213">
      <w:pPr>
        <w:ind w:firstLine="708"/>
        <w:rPr>
          <w:szCs w:val="24"/>
        </w:rPr>
      </w:pPr>
      <w:r w:rsidRPr="009C4939">
        <w:rPr>
          <w:szCs w:val="24"/>
        </w:rPr>
        <w:t>Таким образом, с</w:t>
      </w:r>
      <w:r w:rsidR="00013213" w:rsidRPr="009C4939">
        <w:rPr>
          <w:szCs w:val="24"/>
        </w:rPr>
        <w:t xml:space="preserve">тановление нефтегазовой отрасли и соответствующих глобальных товарных рынков </w:t>
      </w:r>
      <w:r w:rsidR="005E4EC3" w:rsidRPr="009C4939">
        <w:rPr>
          <w:szCs w:val="24"/>
        </w:rPr>
        <w:t xml:space="preserve">лучше всего объясняется через призму неолиберальной парадигмы международных отношений. Декларируемые ею принципы об утрате государств монополии на участие в системе международных отношений сопровождалось появлением новых акторов – в первую очередь ТНК и международных организаций. Данное утверждение всецело соответствует изложенному выше процессу формирования рынка нефти и газа, при этом важно отметить, что именно ТНК были ключевыми акторами на начальном этапе развития отрасли и фактически выступали субъектами международных отношений. </w:t>
      </w:r>
    </w:p>
    <w:p w14:paraId="5456C772" w14:textId="77777777" w:rsidR="00F97991" w:rsidRPr="009C4939" w:rsidRDefault="00381AB6" w:rsidP="00013213">
      <w:pPr>
        <w:ind w:firstLine="708"/>
        <w:rPr>
          <w:szCs w:val="24"/>
        </w:rPr>
      </w:pPr>
      <w:r w:rsidRPr="009C4939">
        <w:rPr>
          <w:szCs w:val="24"/>
        </w:rPr>
        <w:t>Важнейшим э</w:t>
      </w:r>
      <w:r w:rsidR="005E4EC3" w:rsidRPr="009C4939">
        <w:rPr>
          <w:szCs w:val="24"/>
        </w:rPr>
        <w:t>кономически</w:t>
      </w:r>
      <w:r w:rsidRPr="009C4939">
        <w:rPr>
          <w:szCs w:val="24"/>
        </w:rPr>
        <w:t>м</w:t>
      </w:r>
      <w:r w:rsidR="005E4EC3" w:rsidRPr="009C4939">
        <w:rPr>
          <w:szCs w:val="24"/>
        </w:rPr>
        <w:t xml:space="preserve"> аспект</w:t>
      </w:r>
      <w:r w:rsidRPr="009C4939">
        <w:rPr>
          <w:szCs w:val="24"/>
        </w:rPr>
        <w:t>ом</w:t>
      </w:r>
      <w:r w:rsidR="005E4EC3" w:rsidRPr="009C4939">
        <w:rPr>
          <w:szCs w:val="24"/>
        </w:rPr>
        <w:t xml:space="preserve"> неолиберальной теории</w:t>
      </w:r>
      <w:r w:rsidRPr="009C4939">
        <w:rPr>
          <w:szCs w:val="24"/>
        </w:rPr>
        <w:t xml:space="preserve"> применительно к нефтегазовой отрасли является отсутствие ограничений на товарные и денежные потоки, которые с одной стороны могут способствовать развитию и улучшению инвестиционного климата в отрасли, а с другой – использоваться в качестве инструмента для спекуляций. На сегодняшний день, в глобальной нефтегазовой отрасли действует </w:t>
      </w:r>
      <w:r w:rsidR="00F97991" w:rsidRPr="009C4939">
        <w:rPr>
          <w:szCs w:val="24"/>
        </w:rPr>
        <w:t xml:space="preserve">ограниченное количество государственных и частных компаний, которые в свою очередь координируют проводимую политику через международные организации для поддержания равновесия на рынке. </w:t>
      </w:r>
    </w:p>
    <w:p w14:paraId="7EF34CBF" w14:textId="76085EB7" w:rsidR="00013213" w:rsidRPr="00F97991" w:rsidRDefault="00F97991" w:rsidP="00013213">
      <w:pPr>
        <w:ind w:firstLine="708"/>
        <w:rPr>
          <w:szCs w:val="24"/>
        </w:rPr>
      </w:pPr>
      <w:r w:rsidRPr="009C4939">
        <w:rPr>
          <w:szCs w:val="24"/>
        </w:rPr>
        <w:t xml:space="preserve">Существующие долгосрочные тренды говорят о том, что нефть – безоговорочно доминировавшая в глобальном энергобалансе в </w:t>
      </w:r>
      <w:r w:rsidRPr="009C4939">
        <w:rPr>
          <w:szCs w:val="24"/>
          <w:lang w:val="en-US"/>
        </w:rPr>
        <w:t>XX</w:t>
      </w:r>
      <w:r w:rsidRPr="009C4939">
        <w:rPr>
          <w:szCs w:val="24"/>
        </w:rPr>
        <w:t xml:space="preserve"> веке, сегодня медленно, но уверенно уступает место в первую очередь – природному газу и в меньшей степени – возобновляемым источникам.</w:t>
      </w:r>
    </w:p>
    <w:p w14:paraId="4BEC3AA1" w14:textId="5963ECE4" w:rsidR="00736BA7" w:rsidRPr="00013213" w:rsidRDefault="00013213" w:rsidP="00013213">
      <w:pPr>
        <w:ind w:firstLine="708"/>
      </w:pPr>
      <w:r>
        <w:rPr>
          <w:szCs w:val="24"/>
        </w:rPr>
        <w:tab/>
      </w:r>
      <w:r w:rsidR="00736BA7">
        <w:rPr>
          <w:b/>
          <w:szCs w:val="24"/>
        </w:rPr>
        <w:br w:type="page"/>
      </w:r>
    </w:p>
    <w:p w14:paraId="426F14E7" w14:textId="44B79C7E" w:rsidR="00FB7BFF" w:rsidRDefault="007E4330" w:rsidP="0008674C">
      <w:pPr>
        <w:pStyle w:val="1"/>
      </w:pPr>
      <w:bookmarkStart w:id="25" w:name="_Toc41500783"/>
      <w:bookmarkStart w:id="26" w:name="_Toc41513178"/>
      <w:r w:rsidRPr="007E4330">
        <w:lastRenderedPageBreak/>
        <w:t>Глава 2</w:t>
      </w:r>
      <w:r w:rsidR="00FB7BFF">
        <w:t>.</w:t>
      </w:r>
      <w:r w:rsidR="0008674C">
        <w:t xml:space="preserve"> Исторический аспект развития российско-германских отношений в рамках концепции «союз ресурсов и технологий»</w:t>
      </w:r>
      <w:bookmarkEnd w:id="25"/>
      <w:bookmarkEnd w:id="26"/>
    </w:p>
    <w:p w14:paraId="0A2343C6" w14:textId="14F38C1C" w:rsidR="007E4330" w:rsidRPr="007E4330" w:rsidRDefault="007E4330" w:rsidP="0008674C">
      <w:pPr>
        <w:pStyle w:val="2"/>
        <w:numPr>
          <w:ilvl w:val="1"/>
          <w:numId w:val="6"/>
        </w:numPr>
      </w:pPr>
      <w:bookmarkStart w:id="27" w:name="_Toc41500784"/>
      <w:bookmarkStart w:id="28" w:name="_Toc41513179"/>
      <w:r w:rsidRPr="007E4330">
        <w:t>История развития российско-германских торгово-экономических отношений</w:t>
      </w:r>
      <w:r w:rsidR="00947E50">
        <w:t xml:space="preserve"> </w:t>
      </w:r>
      <w:r w:rsidR="006A396B">
        <w:t>до</w:t>
      </w:r>
      <w:r w:rsidR="00947E50">
        <w:t xml:space="preserve"> 1991 </w:t>
      </w:r>
      <w:r w:rsidR="006A396B">
        <w:t>г.</w:t>
      </w:r>
      <w:bookmarkEnd w:id="27"/>
      <w:bookmarkEnd w:id="28"/>
    </w:p>
    <w:p w14:paraId="127A18CD" w14:textId="7425B210" w:rsidR="00DA7558" w:rsidRDefault="004B3E57" w:rsidP="00DA7558">
      <w:pPr>
        <w:ind w:firstLine="708"/>
        <w:rPr>
          <w:szCs w:val="24"/>
        </w:rPr>
      </w:pPr>
      <w:r>
        <w:rPr>
          <w:szCs w:val="24"/>
        </w:rPr>
        <w:t>Россия и Германия имеют долгую многовековую полную взлетов и падений историю двусторонних отношений. За это время</w:t>
      </w:r>
      <w:r w:rsidR="00B52D57">
        <w:rPr>
          <w:szCs w:val="24"/>
        </w:rPr>
        <w:t xml:space="preserve"> </w:t>
      </w:r>
      <w:r>
        <w:rPr>
          <w:szCs w:val="24"/>
        </w:rPr>
        <w:t>в общественном сознании прочно укоренилась концепция «союз</w:t>
      </w:r>
      <w:r w:rsidR="00B52D57">
        <w:rPr>
          <w:szCs w:val="24"/>
        </w:rPr>
        <w:t>а</w:t>
      </w:r>
      <w:r>
        <w:rPr>
          <w:szCs w:val="24"/>
        </w:rPr>
        <w:t xml:space="preserve"> ресурсов и технологий»</w:t>
      </w:r>
      <w:r w:rsidR="00B52D57">
        <w:rPr>
          <w:szCs w:val="24"/>
        </w:rPr>
        <w:t xml:space="preserve">, которая, хоть и с некоторыми оговорками, не потеряла своей актуальности и по сегодняшний день. Формированию этого тезиса способствовала историческая логика развития государств. Одним из краеугольных камней в развитии российско-германских отношений является проблема </w:t>
      </w:r>
      <w:r w:rsidR="00DA7558">
        <w:rPr>
          <w:szCs w:val="24"/>
        </w:rPr>
        <w:t>«</w:t>
      </w:r>
      <w:r w:rsidR="00B52D57">
        <w:rPr>
          <w:szCs w:val="24"/>
        </w:rPr>
        <w:t>модернизации</w:t>
      </w:r>
      <w:r w:rsidR="00DA7558">
        <w:rPr>
          <w:szCs w:val="24"/>
        </w:rPr>
        <w:t xml:space="preserve">» российской экономики и промышленности. Несмотря на то, что единое определение данного термина отсутствует, в целом он представляет из себя </w:t>
      </w:r>
      <w:r w:rsidR="00DA7558" w:rsidRPr="00DA7558">
        <w:rPr>
          <w:szCs w:val="24"/>
        </w:rPr>
        <w:t>комплексный процесс, охватывающий все сферы общественной</w:t>
      </w:r>
      <w:r w:rsidR="00DA7558">
        <w:rPr>
          <w:szCs w:val="24"/>
        </w:rPr>
        <w:t xml:space="preserve"> </w:t>
      </w:r>
      <w:r w:rsidR="00DA7558" w:rsidRPr="00DA7558">
        <w:rPr>
          <w:szCs w:val="24"/>
        </w:rPr>
        <w:t>жизни (экономическую, социальную,</w:t>
      </w:r>
      <w:r w:rsidR="00DA7558">
        <w:rPr>
          <w:szCs w:val="24"/>
        </w:rPr>
        <w:t xml:space="preserve"> </w:t>
      </w:r>
      <w:r w:rsidR="00DA7558" w:rsidRPr="00DA7558">
        <w:rPr>
          <w:szCs w:val="24"/>
        </w:rPr>
        <w:t>политико-правовую и культурную), в</w:t>
      </w:r>
      <w:r w:rsidR="00DA7558">
        <w:rPr>
          <w:szCs w:val="24"/>
        </w:rPr>
        <w:t xml:space="preserve"> </w:t>
      </w:r>
      <w:r w:rsidR="00DA7558" w:rsidRPr="00DA7558">
        <w:rPr>
          <w:szCs w:val="24"/>
        </w:rPr>
        <w:t>ходе которого менее развитые общества приобретают черты более развитых и становятся конкурентоспособны на международной арене</w:t>
      </w:r>
      <w:r w:rsidR="00B254F2">
        <w:rPr>
          <w:szCs w:val="24"/>
        </w:rPr>
        <w:t xml:space="preserve"> </w:t>
      </w:r>
      <w:r w:rsidR="00B254F2">
        <w:rPr>
          <w:rStyle w:val="af5"/>
          <w:szCs w:val="24"/>
        </w:rPr>
        <w:footnoteReference w:id="44"/>
      </w:r>
      <w:r w:rsidR="00DA7558" w:rsidRPr="00DA7558">
        <w:rPr>
          <w:szCs w:val="24"/>
        </w:rPr>
        <w:t>.</w:t>
      </w:r>
      <w:r w:rsidR="00DA7558">
        <w:rPr>
          <w:szCs w:val="24"/>
        </w:rPr>
        <w:t xml:space="preserve"> </w:t>
      </w:r>
    </w:p>
    <w:p w14:paraId="47639EA6" w14:textId="26D8F0B1" w:rsidR="001E7636" w:rsidRDefault="00B52D57" w:rsidP="001E7636">
      <w:pPr>
        <w:ind w:firstLine="708"/>
        <w:rPr>
          <w:szCs w:val="24"/>
        </w:rPr>
      </w:pPr>
      <w:r>
        <w:rPr>
          <w:szCs w:val="24"/>
        </w:rPr>
        <w:t xml:space="preserve">В истории Западной Европы можно выделить </w:t>
      </w:r>
      <w:r w:rsidR="00DA7558">
        <w:rPr>
          <w:szCs w:val="24"/>
        </w:rPr>
        <w:t>3 крупных</w:t>
      </w:r>
      <w:r>
        <w:rPr>
          <w:szCs w:val="24"/>
        </w:rPr>
        <w:t xml:space="preserve"> волн</w:t>
      </w:r>
      <w:r w:rsidR="00DA7558">
        <w:rPr>
          <w:szCs w:val="24"/>
        </w:rPr>
        <w:t>ы</w:t>
      </w:r>
      <w:r>
        <w:rPr>
          <w:szCs w:val="24"/>
        </w:rPr>
        <w:t xml:space="preserve"> модернизации</w:t>
      </w:r>
      <w:r w:rsidR="00DA7558">
        <w:rPr>
          <w:szCs w:val="24"/>
        </w:rPr>
        <w:t xml:space="preserve">. Первая носит доиндустриальный характер и происходит на рубеже </w:t>
      </w:r>
      <w:r w:rsidR="00DA7558">
        <w:rPr>
          <w:szCs w:val="24"/>
          <w:lang w:val="en-US"/>
        </w:rPr>
        <w:t>XVI</w:t>
      </w:r>
      <w:r w:rsidR="00DA7558" w:rsidRPr="00DA7558">
        <w:rPr>
          <w:szCs w:val="24"/>
        </w:rPr>
        <w:t xml:space="preserve"> – </w:t>
      </w:r>
      <w:r w:rsidR="00DA7558">
        <w:rPr>
          <w:szCs w:val="24"/>
          <w:lang w:val="en-US"/>
        </w:rPr>
        <w:t>XVII</w:t>
      </w:r>
      <w:r w:rsidR="00DA7558" w:rsidRPr="00DA7558">
        <w:rPr>
          <w:szCs w:val="24"/>
        </w:rPr>
        <w:t xml:space="preserve"> </w:t>
      </w:r>
      <w:r w:rsidR="00DA7558">
        <w:rPr>
          <w:szCs w:val="24"/>
        </w:rPr>
        <w:t>веков.</w:t>
      </w:r>
      <w:r w:rsidR="001E7636">
        <w:rPr>
          <w:szCs w:val="24"/>
        </w:rPr>
        <w:t xml:space="preserve"> Её результатом становится переход от аграрного и ремесленного производства к мануфактурному. Вторая волна происходила в </w:t>
      </w:r>
      <w:r w:rsidR="001E7636">
        <w:rPr>
          <w:szCs w:val="24"/>
          <w:lang w:val="en-US"/>
        </w:rPr>
        <w:t>XVIII</w:t>
      </w:r>
      <w:r w:rsidR="001E7636" w:rsidRPr="001E7636">
        <w:rPr>
          <w:szCs w:val="24"/>
        </w:rPr>
        <w:t>-</w:t>
      </w:r>
      <w:r w:rsidR="001E7636">
        <w:rPr>
          <w:szCs w:val="24"/>
          <w:lang w:val="en-US"/>
        </w:rPr>
        <w:t>XIX</w:t>
      </w:r>
      <w:r w:rsidR="001E7636" w:rsidRPr="001E7636">
        <w:rPr>
          <w:szCs w:val="24"/>
        </w:rPr>
        <w:t xml:space="preserve"> </w:t>
      </w:r>
      <w:r w:rsidR="001E7636">
        <w:rPr>
          <w:szCs w:val="24"/>
        </w:rPr>
        <w:t xml:space="preserve">веках и получила название промышленной революции – переход от ручного труда к машинному и фабрично-заводскому производству. Третьей волной стала позднеиндустриальная модернизация в первой половине </w:t>
      </w:r>
      <w:r w:rsidR="001E7636">
        <w:rPr>
          <w:szCs w:val="24"/>
          <w:lang w:val="en-US"/>
        </w:rPr>
        <w:t>XX</w:t>
      </w:r>
      <w:r w:rsidR="001E7636">
        <w:rPr>
          <w:szCs w:val="24"/>
        </w:rPr>
        <w:t xml:space="preserve"> века, а её особенностями – преобразование процесса труда на научной основе и переход к потоковому производству</w:t>
      </w:r>
      <w:r w:rsidR="00B254F2">
        <w:rPr>
          <w:szCs w:val="24"/>
        </w:rPr>
        <w:t xml:space="preserve"> </w:t>
      </w:r>
      <w:r w:rsidR="00B254F2">
        <w:rPr>
          <w:rStyle w:val="af5"/>
          <w:szCs w:val="24"/>
        </w:rPr>
        <w:footnoteReference w:id="45"/>
      </w:r>
      <w:r w:rsidR="001E7636">
        <w:rPr>
          <w:szCs w:val="24"/>
        </w:rPr>
        <w:t xml:space="preserve">. </w:t>
      </w:r>
    </w:p>
    <w:p w14:paraId="19A23FC2" w14:textId="28F2D5F0" w:rsidR="001E7636" w:rsidRDefault="0026319B" w:rsidP="001E7636">
      <w:pPr>
        <w:ind w:firstLine="708"/>
        <w:rPr>
          <w:szCs w:val="24"/>
        </w:rPr>
      </w:pPr>
      <w:r>
        <w:rPr>
          <w:szCs w:val="24"/>
        </w:rPr>
        <w:t xml:space="preserve">В отличии от западной модели модернизации – органической – которая происходила за счет стремительного становления и развития буржуазно-капиталистических отношений и имела внутренний характер, российская модернизация всегда осуществлялась «сверху-вниз», иначе – насаждалась государством и носила строго реакционный характер: её задачей было догнать и перегнать развивающиеся западные государства. Первая подобная модернизация была осуществлена Петром </w:t>
      </w:r>
      <w:r>
        <w:rPr>
          <w:szCs w:val="24"/>
          <w:lang w:val="en-US"/>
        </w:rPr>
        <w:t>I</w:t>
      </w:r>
      <w:r>
        <w:rPr>
          <w:szCs w:val="24"/>
        </w:rPr>
        <w:t>, основная цель которого была закрепить военно-политический статус России на международной арене. Втор</w:t>
      </w:r>
      <w:r w:rsidR="007D637B">
        <w:rPr>
          <w:szCs w:val="24"/>
        </w:rPr>
        <w:t>ой</w:t>
      </w:r>
      <w:r>
        <w:rPr>
          <w:szCs w:val="24"/>
        </w:rPr>
        <w:t xml:space="preserve"> </w:t>
      </w:r>
      <w:r w:rsidR="007D637B">
        <w:rPr>
          <w:szCs w:val="24"/>
        </w:rPr>
        <w:t xml:space="preserve">волной </w:t>
      </w:r>
      <w:r>
        <w:rPr>
          <w:szCs w:val="24"/>
        </w:rPr>
        <w:lastRenderedPageBreak/>
        <w:t xml:space="preserve">модернизации стали Великие реформы 1860-х годов при императоре Александре </w:t>
      </w:r>
      <w:r>
        <w:rPr>
          <w:szCs w:val="24"/>
          <w:lang w:val="en-US"/>
        </w:rPr>
        <w:t>II</w:t>
      </w:r>
      <w:r w:rsidR="007D637B">
        <w:rPr>
          <w:szCs w:val="24"/>
        </w:rPr>
        <w:t xml:space="preserve">, которые в том или ином виде продолжались до 1917 года. Третья волна модернизации –форсированная сталинская индустриализация 1930-х годов, которая лучше всего описывается словами </w:t>
      </w:r>
      <w:r w:rsidR="007D637B" w:rsidRPr="007D637B">
        <w:rPr>
          <w:szCs w:val="24"/>
        </w:rPr>
        <w:t>Иосиф</w:t>
      </w:r>
      <w:r w:rsidR="007D637B">
        <w:rPr>
          <w:szCs w:val="24"/>
        </w:rPr>
        <w:t>а</w:t>
      </w:r>
      <w:r w:rsidR="007D637B" w:rsidRPr="007D637B">
        <w:rPr>
          <w:szCs w:val="24"/>
        </w:rPr>
        <w:t xml:space="preserve"> Сталин</w:t>
      </w:r>
      <w:r w:rsidR="007D637B">
        <w:rPr>
          <w:szCs w:val="24"/>
        </w:rPr>
        <w:t xml:space="preserve">а, произнесенными в ходе </w:t>
      </w:r>
      <w:r w:rsidR="007D637B" w:rsidRPr="007D637B">
        <w:rPr>
          <w:szCs w:val="24"/>
        </w:rPr>
        <w:t>первой Всесоюзной конференции работников социалистической промышленности 4 февраля 1931 г.</w:t>
      </w:r>
      <w:r w:rsidR="007D637B">
        <w:rPr>
          <w:szCs w:val="24"/>
        </w:rPr>
        <w:t>: «</w:t>
      </w:r>
      <w:r w:rsidR="007D637B" w:rsidRPr="007D637B">
        <w:rPr>
          <w:szCs w:val="24"/>
        </w:rPr>
        <w:t>Мы отстали от передовых стран на 50–100 лет. Мы должны пробежать это расстояние в десять лет. Либо мы сделаем это, либо нас сомнут</w:t>
      </w:r>
      <w:r w:rsidR="007D637B">
        <w:rPr>
          <w:szCs w:val="24"/>
        </w:rPr>
        <w:t>»</w:t>
      </w:r>
      <w:r w:rsidR="00032DE6">
        <w:rPr>
          <w:szCs w:val="24"/>
        </w:rPr>
        <w:t xml:space="preserve"> </w:t>
      </w:r>
      <w:r w:rsidR="00032DE6">
        <w:rPr>
          <w:rStyle w:val="af5"/>
          <w:szCs w:val="24"/>
        </w:rPr>
        <w:footnoteReference w:id="46"/>
      </w:r>
      <w:r w:rsidR="007D637B">
        <w:rPr>
          <w:szCs w:val="24"/>
        </w:rPr>
        <w:t>.</w:t>
      </w:r>
      <w:r w:rsidR="00D45B2B">
        <w:rPr>
          <w:szCs w:val="24"/>
        </w:rPr>
        <w:t xml:space="preserve"> </w:t>
      </w:r>
      <w:r w:rsidR="007D637B">
        <w:rPr>
          <w:szCs w:val="24"/>
        </w:rPr>
        <w:t xml:space="preserve"> </w:t>
      </w:r>
      <w:r w:rsidR="00D45B2B">
        <w:rPr>
          <w:szCs w:val="24"/>
        </w:rPr>
        <w:t xml:space="preserve">На каждом из этих, без преувеличения – переломных этапах российской истории, Германия, которая всегда была на передовой научно-технического прогресса, играла одну из ключевых ролей. Тем не менее, первые российско-германские контакты произошли задолго до этого. </w:t>
      </w:r>
    </w:p>
    <w:p w14:paraId="601E8340" w14:textId="7FB8D537" w:rsidR="00F30B2D" w:rsidRPr="009E72DB" w:rsidRDefault="00AA2BCE" w:rsidP="0073340C">
      <w:pPr>
        <w:ind w:firstLine="708"/>
        <w:rPr>
          <w:szCs w:val="24"/>
        </w:rPr>
      </w:pPr>
      <w:r>
        <w:rPr>
          <w:szCs w:val="24"/>
        </w:rPr>
        <w:t>В целом, российско-германские отношения можно разделить на три крупных этапа</w:t>
      </w:r>
      <w:r w:rsidR="000D4E37">
        <w:rPr>
          <w:szCs w:val="24"/>
        </w:rPr>
        <w:t xml:space="preserve"> </w:t>
      </w:r>
      <w:r w:rsidR="004443BA">
        <w:rPr>
          <w:rStyle w:val="af5"/>
          <w:szCs w:val="24"/>
        </w:rPr>
        <w:footnoteReference w:id="47"/>
      </w:r>
      <w:r>
        <w:rPr>
          <w:szCs w:val="24"/>
        </w:rPr>
        <w:t>. Первый этап</w:t>
      </w:r>
      <w:r w:rsidR="00D44E29">
        <w:rPr>
          <w:szCs w:val="24"/>
        </w:rPr>
        <w:t xml:space="preserve"> берет свое начало в </w:t>
      </w:r>
      <w:r w:rsidR="00D44E29">
        <w:rPr>
          <w:szCs w:val="24"/>
          <w:lang w:val="en-US"/>
        </w:rPr>
        <w:t>IX</w:t>
      </w:r>
      <w:r w:rsidR="00D44E29" w:rsidRPr="00D44E29">
        <w:rPr>
          <w:szCs w:val="24"/>
        </w:rPr>
        <w:t xml:space="preserve"> </w:t>
      </w:r>
      <w:r w:rsidR="00D44E29">
        <w:rPr>
          <w:szCs w:val="24"/>
        </w:rPr>
        <w:t>веке – начало формирования государственности</w:t>
      </w:r>
      <w:r w:rsidR="00344C9F">
        <w:rPr>
          <w:szCs w:val="24"/>
        </w:rPr>
        <w:t xml:space="preserve">, </w:t>
      </w:r>
      <w:r w:rsidR="00D44E29">
        <w:rPr>
          <w:szCs w:val="24"/>
        </w:rPr>
        <w:t>и</w:t>
      </w:r>
      <w:r>
        <w:rPr>
          <w:szCs w:val="24"/>
        </w:rPr>
        <w:t xml:space="preserve"> включает в себя период существования Киевской Руси, феодальной раздробленности и становление Московского государства. </w:t>
      </w:r>
      <w:r w:rsidR="00D44E29">
        <w:rPr>
          <w:szCs w:val="24"/>
        </w:rPr>
        <w:t xml:space="preserve">Во времена Киевской Руси российско-германские отношения не отличались особой регулярностью, </w:t>
      </w:r>
      <w:r w:rsidR="00C8285D">
        <w:rPr>
          <w:szCs w:val="24"/>
        </w:rPr>
        <w:t>при том, что</w:t>
      </w:r>
      <w:r w:rsidR="00D44E29">
        <w:rPr>
          <w:szCs w:val="24"/>
        </w:rPr>
        <w:t xml:space="preserve"> торговые</w:t>
      </w:r>
      <w:r w:rsidR="004443BA">
        <w:rPr>
          <w:szCs w:val="24"/>
        </w:rPr>
        <w:t xml:space="preserve"> </w:t>
      </w:r>
      <w:r w:rsidR="00D44E29">
        <w:rPr>
          <w:szCs w:val="24"/>
        </w:rPr>
        <w:t>и политические</w:t>
      </w:r>
      <w:r w:rsidR="00344C9F">
        <w:rPr>
          <w:szCs w:val="24"/>
        </w:rPr>
        <w:t xml:space="preserve"> </w:t>
      </w:r>
      <w:r w:rsidR="00C8285D">
        <w:rPr>
          <w:szCs w:val="24"/>
        </w:rPr>
        <w:t xml:space="preserve">связи </w:t>
      </w:r>
      <w:r w:rsidR="00D44E29">
        <w:rPr>
          <w:szCs w:val="24"/>
        </w:rPr>
        <w:t>уже были установлен</w:t>
      </w:r>
      <w:r w:rsidR="004443BA">
        <w:rPr>
          <w:szCs w:val="24"/>
        </w:rPr>
        <w:t>ы</w:t>
      </w:r>
      <w:r w:rsidR="00C8285D">
        <w:rPr>
          <w:szCs w:val="24"/>
        </w:rPr>
        <w:t>, а в</w:t>
      </w:r>
      <w:r w:rsidR="004443BA">
        <w:rPr>
          <w:szCs w:val="24"/>
        </w:rPr>
        <w:t xml:space="preserve"> </w:t>
      </w:r>
      <w:r w:rsidR="004443BA" w:rsidRPr="004443BA">
        <w:rPr>
          <w:szCs w:val="24"/>
        </w:rPr>
        <w:t>период феодальной раздробленности</w:t>
      </w:r>
      <w:r w:rsidR="004443BA">
        <w:rPr>
          <w:szCs w:val="24"/>
        </w:rPr>
        <w:t xml:space="preserve"> </w:t>
      </w:r>
      <w:r w:rsidR="00C8285D">
        <w:rPr>
          <w:szCs w:val="24"/>
        </w:rPr>
        <w:t xml:space="preserve">их </w:t>
      </w:r>
      <w:r w:rsidR="004443BA" w:rsidRPr="004443BA">
        <w:rPr>
          <w:szCs w:val="24"/>
        </w:rPr>
        <w:t>центром</w:t>
      </w:r>
      <w:r w:rsidR="004443BA">
        <w:rPr>
          <w:szCs w:val="24"/>
        </w:rPr>
        <w:t xml:space="preserve"> </w:t>
      </w:r>
      <w:r w:rsidR="004443BA" w:rsidRPr="004443BA">
        <w:rPr>
          <w:szCs w:val="24"/>
        </w:rPr>
        <w:t>стало общение русских северных городов</w:t>
      </w:r>
      <w:r w:rsidR="00C8285D">
        <w:rPr>
          <w:szCs w:val="24"/>
        </w:rPr>
        <w:t xml:space="preserve"> с вольными городами Ганзенского союза. </w:t>
      </w:r>
    </w:p>
    <w:p w14:paraId="47DD3390" w14:textId="77777777" w:rsidR="00D17E19" w:rsidRDefault="00AA2BCE" w:rsidP="00AA2BCE">
      <w:pPr>
        <w:ind w:firstLine="708"/>
        <w:rPr>
          <w:szCs w:val="24"/>
        </w:rPr>
      </w:pPr>
      <w:r>
        <w:rPr>
          <w:szCs w:val="24"/>
        </w:rPr>
        <w:t xml:space="preserve">Вторым этапом является стремительное развитие </w:t>
      </w:r>
      <w:r w:rsidR="009E72DB">
        <w:rPr>
          <w:szCs w:val="24"/>
        </w:rPr>
        <w:t>межгосударственных</w:t>
      </w:r>
      <w:r>
        <w:rPr>
          <w:szCs w:val="24"/>
        </w:rPr>
        <w:t xml:space="preserve"> отношений в период правления династии Романовых</w:t>
      </w:r>
      <w:r w:rsidR="009E72DB">
        <w:rPr>
          <w:szCs w:val="24"/>
        </w:rPr>
        <w:t xml:space="preserve">: династические узы и фактическая «германизация» Российской империи, приток немецких специалистов и переселенцев и их влияние на государственный аппарат, расширение торгово-экономических связей и научно-технического сотрудничества – основные черты российско-германских отношений в </w:t>
      </w:r>
      <w:r w:rsidR="009E72DB">
        <w:rPr>
          <w:szCs w:val="24"/>
          <w:lang w:val="en-US"/>
        </w:rPr>
        <w:t>XVI</w:t>
      </w:r>
      <w:r w:rsidR="00DA45D9">
        <w:rPr>
          <w:szCs w:val="24"/>
          <w:lang w:val="en-US"/>
        </w:rPr>
        <w:t>I</w:t>
      </w:r>
      <w:r w:rsidR="009E72DB" w:rsidRPr="009E72DB">
        <w:rPr>
          <w:szCs w:val="24"/>
        </w:rPr>
        <w:t xml:space="preserve"> </w:t>
      </w:r>
      <w:r w:rsidR="009E72DB">
        <w:rPr>
          <w:szCs w:val="24"/>
        </w:rPr>
        <w:t>–</w:t>
      </w:r>
      <w:r w:rsidR="009E72DB" w:rsidRPr="009E72DB">
        <w:rPr>
          <w:szCs w:val="24"/>
        </w:rPr>
        <w:t xml:space="preserve"> </w:t>
      </w:r>
      <w:r w:rsidR="009E72DB">
        <w:rPr>
          <w:szCs w:val="24"/>
        </w:rPr>
        <w:t xml:space="preserve">начале </w:t>
      </w:r>
      <w:r w:rsidR="009E72DB">
        <w:rPr>
          <w:szCs w:val="24"/>
          <w:lang w:val="en-US"/>
        </w:rPr>
        <w:t>XX</w:t>
      </w:r>
      <w:r w:rsidR="009E72DB" w:rsidRPr="009E72DB">
        <w:rPr>
          <w:szCs w:val="24"/>
        </w:rPr>
        <w:t xml:space="preserve"> </w:t>
      </w:r>
      <w:r w:rsidR="009E72DB">
        <w:rPr>
          <w:szCs w:val="24"/>
        </w:rPr>
        <w:t xml:space="preserve">вв. </w:t>
      </w:r>
    </w:p>
    <w:p w14:paraId="0669B18B" w14:textId="083EA669" w:rsidR="009E72DB" w:rsidRDefault="00D17E19" w:rsidP="00AA2BCE">
      <w:pPr>
        <w:ind w:firstLine="708"/>
        <w:rPr>
          <w:szCs w:val="24"/>
        </w:rPr>
      </w:pPr>
      <w:r>
        <w:rPr>
          <w:szCs w:val="24"/>
        </w:rPr>
        <w:t>Не останавливаясь на особенностях развития российско-германских отношений при каждом правителе следует, однако</w:t>
      </w:r>
      <w:r w:rsidR="00707844">
        <w:rPr>
          <w:szCs w:val="24"/>
        </w:rPr>
        <w:t>,</w:t>
      </w:r>
      <w:r>
        <w:rPr>
          <w:szCs w:val="24"/>
        </w:rPr>
        <w:t xml:space="preserve"> выделить время правления Петра </w:t>
      </w:r>
      <w:r>
        <w:rPr>
          <w:szCs w:val="24"/>
          <w:lang w:val="en-US"/>
        </w:rPr>
        <w:t>I</w:t>
      </w:r>
      <w:r>
        <w:rPr>
          <w:szCs w:val="24"/>
        </w:rPr>
        <w:t xml:space="preserve">, Екатерины </w:t>
      </w:r>
      <w:r>
        <w:rPr>
          <w:szCs w:val="24"/>
          <w:lang w:val="de-DE"/>
        </w:rPr>
        <w:t>II</w:t>
      </w:r>
      <w:r w:rsidRPr="00D17E19">
        <w:rPr>
          <w:szCs w:val="24"/>
        </w:rPr>
        <w:t xml:space="preserve">, </w:t>
      </w:r>
      <w:r>
        <w:rPr>
          <w:szCs w:val="24"/>
        </w:rPr>
        <w:t xml:space="preserve">а также период со второй половины </w:t>
      </w:r>
      <w:r>
        <w:rPr>
          <w:szCs w:val="24"/>
          <w:lang w:val="en-US"/>
        </w:rPr>
        <w:t>XIX</w:t>
      </w:r>
      <w:r w:rsidRPr="00D17E19">
        <w:rPr>
          <w:szCs w:val="24"/>
        </w:rPr>
        <w:t xml:space="preserve"> </w:t>
      </w:r>
      <w:r>
        <w:rPr>
          <w:szCs w:val="24"/>
        </w:rPr>
        <w:t>века до начала первой мировой войны в 1914 году.</w:t>
      </w:r>
    </w:p>
    <w:p w14:paraId="7453B994" w14:textId="79B659F6" w:rsidR="00E56BF7" w:rsidRDefault="00D17E19" w:rsidP="002F5E7F">
      <w:pPr>
        <w:ind w:firstLine="708"/>
        <w:rPr>
          <w:szCs w:val="24"/>
        </w:rPr>
      </w:pPr>
      <w:r>
        <w:rPr>
          <w:szCs w:val="24"/>
        </w:rPr>
        <w:t xml:space="preserve">Период правления Петра </w:t>
      </w:r>
      <w:r>
        <w:rPr>
          <w:szCs w:val="24"/>
          <w:lang w:val="en-US"/>
        </w:rPr>
        <w:t>I</w:t>
      </w:r>
      <w:r w:rsidRPr="00D17E19">
        <w:rPr>
          <w:szCs w:val="24"/>
        </w:rPr>
        <w:t xml:space="preserve"> </w:t>
      </w:r>
      <w:r>
        <w:rPr>
          <w:szCs w:val="24"/>
        </w:rPr>
        <w:t>ассоциируется не только с основанием города Санкт-Петербурга, Северной войной со Швецией и получени</w:t>
      </w:r>
      <w:r w:rsidR="00344C9F">
        <w:rPr>
          <w:szCs w:val="24"/>
        </w:rPr>
        <w:t>ем</w:t>
      </w:r>
      <w:r>
        <w:rPr>
          <w:szCs w:val="24"/>
        </w:rPr>
        <w:t xml:space="preserve"> выхода к Балтийскому морю, но </w:t>
      </w:r>
      <w:r>
        <w:rPr>
          <w:szCs w:val="24"/>
        </w:rPr>
        <w:lastRenderedPageBreak/>
        <w:t>и с первой в истории России модернизацией</w:t>
      </w:r>
      <w:r w:rsidR="00344C9F">
        <w:rPr>
          <w:szCs w:val="24"/>
        </w:rPr>
        <w:t>. Е</w:t>
      </w:r>
      <w:r>
        <w:rPr>
          <w:szCs w:val="24"/>
        </w:rPr>
        <w:t>го путешестви</w:t>
      </w:r>
      <w:r w:rsidR="00344C9F">
        <w:rPr>
          <w:szCs w:val="24"/>
        </w:rPr>
        <w:t xml:space="preserve">е </w:t>
      </w:r>
      <w:r>
        <w:rPr>
          <w:szCs w:val="24"/>
        </w:rPr>
        <w:t xml:space="preserve">в Европу в составе «Великого посольства» </w:t>
      </w:r>
      <w:r w:rsidR="00344C9F">
        <w:rPr>
          <w:szCs w:val="24"/>
        </w:rPr>
        <w:t>не только преследовало цель</w:t>
      </w:r>
      <w:r>
        <w:rPr>
          <w:szCs w:val="24"/>
        </w:rPr>
        <w:t xml:space="preserve"> получить поддержку в войне со Швецией, но также и перенять достижения стран Западной Европы в военной сфере, экономике, промышленности</w:t>
      </w:r>
      <w:r w:rsidR="005B7AA7">
        <w:rPr>
          <w:szCs w:val="24"/>
        </w:rPr>
        <w:t xml:space="preserve"> и </w:t>
      </w:r>
      <w:r>
        <w:rPr>
          <w:szCs w:val="24"/>
        </w:rPr>
        <w:t>государственном управлении.</w:t>
      </w:r>
      <w:r w:rsidR="005B7AA7">
        <w:rPr>
          <w:szCs w:val="24"/>
        </w:rPr>
        <w:t xml:space="preserve"> Необходимость европеизации России требовала наличие соответствующих кадров. В связи с этим </w:t>
      </w:r>
      <w:r w:rsidR="005B7AA7" w:rsidRPr="005B7AA7">
        <w:rPr>
          <w:szCs w:val="24"/>
        </w:rPr>
        <w:t>27 апреля 1702</w:t>
      </w:r>
      <w:r w:rsidR="005B7AA7">
        <w:rPr>
          <w:szCs w:val="24"/>
        </w:rPr>
        <w:t xml:space="preserve"> года Петр </w:t>
      </w:r>
      <w:r w:rsidR="005B7AA7">
        <w:rPr>
          <w:szCs w:val="24"/>
          <w:lang w:val="en-US"/>
        </w:rPr>
        <w:t>I</w:t>
      </w:r>
      <w:r w:rsidR="005B7AA7" w:rsidRPr="005B7AA7">
        <w:rPr>
          <w:szCs w:val="24"/>
        </w:rPr>
        <w:t xml:space="preserve"> </w:t>
      </w:r>
      <w:r w:rsidR="005B7AA7">
        <w:rPr>
          <w:szCs w:val="24"/>
        </w:rPr>
        <w:t>издал манифест «</w:t>
      </w:r>
      <w:r w:rsidR="005B7AA7" w:rsidRPr="005B7AA7">
        <w:rPr>
          <w:szCs w:val="24"/>
        </w:rPr>
        <w:t>О вызове иностранцев в Россию, с обещанием им свободы вероисповедания</w:t>
      </w:r>
      <w:r w:rsidR="005B7AA7">
        <w:rPr>
          <w:szCs w:val="24"/>
        </w:rPr>
        <w:t>», целью которого было привлечение торговцев, специалистов (в первую очередь военного дела на фоне Северной войны), ремесленников</w:t>
      </w:r>
      <w:r w:rsidR="00C8285D">
        <w:rPr>
          <w:szCs w:val="24"/>
        </w:rPr>
        <w:t xml:space="preserve">, среди которых немцы </w:t>
      </w:r>
      <w:r w:rsidR="00B117E1">
        <w:rPr>
          <w:szCs w:val="24"/>
        </w:rPr>
        <w:t>занимали одно из первых мест</w:t>
      </w:r>
      <w:r w:rsidR="00C8285D">
        <w:rPr>
          <w:szCs w:val="24"/>
        </w:rPr>
        <w:t>. Они</w:t>
      </w:r>
      <w:r w:rsidR="00977014">
        <w:rPr>
          <w:szCs w:val="24"/>
        </w:rPr>
        <w:t xml:space="preserve"> задействовались в развитии горнодобывающей промышленности, черной и цветной металлургии, оружейного и пушечного дела и других отраслей. </w:t>
      </w:r>
      <w:r w:rsidR="00004B3B">
        <w:rPr>
          <w:szCs w:val="24"/>
        </w:rPr>
        <w:t>В годы правления Петра активно развивалось иностранное торговое предпринимательство</w:t>
      </w:r>
      <w:r w:rsidR="00C8285D">
        <w:rPr>
          <w:szCs w:val="24"/>
        </w:rPr>
        <w:t xml:space="preserve"> и мануфактурное производство</w:t>
      </w:r>
      <w:r w:rsidR="002F5E7F">
        <w:rPr>
          <w:szCs w:val="24"/>
        </w:rPr>
        <w:t>, а н</w:t>
      </w:r>
      <w:r w:rsidR="00F24882">
        <w:rPr>
          <w:szCs w:val="24"/>
        </w:rPr>
        <w:t xml:space="preserve">есмотря на доминирование Англии среди торговых партнеров России в начале </w:t>
      </w:r>
      <w:r w:rsidR="00F24882">
        <w:rPr>
          <w:szCs w:val="24"/>
          <w:lang w:val="en-US"/>
        </w:rPr>
        <w:t>XVII</w:t>
      </w:r>
      <w:r w:rsidR="00F24882" w:rsidRPr="00F24882">
        <w:rPr>
          <w:szCs w:val="24"/>
        </w:rPr>
        <w:t xml:space="preserve"> </w:t>
      </w:r>
      <w:r w:rsidR="00F24882">
        <w:rPr>
          <w:szCs w:val="24"/>
        </w:rPr>
        <w:t>века, немецкое купечество нач</w:t>
      </w:r>
      <w:r w:rsidR="00C8285D">
        <w:rPr>
          <w:szCs w:val="24"/>
        </w:rPr>
        <w:t>ало</w:t>
      </w:r>
      <w:r w:rsidR="00F24882">
        <w:rPr>
          <w:szCs w:val="24"/>
        </w:rPr>
        <w:t xml:space="preserve"> играть весомую роль и зан</w:t>
      </w:r>
      <w:r w:rsidR="00C8285D">
        <w:rPr>
          <w:szCs w:val="24"/>
        </w:rPr>
        <w:t>яло</w:t>
      </w:r>
      <w:r w:rsidR="00F24882">
        <w:rPr>
          <w:szCs w:val="24"/>
        </w:rPr>
        <w:t xml:space="preserve"> третье место после англичан и голландцев</w:t>
      </w:r>
      <w:r w:rsidR="002F5E7F">
        <w:rPr>
          <w:szCs w:val="24"/>
        </w:rPr>
        <w:t xml:space="preserve"> </w:t>
      </w:r>
      <w:r w:rsidR="002F5E7F">
        <w:rPr>
          <w:rStyle w:val="af5"/>
          <w:szCs w:val="24"/>
        </w:rPr>
        <w:footnoteReference w:id="48"/>
      </w:r>
      <w:r w:rsidR="00F24882">
        <w:rPr>
          <w:szCs w:val="24"/>
        </w:rPr>
        <w:t>.</w:t>
      </w:r>
      <w:r w:rsidR="00DB1627">
        <w:rPr>
          <w:szCs w:val="24"/>
        </w:rPr>
        <w:t xml:space="preserve"> </w:t>
      </w:r>
      <w:r w:rsidR="002F5E7F">
        <w:rPr>
          <w:szCs w:val="24"/>
        </w:rPr>
        <w:t xml:space="preserve"> Таким образом,</w:t>
      </w:r>
      <w:r w:rsidR="007A37E1">
        <w:rPr>
          <w:szCs w:val="24"/>
        </w:rPr>
        <w:t xml:space="preserve"> </w:t>
      </w:r>
      <w:r w:rsidR="002F5E7F">
        <w:rPr>
          <w:szCs w:val="24"/>
        </w:rPr>
        <w:t>ключевым</w:t>
      </w:r>
      <w:r w:rsidR="007A37E1">
        <w:rPr>
          <w:szCs w:val="24"/>
        </w:rPr>
        <w:t xml:space="preserve"> факторо</w:t>
      </w:r>
      <w:r w:rsidR="002F5E7F">
        <w:rPr>
          <w:szCs w:val="24"/>
        </w:rPr>
        <w:t>м</w:t>
      </w:r>
      <w:r w:rsidR="007A37E1">
        <w:rPr>
          <w:szCs w:val="24"/>
        </w:rPr>
        <w:t xml:space="preserve"> в проведении модернизации Петром </w:t>
      </w:r>
      <w:r w:rsidR="007A37E1">
        <w:rPr>
          <w:szCs w:val="24"/>
          <w:lang w:val="en-US"/>
        </w:rPr>
        <w:t>I</w:t>
      </w:r>
      <w:r w:rsidR="007A37E1" w:rsidRPr="007A37E1">
        <w:rPr>
          <w:szCs w:val="24"/>
        </w:rPr>
        <w:t xml:space="preserve"> </w:t>
      </w:r>
      <w:r w:rsidR="007A37E1">
        <w:rPr>
          <w:szCs w:val="24"/>
        </w:rPr>
        <w:t>являлось перенимание европейского опыта из различных областей экономической и торговой деятельности, а также привлечение иностранных специалистов.</w:t>
      </w:r>
      <w:r w:rsidR="00E56BF7">
        <w:rPr>
          <w:szCs w:val="24"/>
        </w:rPr>
        <w:tab/>
      </w:r>
    </w:p>
    <w:p w14:paraId="4D4E4C5A" w14:textId="35C84204" w:rsidR="00B44897" w:rsidRDefault="00267099" w:rsidP="00B44897">
      <w:pPr>
        <w:ind w:firstLine="708"/>
        <w:rPr>
          <w:szCs w:val="24"/>
        </w:rPr>
      </w:pPr>
      <w:r>
        <w:rPr>
          <w:szCs w:val="24"/>
        </w:rPr>
        <w:t xml:space="preserve">Продолжая политику Петра </w:t>
      </w:r>
      <w:r>
        <w:rPr>
          <w:szCs w:val="24"/>
          <w:lang w:val="en-US"/>
        </w:rPr>
        <w:t>I</w:t>
      </w:r>
      <w:r>
        <w:rPr>
          <w:szCs w:val="24"/>
        </w:rPr>
        <w:t xml:space="preserve">, основной задачей которого было удовлетворение нужд военных, Екатерина </w:t>
      </w:r>
      <w:r>
        <w:rPr>
          <w:szCs w:val="24"/>
          <w:lang w:val="en-US"/>
        </w:rPr>
        <w:t>II</w:t>
      </w:r>
      <w:r w:rsidRPr="00267099">
        <w:rPr>
          <w:szCs w:val="24"/>
        </w:rPr>
        <w:t xml:space="preserve"> </w:t>
      </w:r>
      <w:r>
        <w:rPr>
          <w:szCs w:val="24"/>
        </w:rPr>
        <w:t>сумела</w:t>
      </w:r>
      <w:r w:rsidR="00806A34">
        <w:rPr>
          <w:szCs w:val="24"/>
        </w:rPr>
        <w:t>, тем не менее,</w:t>
      </w:r>
      <w:r>
        <w:rPr>
          <w:szCs w:val="24"/>
        </w:rPr>
        <w:t xml:space="preserve"> вести взвешенную внутреннюю и внешнюю политику</w:t>
      </w:r>
      <w:r w:rsidR="00806A34">
        <w:rPr>
          <w:szCs w:val="24"/>
        </w:rPr>
        <w:t xml:space="preserve">, за что её впоследствии прозвали «Великой». Дочь прусского генерала, немка по происхождению, она упрочнила фундамент европеизации, заложенный Петром </w:t>
      </w:r>
      <w:r w:rsidR="00806A34">
        <w:rPr>
          <w:szCs w:val="24"/>
          <w:lang w:val="en-US"/>
        </w:rPr>
        <w:t>I</w:t>
      </w:r>
      <w:r w:rsidR="00806A34">
        <w:rPr>
          <w:szCs w:val="24"/>
        </w:rPr>
        <w:t xml:space="preserve">, а экономические и денежная реформы способствовали интенсивному росту и развитию экономики и торговли. </w:t>
      </w:r>
    </w:p>
    <w:p w14:paraId="3F3114E0" w14:textId="390F1FA0" w:rsidR="00CA6406" w:rsidRDefault="00353844" w:rsidP="00E40430">
      <w:pPr>
        <w:ind w:firstLine="708"/>
        <w:rPr>
          <w:szCs w:val="24"/>
        </w:rPr>
      </w:pPr>
      <w:r>
        <w:rPr>
          <w:szCs w:val="24"/>
        </w:rPr>
        <w:t xml:space="preserve">Следующим важным </w:t>
      </w:r>
      <w:r w:rsidR="001D35A5">
        <w:rPr>
          <w:szCs w:val="24"/>
        </w:rPr>
        <w:t xml:space="preserve">периодом стала индустриализация Российской империи в период </w:t>
      </w:r>
      <w:r>
        <w:rPr>
          <w:szCs w:val="24"/>
        </w:rPr>
        <w:t>втор</w:t>
      </w:r>
      <w:r w:rsidR="001D35A5">
        <w:rPr>
          <w:szCs w:val="24"/>
        </w:rPr>
        <w:t>ой</w:t>
      </w:r>
      <w:r>
        <w:rPr>
          <w:szCs w:val="24"/>
        </w:rPr>
        <w:t xml:space="preserve"> половин</w:t>
      </w:r>
      <w:r w:rsidR="001D35A5">
        <w:rPr>
          <w:szCs w:val="24"/>
        </w:rPr>
        <w:t>ы</w:t>
      </w:r>
      <w:r>
        <w:rPr>
          <w:szCs w:val="24"/>
        </w:rPr>
        <w:t xml:space="preserve"> </w:t>
      </w:r>
      <w:r>
        <w:rPr>
          <w:szCs w:val="24"/>
          <w:lang w:val="de-DE"/>
        </w:rPr>
        <w:t>XIX</w:t>
      </w:r>
      <w:r>
        <w:rPr>
          <w:szCs w:val="24"/>
        </w:rPr>
        <w:t xml:space="preserve"> века</w:t>
      </w:r>
      <w:r w:rsidR="001D35A5">
        <w:rPr>
          <w:szCs w:val="24"/>
        </w:rPr>
        <w:t xml:space="preserve"> и до начала Первой мировой войны. </w:t>
      </w:r>
      <w:r w:rsidR="004375F0">
        <w:rPr>
          <w:szCs w:val="24"/>
        </w:rPr>
        <w:t xml:space="preserve">Её активная фаза пришлась на 1880-1890-х гг. с приходом к власти Александра </w:t>
      </w:r>
      <w:r w:rsidR="004375F0">
        <w:rPr>
          <w:szCs w:val="24"/>
          <w:lang w:val="de-DE"/>
        </w:rPr>
        <w:t>III</w:t>
      </w:r>
      <w:r w:rsidR="004375F0" w:rsidRPr="004375F0">
        <w:rPr>
          <w:szCs w:val="24"/>
        </w:rPr>
        <w:t xml:space="preserve"> </w:t>
      </w:r>
      <w:r w:rsidR="004375F0">
        <w:rPr>
          <w:szCs w:val="24"/>
        </w:rPr>
        <w:t xml:space="preserve">и проведении им протекционистской политики контрреформ – обратной той, которую проводил его предшественник Александр </w:t>
      </w:r>
      <w:r w:rsidR="004375F0">
        <w:rPr>
          <w:szCs w:val="24"/>
          <w:lang w:val="de-DE"/>
        </w:rPr>
        <w:t>II</w:t>
      </w:r>
      <w:r w:rsidR="004375F0">
        <w:rPr>
          <w:szCs w:val="24"/>
        </w:rPr>
        <w:t>.</w:t>
      </w:r>
      <w:r w:rsidR="00B26A4A">
        <w:rPr>
          <w:szCs w:val="24"/>
        </w:rPr>
        <w:t xml:space="preserve"> В силу политической и экономической конъюнктуры к </w:t>
      </w:r>
      <w:r w:rsidR="00356694">
        <w:rPr>
          <w:szCs w:val="24"/>
        </w:rPr>
        <w:t xml:space="preserve"> концу столетия Англия была смещена с позиции лидирующего партнера Российской империи в торговле, а её место заняла Германия – молодая империя с бурно развивающимся капитализмом, промышленность которой находилась на передовых позициях. В этих условиях, Российской империи – богатой природными ресурсами с одной стороны и </w:t>
      </w:r>
      <w:r w:rsidR="00356694">
        <w:rPr>
          <w:szCs w:val="24"/>
        </w:rPr>
        <w:lastRenderedPageBreak/>
        <w:t xml:space="preserve">нуждающейся в технологиях с другой, было предопределено стать для Германии надежным торгово-экономическим партнером. </w:t>
      </w:r>
    </w:p>
    <w:p w14:paraId="0512613C" w14:textId="29653B67" w:rsidR="00664BF6" w:rsidRDefault="00E40430" w:rsidP="00664BF6">
      <w:pPr>
        <w:ind w:firstLine="708"/>
        <w:rPr>
          <w:szCs w:val="24"/>
        </w:rPr>
      </w:pPr>
      <w:r>
        <w:rPr>
          <w:szCs w:val="24"/>
        </w:rPr>
        <w:t>О</w:t>
      </w:r>
      <w:r w:rsidR="00B86091">
        <w:rPr>
          <w:szCs w:val="24"/>
        </w:rPr>
        <w:t xml:space="preserve">снову </w:t>
      </w:r>
      <w:r w:rsidR="00664BF6">
        <w:rPr>
          <w:szCs w:val="24"/>
        </w:rPr>
        <w:t>российск</w:t>
      </w:r>
      <w:r w:rsidR="00B86091">
        <w:rPr>
          <w:szCs w:val="24"/>
        </w:rPr>
        <w:t>ого</w:t>
      </w:r>
      <w:r w:rsidR="00664BF6">
        <w:rPr>
          <w:szCs w:val="24"/>
        </w:rPr>
        <w:t xml:space="preserve"> экспорт</w:t>
      </w:r>
      <w:r w:rsidR="00B86091">
        <w:rPr>
          <w:szCs w:val="24"/>
        </w:rPr>
        <w:t>а</w:t>
      </w:r>
      <w:r w:rsidR="00664BF6">
        <w:rPr>
          <w:szCs w:val="24"/>
        </w:rPr>
        <w:t xml:space="preserve"> второй половины </w:t>
      </w:r>
      <w:r w:rsidR="00664BF6">
        <w:rPr>
          <w:szCs w:val="24"/>
          <w:lang w:val="de-DE"/>
        </w:rPr>
        <w:t>XIX</w:t>
      </w:r>
      <w:r w:rsidR="00664BF6" w:rsidRPr="00664BF6">
        <w:rPr>
          <w:szCs w:val="24"/>
        </w:rPr>
        <w:t xml:space="preserve"> </w:t>
      </w:r>
      <w:r w:rsidR="00664BF6">
        <w:rPr>
          <w:szCs w:val="24"/>
        </w:rPr>
        <w:t xml:space="preserve">века </w:t>
      </w:r>
      <w:r w:rsidR="00B86091">
        <w:rPr>
          <w:szCs w:val="24"/>
        </w:rPr>
        <w:t xml:space="preserve">составляли сельскохозяйственные товары – хлеб, лен, пушнина, лес; импорт же включал в себя станки и оборудование, технологичные готовые изделия, текстиль, одежду. Торговыми партнерами России выступали несколько государств: Германия, Великобритания, Франция и Австро-Венгрия - на их долю приходилось до 80% экспорта и 60% импорта. Особо необходимо выделить место Германии. Так, с 1856 по 1891 гг. товарооборот вырос в 5 раз, в то время как с Англией – в 2,2 раза - этому способствовала значительная либерализация торговли при Александре </w:t>
      </w:r>
      <w:r w:rsidR="00B86091">
        <w:rPr>
          <w:szCs w:val="24"/>
          <w:lang w:val="de-DE"/>
        </w:rPr>
        <w:t>II</w:t>
      </w:r>
      <w:r w:rsidR="009E19BD">
        <w:rPr>
          <w:szCs w:val="24"/>
        </w:rPr>
        <w:t xml:space="preserve"> </w:t>
      </w:r>
      <w:r w:rsidR="009E19BD">
        <w:rPr>
          <w:rStyle w:val="af5"/>
          <w:szCs w:val="24"/>
        </w:rPr>
        <w:footnoteReference w:id="49"/>
      </w:r>
      <w:r w:rsidR="00B86091">
        <w:rPr>
          <w:szCs w:val="24"/>
        </w:rPr>
        <w:t xml:space="preserve">. </w:t>
      </w:r>
    </w:p>
    <w:p w14:paraId="45739FA9" w14:textId="4F4F8415" w:rsidR="005D3D66" w:rsidRPr="00664F22" w:rsidRDefault="00B86091" w:rsidP="005D3D66">
      <w:pPr>
        <w:ind w:firstLine="708"/>
        <w:rPr>
          <w:szCs w:val="24"/>
        </w:rPr>
      </w:pPr>
      <w:r>
        <w:rPr>
          <w:szCs w:val="24"/>
        </w:rPr>
        <w:t xml:space="preserve">Тем не менее, несмотря на чрезмерную аграрную составляющую российской экономики, её структура стала постепенно меняться, что в свою очередь повлияло и на структуру экспорта. Стремительное развитие промышленности в Западной Европе, в частности в Германии породило большой спрос на нефть и нефтепродукты – керосин. Несмотря на то, что первые упоминания нефти на территории России датируются концом </w:t>
      </w:r>
      <w:r>
        <w:rPr>
          <w:szCs w:val="24"/>
          <w:lang w:val="de-DE"/>
        </w:rPr>
        <w:t>XVI</w:t>
      </w:r>
      <w:r w:rsidRPr="00B86091">
        <w:rPr>
          <w:szCs w:val="24"/>
        </w:rPr>
        <w:t xml:space="preserve"> </w:t>
      </w:r>
      <w:r>
        <w:rPr>
          <w:szCs w:val="24"/>
        </w:rPr>
        <w:t>века</w:t>
      </w:r>
      <w:r w:rsidR="007D5630">
        <w:rPr>
          <w:szCs w:val="24"/>
        </w:rPr>
        <w:t xml:space="preserve">, а уже в 1745 году Федор </w:t>
      </w:r>
      <w:proofErr w:type="spellStart"/>
      <w:r w:rsidR="007D5630">
        <w:rPr>
          <w:szCs w:val="24"/>
        </w:rPr>
        <w:t>Прудунов</w:t>
      </w:r>
      <w:proofErr w:type="spellEnd"/>
      <w:r w:rsidR="007D5630">
        <w:rPr>
          <w:szCs w:val="24"/>
        </w:rPr>
        <w:t xml:space="preserve"> получил разрешение добывать нефть со дна река Ухты, развитие данной отрасли в промышленном масштабе началось именно во второй половине </w:t>
      </w:r>
      <w:r w:rsidR="007D5630">
        <w:rPr>
          <w:szCs w:val="24"/>
          <w:lang w:val="de-DE"/>
        </w:rPr>
        <w:t>XIX</w:t>
      </w:r>
      <w:r w:rsidR="007D5630" w:rsidRPr="007D5630">
        <w:rPr>
          <w:szCs w:val="24"/>
        </w:rPr>
        <w:t xml:space="preserve"> </w:t>
      </w:r>
      <w:r w:rsidR="007D5630">
        <w:rPr>
          <w:szCs w:val="24"/>
        </w:rPr>
        <w:t xml:space="preserve">века, а её эпицентром стал Бакинский район, где было множество крупных месторождений. К этому времени в мире уже существовали крупные нефтяные корпорации – </w:t>
      </w:r>
      <w:r w:rsidR="007D5630">
        <w:rPr>
          <w:szCs w:val="24"/>
          <w:lang w:val="de-DE"/>
        </w:rPr>
        <w:t>Standard</w:t>
      </w:r>
      <w:r w:rsidR="007D5630" w:rsidRPr="007D5630">
        <w:rPr>
          <w:szCs w:val="24"/>
        </w:rPr>
        <w:t xml:space="preserve"> </w:t>
      </w:r>
      <w:r w:rsidR="007D5630">
        <w:rPr>
          <w:szCs w:val="24"/>
          <w:lang w:val="de-DE"/>
        </w:rPr>
        <w:t>Oil</w:t>
      </w:r>
      <w:r w:rsidR="007D5630" w:rsidRPr="007D5630">
        <w:rPr>
          <w:szCs w:val="24"/>
        </w:rPr>
        <w:t xml:space="preserve"> </w:t>
      </w:r>
      <w:r w:rsidR="007D5630">
        <w:rPr>
          <w:szCs w:val="24"/>
        </w:rPr>
        <w:t>и</w:t>
      </w:r>
      <w:r w:rsidR="007D5630" w:rsidRPr="007D5630">
        <w:rPr>
          <w:szCs w:val="24"/>
        </w:rPr>
        <w:t xml:space="preserve"> </w:t>
      </w:r>
      <w:r w:rsidR="007D5630">
        <w:rPr>
          <w:szCs w:val="24"/>
          <w:lang w:val="en-US"/>
        </w:rPr>
        <w:t>Royal</w:t>
      </w:r>
      <w:r w:rsidR="007D5630" w:rsidRPr="007D5630">
        <w:rPr>
          <w:szCs w:val="24"/>
        </w:rPr>
        <w:t xml:space="preserve"> </w:t>
      </w:r>
      <w:r w:rsidR="007D5630">
        <w:rPr>
          <w:szCs w:val="24"/>
          <w:lang w:val="en-US"/>
        </w:rPr>
        <w:t>Dutch</w:t>
      </w:r>
      <w:r w:rsidR="007D5630" w:rsidRPr="007D5630">
        <w:rPr>
          <w:szCs w:val="24"/>
        </w:rPr>
        <w:t xml:space="preserve"> </w:t>
      </w:r>
      <w:r w:rsidR="007D5630">
        <w:rPr>
          <w:szCs w:val="24"/>
          <w:lang w:val="en-US"/>
        </w:rPr>
        <w:t>Shell</w:t>
      </w:r>
      <w:r w:rsidR="007D5630">
        <w:rPr>
          <w:szCs w:val="24"/>
        </w:rPr>
        <w:t xml:space="preserve"> и их капитал без преуменьшения способствовал становлению российского нефтяного промысла. Безусловно это не</w:t>
      </w:r>
      <w:r w:rsidR="00664F22" w:rsidRPr="00664F22">
        <w:rPr>
          <w:szCs w:val="24"/>
        </w:rPr>
        <w:t xml:space="preserve"> </w:t>
      </w:r>
      <w:r w:rsidR="007D5630">
        <w:rPr>
          <w:szCs w:val="24"/>
        </w:rPr>
        <w:t>было благотворительностью: до формирования отечественных нефтяных компаний более 70% всего вывоза керосина приходилось на зарубежные фирмы</w:t>
      </w:r>
      <w:r w:rsidR="00B424DF">
        <w:rPr>
          <w:szCs w:val="24"/>
        </w:rPr>
        <w:t xml:space="preserve"> </w:t>
      </w:r>
      <w:r w:rsidR="00B424DF">
        <w:rPr>
          <w:rStyle w:val="af5"/>
          <w:szCs w:val="24"/>
        </w:rPr>
        <w:footnoteReference w:id="50"/>
      </w:r>
      <w:r w:rsidR="007D5630">
        <w:rPr>
          <w:szCs w:val="24"/>
        </w:rPr>
        <w:t>. Позднее были основаны «Бакинская нефтяная компания» и «Русская генеральная нефтяная компания». Особо необходимо выделить появившееся в 1879 году «Товарищество нефтяного производства братьев Нобель», которая вскоре вышла на лидирующие позиции на внутреннем рынке тем самым отчасти сместив зарубежные фирмы</w:t>
      </w:r>
      <w:r w:rsidR="00823F48">
        <w:rPr>
          <w:rStyle w:val="af5"/>
          <w:szCs w:val="24"/>
        </w:rPr>
        <w:footnoteReference w:id="51"/>
      </w:r>
      <w:r w:rsidR="007D5630">
        <w:rPr>
          <w:szCs w:val="24"/>
        </w:rPr>
        <w:t xml:space="preserve">. Несмотря на отсутствие достоверной статистики об участии немецких капиталов в нефтяной промышленности Российской </w:t>
      </w:r>
      <w:r w:rsidR="007D5630">
        <w:rPr>
          <w:szCs w:val="24"/>
        </w:rPr>
        <w:lastRenderedPageBreak/>
        <w:t xml:space="preserve">империи, </w:t>
      </w:r>
      <w:r w:rsidR="007D5630" w:rsidRPr="007D5630">
        <w:rPr>
          <w:szCs w:val="24"/>
        </w:rPr>
        <w:t xml:space="preserve">исследователь роли иностранного капитала в России Л.Я. Эвентов </w:t>
      </w:r>
      <w:r w:rsidR="007D5630">
        <w:rPr>
          <w:szCs w:val="24"/>
        </w:rPr>
        <w:t>отмечает</w:t>
      </w:r>
      <w:r w:rsidR="007D5630" w:rsidRPr="007D5630">
        <w:rPr>
          <w:szCs w:val="24"/>
        </w:rPr>
        <w:t>: «На протяжении своей деятельности Т</w:t>
      </w:r>
      <w:r w:rsidR="007D5630">
        <w:rPr>
          <w:szCs w:val="24"/>
        </w:rPr>
        <w:t>оварищество</w:t>
      </w:r>
      <w:r w:rsidR="007D5630" w:rsidRPr="007D5630">
        <w:rPr>
          <w:szCs w:val="24"/>
        </w:rPr>
        <w:t xml:space="preserve"> было тесно связано с немецким капиталом, главным образом через </w:t>
      </w:r>
      <w:proofErr w:type="spellStart"/>
      <w:r w:rsidR="007D5630" w:rsidRPr="007D5630">
        <w:rPr>
          <w:szCs w:val="24"/>
        </w:rPr>
        <w:t>Дисконто-Гезельшафт</w:t>
      </w:r>
      <w:proofErr w:type="spellEnd"/>
      <w:r w:rsidR="007D5630" w:rsidRPr="007D5630">
        <w:rPr>
          <w:szCs w:val="24"/>
        </w:rPr>
        <w:t>; оно даже систематически печатало свои отчеты кроме русского и на немецком языке. Впоследствии нобелевское предприятие через международные группировки вошло в контакт с английским и французским капиталом. Этого достаточно для включения нобелевского предприятия в группу иностранных»</w:t>
      </w:r>
      <w:r w:rsidR="009E19BD">
        <w:rPr>
          <w:rStyle w:val="af5"/>
          <w:szCs w:val="24"/>
        </w:rPr>
        <w:footnoteReference w:id="52"/>
      </w:r>
      <w:r w:rsidR="007D5630">
        <w:rPr>
          <w:szCs w:val="24"/>
        </w:rPr>
        <w:t>.</w:t>
      </w:r>
      <w:r w:rsidR="00664F22">
        <w:rPr>
          <w:szCs w:val="24"/>
        </w:rPr>
        <w:t xml:space="preserve"> Несмотря на то, что основной мыслью данного высказывания является опровержение тезиса о доминировании отечественных компаний в российском нефтепромысле, оно тем не менее не отрицает значимость данных продуктов для </w:t>
      </w:r>
      <w:r w:rsidR="00A9543A">
        <w:rPr>
          <w:szCs w:val="24"/>
        </w:rPr>
        <w:t>г</w:t>
      </w:r>
      <w:r w:rsidR="00664F22">
        <w:rPr>
          <w:szCs w:val="24"/>
        </w:rPr>
        <w:t>ерманской промышленности</w:t>
      </w:r>
      <w:r w:rsidR="00A9543A">
        <w:rPr>
          <w:szCs w:val="24"/>
        </w:rPr>
        <w:t>: в 1890-е годы доля нефти и нефтепродуктов в российском экспорте в Германию достигла 12%</w:t>
      </w:r>
      <w:r w:rsidR="009E19BD">
        <w:rPr>
          <w:szCs w:val="24"/>
        </w:rPr>
        <w:t xml:space="preserve"> </w:t>
      </w:r>
      <w:r w:rsidR="009E19BD">
        <w:rPr>
          <w:rStyle w:val="af5"/>
          <w:szCs w:val="24"/>
        </w:rPr>
        <w:footnoteReference w:id="53"/>
      </w:r>
      <w:r w:rsidR="00A9543A">
        <w:rPr>
          <w:szCs w:val="24"/>
        </w:rPr>
        <w:t>.</w:t>
      </w:r>
    </w:p>
    <w:p w14:paraId="6B68A5CF" w14:textId="04779B0D" w:rsidR="005D3D66" w:rsidRDefault="005D3D66" w:rsidP="005D3D66">
      <w:pPr>
        <w:ind w:firstLine="708"/>
        <w:rPr>
          <w:szCs w:val="24"/>
        </w:rPr>
      </w:pPr>
      <w:r>
        <w:rPr>
          <w:szCs w:val="24"/>
        </w:rPr>
        <w:t>В целом же к 1913 году накопленный иностранный капитал в российской промышленности составлял 1300 млн. рублей, из которых на долю Германии приходилось 378 тысяч рублей (1-е место). Для сравнения, английский капитал составлял почти 230 тысяч рублей. Основными формами вложения германского капитала были акции российских обществ – около ¾ от всего объема, и ¼ составляло объем инвестиций на создание собственных компаний</w:t>
      </w:r>
      <w:r w:rsidR="00E765BB">
        <w:rPr>
          <w:szCs w:val="24"/>
        </w:rPr>
        <w:t xml:space="preserve"> </w:t>
      </w:r>
      <w:r w:rsidR="00E765BB">
        <w:rPr>
          <w:rStyle w:val="af5"/>
          <w:szCs w:val="24"/>
        </w:rPr>
        <w:footnoteReference w:id="54"/>
      </w:r>
      <w:r>
        <w:rPr>
          <w:szCs w:val="24"/>
        </w:rPr>
        <w:t xml:space="preserve">. </w:t>
      </w:r>
    </w:p>
    <w:p w14:paraId="487E13D8" w14:textId="70D8AD57" w:rsidR="00C07B3C" w:rsidRDefault="005D3D66" w:rsidP="00A9543A">
      <w:pPr>
        <w:ind w:firstLine="708"/>
        <w:rPr>
          <w:szCs w:val="24"/>
        </w:rPr>
      </w:pPr>
      <w:r>
        <w:rPr>
          <w:szCs w:val="24"/>
        </w:rPr>
        <w:t xml:space="preserve">Однако германские капиталы проникали не только в российскую нефтяную промышленность. Они также стояли у истоков </w:t>
      </w:r>
      <w:r w:rsidR="00243574">
        <w:rPr>
          <w:szCs w:val="24"/>
        </w:rPr>
        <w:t>энергетической, электротехнической, химической промышленности. В отношении последней экономист Вениамин Зив</w:t>
      </w:r>
      <w:r w:rsidR="00243574">
        <w:rPr>
          <w:b/>
          <w:szCs w:val="24"/>
        </w:rPr>
        <w:t xml:space="preserve"> </w:t>
      </w:r>
      <w:r w:rsidR="00243574" w:rsidRPr="00243574">
        <w:rPr>
          <w:szCs w:val="24"/>
        </w:rPr>
        <w:t>писал</w:t>
      </w:r>
      <w:r w:rsidR="00243574">
        <w:rPr>
          <w:b/>
          <w:szCs w:val="24"/>
        </w:rPr>
        <w:t xml:space="preserve"> </w:t>
      </w:r>
      <w:r w:rsidR="00243574" w:rsidRPr="00243574">
        <w:rPr>
          <w:szCs w:val="24"/>
        </w:rPr>
        <w:t>«В какую бы отрасль сложной химической промышленности в России ни заглянуть, всюду видны следы явного и скрытого влияния германцев</w:t>
      </w:r>
      <w:r w:rsidR="00243574">
        <w:rPr>
          <w:szCs w:val="24"/>
        </w:rPr>
        <w:t>…</w:t>
      </w:r>
      <w:r w:rsidR="00243574" w:rsidRPr="00243574">
        <w:rPr>
          <w:szCs w:val="24"/>
        </w:rPr>
        <w:t xml:space="preserve"> Чтобы выяснить то огромное влияние, которое германские капиталы имеют на химическую промышленность в России, достаточно указать на то, что в России имеются филиальные отделения почти всех крупных и средних германских химических предприятий» </w:t>
      </w:r>
      <w:r w:rsidR="00E765BB">
        <w:rPr>
          <w:rStyle w:val="af5"/>
          <w:szCs w:val="24"/>
        </w:rPr>
        <w:footnoteReference w:id="55"/>
      </w:r>
      <w:r w:rsidR="00243574">
        <w:rPr>
          <w:szCs w:val="24"/>
        </w:rPr>
        <w:t>.</w:t>
      </w:r>
    </w:p>
    <w:p w14:paraId="408E46A6" w14:textId="7913C1F9" w:rsidR="00143D8F" w:rsidRPr="00644A19" w:rsidRDefault="00A9543A" w:rsidP="00143D8F">
      <w:pPr>
        <w:ind w:firstLine="708"/>
        <w:rPr>
          <w:szCs w:val="24"/>
        </w:rPr>
      </w:pPr>
      <w:r>
        <w:rPr>
          <w:szCs w:val="24"/>
        </w:rPr>
        <w:t>Приведенный выше анализ торгово-экономических отношений между Россией и Германией подтверждается статистическими данными за данный отчетный период</w:t>
      </w:r>
      <w:r w:rsidR="004F0D96">
        <w:rPr>
          <w:rStyle w:val="af5"/>
          <w:szCs w:val="24"/>
        </w:rPr>
        <w:footnoteReference w:id="56"/>
      </w:r>
      <w:r>
        <w:rPr>
          <w:szCs w:val="24"/>
        </w:rPr>
        <w:t xml:space="preserve">. </w:t>
      </w:r>
      <w:r>
        <w:rPr>
          <w:szCs w:val="24"/>
        </w:rPr>
        <w:lastRenderedPageBreak/>
        <w:t xml:space="preserve">Источником данных является </w:t>
      </w:r>
      <w:r w:rsidRPr="00A9543A">
        <w:rPr>
          <w:szCs w:val="24"/>
        </w:rPr>
        <w:t>ежегодник статистики внешней торговли</w:t>
      </w:r>
      <w:r>
        <w:rPr>
          <w:szCs w:val="24"/>
        </w:rPr>
        <w:t xml:space="preserve"> </w:t>
      </w:r>
      <w:r w:rsidRPr="00A9543A">
        <w:rPr>
          <w:szCs w:val="24"/>
        </w:rPr>
        <w:t>Российской империи</w:t>
      </w:r>
      <w:r>
        <w:rPr>
          <w:szCs w:val="24"/>
        </w:rPr>
        <w:t xml:space="preserve">, который выходил с 1802 по 1917 гг. Однако с 1827 года в нем стали отражаться экспортно-импортные операции. На их основании следует вывод о том, что с 1860 года </w:t>
      </w:r>
      <w:r w:rsidR="00143D8F">
        <w:rPr>
          <w:szCs w:val="24"/>
        </w:rPr>
        <w:t xml:space="preserve">до 1913 года российский экспорт в Германию вырос с 25 млн. рублей до 450 млн. рублей, а импорт – 37 до 650 млн. рублей. Рост в 1860-1870-е годы соответствует проводимой Александром </w:t>
      </w:r>
      <w:r w:rsidR="00143D8F">
        <w:rPr>
          <w:szCs w:val="24"/>
          <w:lang w:val="de-DE"/>
        </w:rPr>
        <w:t>II</w:t>
      </w:r>
      <w:r w:rsidR="00143D8F" w:rsidRPr="00143D8F">
        <w:rPr>
          <w:szCs w:val="24"/>
        </w:rPr>
        <w:t xml:space="preserve"> </w:t>
      </w:r>
      <w:r w:rsidR="00143D8F">
        <w:rPr>
          <w:szCs w:val="24"/>
        </w:rPr>
        <w:t xml:space="preserve">либеральной политике по снижению пошлин, а сокращение объемов торговли в период 1880-1890-х годов объясняется возвратом Александра </w:t>
      </w:r>
      <w:r w:rsidR="00143D8F">
        <w:rPr>
          <w:szCs w:val="24"/>
          <w:lang w:val="de-DE"/>
        </w:rPr>
        <w:t>III</w:t>
      </w:r>
      <w:r w:rsidR="00143D8F" w:rsidRPr="00143D8F">
        <w:rPr>
          <w:szCs w:val="24"/>
        </w:rPr>
        <w:t xml:space="preserve"> </w:t>
      </w:r>
      <w:r w:rsidR="00143D8F">
        <w:rPr>
          <w:szCs w:val="24"/>
        </w:rPr>
        <w:t>к протекционизму и росту политических противоречий между двумя империями.</w:t>
      </w:r>
      <w:r w:rsidR="00644A19">
        <w:rPr>
          <w:szCs w:val="24"/>
        </w:rPr>
        <w:t xml:space="preserve"> Экономика и промышленность в начале </w:t>
      </w:r>
      <w:r w:rsidR="00644A19">
        <w:rPr>
          <w:szCs w:val="24"/>
          <w:lang w:val="de-DE"/>
        </w:rPr>
        <w:t>XX</w:t>
      </w:r>
      <w:r w:rsidR="00644A19" w:rsidRPr="00644A19">
        <w:rPr>
          <w:szCs w:val="24"/>
        </w:rPr>
        <w:t xml:space="preserve"> </w:t>
      </w:r>
      <w:r w:rsidR="00644A19">
        <w:rPr>
          <w:szCs w:val="24"/>
        </w:rPr>
        <w:t xml:space="preserve">охарактеризовались достаточно быстрым развитием: темпы роста сельского хозяйства составляли в среднем 2% в год, а промышленности 4-5%. Тем не менее, Российская империя оставалась достаточно отсталой в сравнение с передовыми странами Запада, а высокая концентрация иностранного капитала в стране в конечном итоге сыграли злую шутку с готовностью России к Первой мировой войне. </w:t>
      </w:r>
    </w:p>
    <w:p w14:paraId="0E9D4D7A" w14:textId="2764486E" w:rsidR="00DA07CC" w:rsidRDefault="00644A19" w:rsidP="006A7434">
      <w:pPr>
        <w:ind w:firstLine="708"/>
      </w:pPr>
      <w:r>
        <w:t>Значимость Германии как торгового партнера также подтверждается статистическими данными. Так, её удельный вес во внешнеторговом обороте в период с 1860 по 1914 гг. колебался в диапазоне 25-40%</w:t>
      </w:r>
      <w:r w:rsidR="004F0D96">
        <w:rPr>
          <w:rStyle w:val="af5"/>
        </w:rPr>
        <w:footnoteReference w:id="57"/>
      </w:r>
      <w:r>
        <w:t>.</w:t>
      </w:r>
    </w:p>
    <w:p w14:paraId="261D9E40" w14:textId="77777777" w:rsidR="000A2FAA" w:rsidRDefault="006A7434" w:rsidP="00D17AF4">
      <w:pPr>
        <w:ind w:firstLine="708"/>
        <w:rPr>
          <w:szCs w:val="24"/>
        </w:rPr>
      </w:pPr>
      <w:r>
        <w:rPr>
          <w:szCs w:val="24"/>
        </w:rPr>
        <w:t xml:space="preserve">Третьим глобальным этапом в развитии двусторонних отношений в историческом аспекте стали </w:t>
      </w:r>
      <w:r w:rsidR="00AA2BCE">
        <w:rPr>
          <w:szCs w:val="24"/>
        </w:rPr>
        <w:t>советско-германские отношения</w:t>
      </w:r>
      <w:r>
        <w:rPr>
          <w:szCs w:val="24"/>
        </w:rPr>
        <w:t>, которые</w:t>
      </w:r>
      <w:r w:rsidR="00AA2BCE">
        <w:rPr>
          <w:szCs w:val="24"/>
        </w:rPr>
        <w:t xml:space="preserve"> продолжали логику межгосударственных торгово-экономических отношений дома Романовых с поправкой на особенности довоенного и послевоенного период</w:t>
      </w:r>
      <w:r w:rsidR="00D17AF4">
        <w:rPr>
          <w:szCs w:val="24"/>
        </w:rPr>
        <w:t xml:space="preserve">. Довоенный период также не был однородным и сильно зависел от колебаний внутренней и внешней политической конъюнктуры. </w:t>
      </w:r>
    </w:p>
    <w:p w14:paraId="492D5D6E" w14:textId="77777777" w:rsidR="0090327B" w:rsidRDefault="00D17AF4" w:rsidP="000A2FAA">
      <w:pPr>
        <w:ind w:firstLine="708"/>
        <w:rPr>
          <w:szCs w:val="24"/>
        </w:rPr>
      </w:pPr>
      <w:r>
        <w:rPr>
          <w:szCs w:val="24"/>
        </w:rPr>
        <w:t>После окончания в 1921 году гражданской войны был взят курс на построение Новой экономической политики – НЭПа, которая продолжалась до 1928 года.</w:t>
      </w:r>
      <w:r w:rsidR="000A2FAA">
        <w:rPr>
          <w:szCs w:val="24"/>
        </w:rPr>
        <w:t xml:space="preserve"> </w:t>
      </w:r>
      <w:r>
        <w:rPr>
          <w:szCs w:val="24"/>
        </w:rPr>
        <w:t xml:space="preserve">На протяжении этого времени </w:t>
      </w:r>
      <w:r w:rsidR="000A2FAA">
        <w:rPr>
          <w:szCs w:val="24"/>
        </w:rPr>
        <w:t xml:space="preserve">происходило стремительное восстановление рыночной экономики и уровня жизни населения. Однако на </w:t>
      </w:r>
      <w:r w:rsidR="000A2FAA">
        <w:rPr>
          <w:szCs w:val="24"/>
          <w:lang w:val="de-DE"/>
        </w:rPr>
        <w:t>XIV</w:t>
      </w:r>
      <w:r w:rsidR="000A2FAA" w:rsidRPr="000A2FAA">
        <w:rPr>
          <w:szCs w:val="24"/>
        </w:rPr>
        <w:t xml:space="preserve"> </w:t>
      </w:r>
      <w:r w:rsidR="000A2FAA">
        <w:rPr>
          <w:szCs w:val="24"/>
        </w:rPr>
        <w:t xml:space="preserve">съезде партии в декабре 1925 года был взят курс на индустриализацию, который был, по сути, призван сделать из промышленно отсталой страны передовое технологически развитое государство. Основная дилемма в реализации данной программы состояла в поиске источника финансирования. Фактически было принято решение перекачивать деньги из сельского хозяйства в промышленность за счет роста налогов, однако затем стало очевидно, что необходимо переход от малых технологически отсталых предприятий к крупному производству. В 1927 году была </w:t>
      </w:r>
      <w:r w:rsidR="000A2FAA">
        <w:rPr>
          <w:szCs w:val="24"/>
        </w:rPr>
        <w:lastRenderedPageBreak/>
        <w:t>принята первая директива по составлению пятилетнего плана, а уже в 1928 году произошло полное свертывание НЭПа и переход к командно-административной системе планирования: именно период с 1929 года по 1941 год вошел в историю как «сталинская модернизация». Для промышленно отсталой страны обеспечить прорыв в технологиях самостоятельно на имеющейся промышленной базе было фактически невозможно. В связи с этим происходило массовое привлечение иностранных специалистов, в частности из США и Германии.</w:t>
      </w:r>
      <w:r w:rsidR="0090327B">
        <w:rPr>
          <w:szCs w:val="24"/>
        </w:rPr>
        <w:t xml:space="preserve"> Каждая из этих стран сыграла огромную роль в становлении Советского Союза как промышленного и технологического гиганта, однако условия и время взаимодействия сильно разнились - западные источники сталинской индустриализации стали долгожданным лекарством для ухода от аграрного характера советской экономики.  </w:t>
      </w:r>
    </w:p>
    <w:p w14:paraId="5F679148" w14:textId="00BFFFE4" w:rsidR="005B3465" w:rsidRDefault="0090327B" w:rsidP="005B3465">
      <w:pPr>
        <w:ind w:firstLine="708"/>
        <w:rPr>
          <w:szCs w:val="24"/>
        </w:rPr>
      </w:pPr>
      <w:r>
        <w:rPr>
          <w:szCs w:val="24"/>
        </w:rPr>
        <w:t xml:space="preserve">После заключения Версальского договора в 1919 году Германию обложили колоссальными репарациями в размере 269 млрд. золотых марок (или 100 тысяч тонн золота), однако разрушенная экономика не смогла осилить подобный объем и позднее он был снижен до 132 млрд. золотых марок. В этих условиях немецкой промышленности были необходимы рынки сбыта, а Советский Союз срочно нуждался в приобретении технологий. </w:t>
      </w:r>
      <w:r w:rsidR="00FF4373">
        <w:rPr>
          <w:szCs w:val="24"/>
        </w:rPr>
        <w:t xml:space="preserve">За период 1923 – 1933 гг. СССР заключил 170 договоров о технической помощи с иностранными компаниями, </w:t>
      </w:r>
      <w:r w:rsidR="00925F34">
        <w:rPr>
          <w:szCs w:val="24"/>
        </w:rPr>
        <w:t>среди</w:t>
      </w:r>
      <w:r w:rsidR="00FF4373">
        <w:rPr>
          <w:szCs w:val="24"/>
        </w:rPr>
        <w:t xml:space="preserve"> которых 73 были из Германии</w:t>
      </w:r>
      <w:r w:rsidR="00FF4373" w:rsidRPr="00FF4373">
        <w:rPr>
          <w:szCs w:val="24"/>
        </w:rPr>
        <w:t xml:space="preserve"> </w:t>
      </w:r>
      <w:r w:rsidR="00621E56">
        <w:rPr>
          <w:rStyle w:val="af5"/>
          <w:szCs w:val="24"/>
        </w:rPr>
        <w:footnoteReference w:id="58"/>
      </w:r>
      <w:r w:rsidR="00FF4373">
        <w:rPr>
          <w:szCs w:val="24"/>
        </w:rPr>
        <w:t xml:space="preserve">. </w:t>
      </w:r>
      <w:r w:rsidR="00FD2B2D">
        <w:rPr>
          <w:szCs w:val="24"/>
        </w:rPr>
        <w:t>Суть договоров о технической помощи заключалась в следующем: иностранные компании брали на себ</w:t>
      </w:r>
      <w:r w:rsidR="00925F34">
        <w:rPr>
          <w:szCs w:val="24"/>
        </w:rPr>
        <w:t>я</w:t>
      </w:r>
      <w:r w:rsidR="00FD2B2D">
        <w:rPr>
          <w:szCs w:val="24"/>
        </w:rPr>
        <w:t xml:space="preserve"> обязательство по подготовке проекта, учет</w:t>
      </w:r>
      <w:r w:rsidR="00925F34">
        <w:rPr>
          <w:szCs w:val="24"/>
        </w:rPr>
        <w:t>у</w:t>
      </w:r>
      <w:r w:rsidR="00FD2B2D">
        <w:rPr>
          <w:szCs w:val="24"/>
        </w:rPr>
        <w:t xml:space="preserve"> особенностей и спецификации необходимого оборудования,</w:t>
      </w:r>
      <w:r w:rsidR="00925F34">
        <w:rPr>
          <w:szCs w:val="24"/>
        </w:rPr>
        <w:t xml:space="preserve"> передаче патентов и технологий. Более того, фирма обязывалась прислать своих специалистов, которые не только наблюдали и контролировали реализацию проекта, но также и проводили обучение работников государства-заказчика.</w:t>
      </w:r>
      <w:r w:rsidR="00FD2B2D">
        <w:rPr>
          <w:szCs w:val="24"/>
        </w:rPr>
        <w:t xml:space="preserve"> </w:t>
      </w:r>
      <w:r w:rsidR="00925F34">
        <w:rPr>
          <w:szCs w:val="24"/>
        </w:rPr>
        <w:t xml:space="preserve">Сторона заказчик со своей стороны предоставлял все необходимые для реализации проекта условия: финансирование, рабочую силу, сырье, условия проживания и прочее. Однако, перенятие зарубежного опыта происходило не только таким образом. </w:t>
      </w:r>
      <w:r w:rsidR="00017BC6">
        <w:rPr>
          <w:szCs w:val="24"/>
        </w:rPr>
        <w:t>Несмотря на идеологическое противостояние, в 1925 году Германия предоставила СССР кредит на 100 млн. рублей, в 1926 году – на 300 млн. рублей, в 1931 году – еще на 300 млн. рублей</w:t>
      </w:r>
      <w:r w:rsidR="00925F34">
        <w:rPr>
          <w:szCs w:val="24"/>
        </w:rPr>
        <w:t xml:space="preserve"> </w:t>
      </w:r>
      <w:r w:rsidR="00017BC6">
        <w:rPr>
          <w:szCs w:val="24"/>
        </w:rPr>
        <w:t>сроком на 2 и 4 года</w:t>
      </w:r>
      <w:r w:rsidR="00925F34">
        <w:rPr>
          <w:szCs w:val="24"/>
        </w:rPr>
        <w:t xml:space="preserve">. Они </w:t>
      </w:r>
      <w:r w:rsidR="00017BC6">
        <w:rPr>
          <w:szCs w:val="24"/>
        </w:rPr>
        <w:t xml:space="preserve">шли на заказы у немецких компаний машин, станков и оборудования: в 1931-1932 году стоимость таких заказов составила 760 млн. рублей. Несмотря на снижение торговли в 1934-1938 гг. из-за политических и идеологических противоречий, в 1939 году Советскому Союзу был выдан новый кредит в размере 200 млн. рублей, из которых 120 млн. было </w:t>
      </w:r>
      <w:r w:rsidR="00017BC6">
        <w:rPr>
          <w:szCs w:val="24"/>
        </w:rPr>
        <w:lastRenderedPageBreak/>
        <w:t>потрачено в первый год и 80 млн. во второй (предвоенный)</w:t>
      </w:r>
      <w:r w:rsidR="00ED5F7A">
        <w:rPr>
          <w:szCs w:val="24"/>
        </w:rPr>
        <w:t xml:space="preserve"> </w:t>
      </w:r>
      <w:r w:rsidR="00621E56">
        <w:rPr>
          <w:rStyle w:val="af5"/>
          <w:szCs w:val="24"/>
        </w:rPr>
        <w:footnoteReference w:id="59"/>
      </w:r>
      <w:r w:rsidR="00017BC6">
        <w:rPr>
          <w:szCs w:val="24"/>
        </w:rPr>
        <w:t>. Таким образом, несмотря на близость войны (здесь речь идет о Великой отечественной войне</w:t>
      </w:r>
      <w:r w:rsidR="005B3465">
        <w:rPr>
          <w:szCs w:val="24"/>
        </w:rPr>
        <w:t>, так как Вторая мировая уже началась</w:t>
      </w:r>
      <w:r w:rsidR="00017BC6">
        <w:rPr>
          <w:szCs w:val="24"/>
        </w:rPr>
        <w:t xml:space="preserve">), прагматизм одержал верх и выполнил поставленную перед ним задачу, обеспечив </w:t>
      </w:r>
      <w:r w:rsidR="00ED5F7A">
        <w:rPr>
          <w:szCs w:val="24"/>
        </w:rPr>
        <w:t>Советскому Союзу технологическую</w:t>
      </w:r>
      <w:r w:rsidR="00017BC6">
        <w:rPr>
          <w:szCs w:val="24"/>
        </w:rPr>
        <w:t xml:space="preserve"> базу для грядущей войны за счет импортированных из Германии технологий.</w:t>
      </w:r>
      <w:r w:rsidR="00BE3520">
        <w:rPr>
          <w:szCs w:val="24"/>
        </w:rPr>
        <w:t xml:space="preserve"> Плата за покупку технологий осуществлялась за счет экспорта товаров сельского хозяйства, нефти и нефтепродуктов, металлов и прочего сырья. </w:t>
      </w:r>
      <w:r w:rsidR="005B3465">
        <w:rPr>
          <w:szCs w:val="24"/>
        </w:rPr>
        <w:t xml:space="preserve">Несмотря </w:t>
      </w:r>
      <w:r w:rsidR="00925F34">
        <w:rPr>
          <w:szCs w:val="24"/>
        </w:rPr>
        <w:t xml:space="preserve">на </w:t>
      </w:r>
      <w:r w:rsidR="00BF19D1">
        <w:rPr>
          <w:szCs w:val="24"/>
        </w:rPr>
        <w:t>колоссальные потребности Германии в нефти</w:t>
      </w:r>
      <w:r w:rsidR="00ED5F7A">
        <w:rPr>
          <w:szCs w:val="24"/>
        </w:rPr>
        <w:t xml:space="preserve"> и </w:t>
      </w:r>
      <w:r w:rsidR="00BF19D1">
        <w:rPr>
          <w:szCs w:val="24"/>
        </w:rPr>
        <w:t xml:space="preserve">её производных, они все </w:t>
      </w:r>
      <w:r w:rsidR="00ED5F7A">
        <w:rPr>
          <w:szCs w:val="24"/>
        </w:rPr>
        <w:t xml:space="preserve">же </w:t>
      </w:r>
      <w:r w:rsidR="00BF19D1">
        <w:rPr>
          <w:szCs w:val="24"/>
        </w:rPr>
        <w:t>не были основными статьями советского экспорта. Так, в 1923 году советский экспорт в Германию составил 151 млн. рублей, из которых 12 млн. – нефть и нефтепродукты, то есть около 8%. В последующем доля росла и достигла пика в 1940-м году – 18,5% (103 млн. рублей при совокупном экспорте в 556 млн. рублей)</w:t>
      </w:r>
      <w:r w:rsidR="00621E56">
        <w:rPr>
          <w:rStyle w:val="af5"/>
          <w:szCs w:val="24"/>
        </w:rPr>
        <w:footnoteReference w:id="60"/>
      </w:r>
      <w:r w:rsidR="00BF19D1">
        <w:rPr>
          <w:szCs w:val="24"/>
        </w:rPr>
        <w:t xml:space="preserve">. Во многом это объясняется тем, что с одной стороны росло потребление черного золота внутри СССР, а с другой – Германия получала </w:t>
      </w:r>
      <w:r w:rsidR="00ED5F7A">
        <w:rPr>
          <w:szCs w:val="24"/>
        </w:rPr>
        <w:t xml:space="preserve">его из других источников, в первую очередь от американских и голландских компаний, а также от Румынии (нефтяные промыслы которой стали впоследствии сырьевой базой военного времени). </w:t>
      </w:r>
    </w:p>
    <w:p w14:paraId="049552E1" w14:textId="2A62268F" w:rsidR="002E7D92" w:rsidRDefault="002E7D92" w:rsidP="002E7D92">
      <w:pPr>
        <w:ind w:firstLine="708"/>
        <w:rPr>
          <w:szCs w:val="24"/>
        </w:rPr>
      </w:pPr>
      <w:r w:rsidRPr="004F0D96">
        <w:rPr>
          <w:szCs w:val="24"/>
        </w:rPr>
        <w:t xml:space="preserve">На приведенных </w:t>
      </w:r>
      <w:r w:rsidR="004F0D96" w:rsidRPr="004F0D96">
        <w:rPr>
          <w:szCs w:val="24"/>
        </w:rPr>
        <w:t>в приложениях</w:t>
      </w:r>
      <w:r w:rsidRPr="004F0D96">
        <w:rPr>
          <w:szCs w:val="24"/>
        </w:rPr>
        <w:t xml:space="preserve"> </w:t>
      </w:r>
      <w:r w:rsidR="004F0D96" w:rsidRPr="004F0D96">
        <w:rPr>
          <w:szCs w:val="24"/>
        </w:rPr>
        <w:t>графиках</w:t>
      </w:r>
      <w:r w:rsidRPr="004F0D96">
        <w:rPr>
          <w:szCs w:val="24"/>
        </w:rPr>
        <w:t xml:space="preserve"> отражена динамика</w:t>
      </w:r>
      <w:r>
        <w:rPr>
          <w:szCs w:val="24"/>
        </w:rPr>
        <w:t xml:space="preserve"> экспорта и импорта СССР в Германию с 1923 по 1990 гг. с выделением в отдельный ряд нефти и нефтепродуктов (в экспорте) и машин и оборудования (в импорте)</w:t>
      </w:r>
      <w:r w:rsidR="004F0D96">
        <w:rPr>
          <w:rStyle w:val="af5"/>
          <w:szCs w:val="24"/>
        </w:rPr>
        <w:footnoteReference w:id="61"/>
      </w:r>
      <w:r>
        <w:rPr>
          <w:szCs w:val="24"/>
        </w:rPr>
        <w:t>. Источником данных послужили справочники по внешней торговле СССР за указанный период. Статистические данные по послевоенному периоду отображаются как сумма экспортно-импортных операций с ФРГ и ГДР.</w:t>
      </w:r>
    </w:p>
    <w:p w14:paraId="4CE181A6" w14:textId="144B894B" w:rsidR="003D6DD4" w:rsidRDefault="00060270" w:rsidP="003D6DD4">
      <w:pPr>
        <w:ind w:firstLine="708"/>
        <w:rPr>
          <w:szCs w:val="24"/>
        </w:rPr>
      </w:pPr>
      <w:r>
        <w:rPr>
          <w:szCs w:val="24"/>
        </w:rPr>
        <w:t xml:space="preserve">Разделение Германии на зоны оккупации в послевоенный период, а также последующее возникновение двух независимых государств - Федеративной республики Германия (на территории бывших зон оккупации Великобритании, США, Франции) и Германской демократической республики (на территории Советской зоны оккупации) предопределило их неравномерное торгово-экономическое сотрудничество с Советским Союзом. Так, в 1960 году экспорт СССР в ГДР составил 946 млн. рублей против 107 млн. рублей в ФРГ (90% к 10%); аналогичные пропорции наблюдаются в импорте </w:t>
      </w:r>
      <w:r w:rsidRPr="00060270">
        <w:rPr>
          <w:szCs w:val="24"/>
        </w:rPr>
        <w:t>836</w:t>
      </w:r>
      <w:r>
        <w:rPr>
          <w:szCs w:val="24"/>
        </w:rPr>
        <w:t xml:space="preserve"> млн. рублей против </w:t>
      </w:r>
      <w:r w:rsidRPr="00060270">
        <w:rPr>
          <w:szCs w:val="24"/>
        </w:rPr>
        <w:t>179</w:t>
      </w:r>
      <w:r>
        <w:rPr>
          <w:szCs w:val="24"/>
        </w:rPr>
        <w:t xml:space="preserve"> млн. рублей (82% к 18%)</w:t>
      </w:r>
      <w:r w:rsidR="002E7D92">
        <w:rPr>
          <w:rStyle w:val="af5"/>
          <w:szCs w:val="24"/>
        </w:rPr>
        <w:footnoteReference w:id="62"/>
      </w:r>
      <w:r>
        <w:rPr>
          <w:szCs w:val="24"/>
        </w:rPr>
        <w:t xml:space="preserve">. Однако уже в 1980 году пропорции сильно </w:t>
      </w:r>
      <w:r>
        <w:rPr>
          <w:szCs w:val="24"/>
        </w:rPr>
        <w:lastRenderedPageBreak/>
        <w:t xml:space="preserve">изменились и составили в экспорте </w:t>
      </w:r>
      <w:r w:rsidRPr="00060270">
        <w:rPr>
          <w:szCs w:val="24"/>
        </w:rPr>
        <w:t>3917</w:t>
      </w:r>
      <w:r>
        <w:rPr>
          <w:szCs w:val="24"/>
        </w:rPr>
        <w:t xml:space="preserve"> млн. рублей и </w:t>
      </w:r>
      <w:r w:rsidRPr="00060270">
        <w:rPr>
          <w:szCs w:val="24"/>
        </w:rPr>
        <w:t>2859</w:t>
      </w:r>
      <w:r>
        <w:rPr>
          <w:szCs w:val="24"/>
        </w:rPr>
        <w:t xml:space="preserve"> млн. рублей соответственно (</w:t>
      </w:r>
      <w:r w:rsidR="00957B9A">
        <w:rPr>
          <w:szCs w:val="24"/>
        </w:rPr>
        <w:t xml:space="preserve">соотношение 57% и 43%), в импорте - </w:t>
      </w:r>
      <w:r w:rsidR="00957B9A" w:rsidRPr="00957B9A">
        <w:rPr>
          <w:szCs w:val="24"/>
        </w:rPr>
        <w:t>4326,6</w:t>
      </w:r>
      <w:r w:rsidR="00957B9A">
        <w:rPr>
          <w:szCs w:val="24"/>
        </w:rPr>
        <w:t xml:space="preserve"> млн. рублей и </w:t>
      </w:r>
      <w:r w:rsidR="00957B9A" w:rsidRPr="00957B9A">
        <w:rPr>
          <w:szCs w:val="24"/>
        </w:rPr>
        <w:t>2920,6</w:t>
      </w:r>
      <w:r w:rsidR="00957B9A">
        <w:rPr>
          <w:szCs w:val="24"/>
        </w:rPr>
        <w:t xml:space="preserve"> млн. рублей (60% и 40%)</w:t>
      </w:r>
      <w:r w:rsidR="002E7D92">
        <w:rPr>
          <w:rStyle w:val="af5"/>
          <w:szCs w:val="24"/>
        </w:rPr>
        <w:footnoteReference w:id="63"/>
      </w:r>
      <w:r w:rsidR="00957B9A">
        <w:rPr>
          <w:szCs w:val="24"/>
        </w:rPr>
        <w:t>. Стремительная трансформация торговых отношений между Советским Союзом и разделенной Германией</w:t>
      </w:r>
      <w:r w:rsidR="003C1004">
        <w:rPr>
          <w:szCs w:val="24"/>
        </w:rPr>
        <w:t xml:space="preserve"> (в первую очередь ФРГ) была вызвана двумя главными факторами: открытие колоссальных месторождений нефти и газа в Западной Сибири с одной стороны, а также «Новая восточная политика» </w:t>
      </w:r>
      <w:r w:rsidR="00C82E86">
        <w:rPr>
          <w:szCs w:val="24"/>
        </w:rPr>
        <w:t xml:space="preserve">руководства ФРГ – с </w:t>
      </w:r>
      <w:r w:rsidR="003C1004">
        <w:rPr>
          <w:szCs w:val="24"/>
        </w:rPr>
        <w:t xml:space="preserve">другой. </w:t>
      </w:r>
    </w:p>
    <w:p w14:paraId="06F6C1B7" w14:textId="76CFEB8A" w:rsidR="003C1004" w:rsidRDefault="003C1004" w:rsidP="003D6DD4">
      <w:pPr>
        <w:ind w:firstLine="708"/>
        <w:rPr>
          <w:szCs w:val="24"/>
        </w:rPr>
      </w:pPr>
      <w:r>
        <w:rPr>
          <w:szCs w:val="24"/>
        </w:rPr>
        <w:t xml:space="preserve">1960-е годы прошли в советской истории под эгидой поиска новых нефтегазоносных месторождений в Западной Сибири. Успешно проведенная геологоразведка привела к тому, что в 1965 году в этом регионе был добыт 1-й миллион тонн нефти, а уже 1966 году </w:t>
      </w:r>
      <w:r w:rsidRPr="003C1004">
        <w:rPr>
          <w:szCs w:val="24"/>
        </w:rPr>
        <w:t>XXIII съезд КПСС постановил: «Создать крупный народнохозяйственный комплекс на территории Западной Сибири на базе вновь открытых месторождений нефти и газа»</w:t>
      </w:r>
      <w:r>
        <w:rPr>
          <w:szCs w:val="24"/>
        </w:rPr>
        <w:t xml:space="preserve"> </w:t>
      </w:r>
      <w:r w:rsidR="00192471">
        <w:rPr>
          <w:rStyle w:val="af5"/>
          <w:szCs w:val="24"/>
        </w:rPr>
        <w:footnoteReference w:id="64"/>
      </w:r>
      <w:r>
        <w:rPr>
          <w:szCs w:val="24"/>
        </w:rPr>
        <w:t>. В ближайшие 5 лет предполагалось добыть 25 млн. тонн нефти и 30 млрд. м</w:t>
      </w:r>
      <w:r w:rsidRPr="003C1004">
        <w:rPr>
          <w:szCs w:val="24"/>
          <w:vertAlign w:val="superscript"/>
        </w:rPr>
        <w:t>3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газа, однако план был перевыполнен и к 1970-му году было добыто 30 млн. тонн нефти, а к 1975-му</w:t>
      </w:r>
      <w:r w:rsidR="00C82E86">
        <w:rPr>
          <w:szCs w:val="24"/>
        </w:rPr>
        <w:t xml:space="preserve"> </w:t>
      </w:r>
      <w:r>
        <w:rPr>
          <w:szCs w:val="24"/>
        </w:rPr>
        <w:t xml:space="preserve">- 500 млн. тонн. Западносибирское «чудо» стало новым нефтегазовым оплотом страны – в нем добывалось порядка 67% всей нефти в Союзе, а СССР вышел в мире на первое место по добыче. Как бы радостно это не звучало, де-факто «чудо» стало причиной того, что СССР «подсел на нефтегазовую иглу». Экономические проблемы в СССР в период «застоя» 1970-х годов показали, что планово-директивная система перестает быть эффективной. В то же время, стремительный рост цен на нефть и её экспорт СССР создавали все больший приток нефтедолларов, которые были свободно конвертируемой валютой, и позволяли закупать высокотехнологичные товары в других странах. </w:t>
      </w:r>
    </w:p>
    <w:p w14:paraId="649E1F6A" w14:textId="437EE74E" w:rsidR="00305FB9" w:rsidRDefault="003B3A81" w:rsidP="003D6DD4">
      <w:pPr>
        <w:ind w:firstLine="708"/>
        <w:rPr>
          <w:szCs w:val="24"/>
        </w:rPr>
      </w:pPr>
      <w:r>
        <w:rPr>
          <w:szCs w:val="24"/>
        </w:rPr>
        <w:t>Вторым фактором стало политическое сближение СССР и ФРГ. Несмотря на идеологическое противостояние</w:t>
      </w:r>
      <w:r w:rsidR="00C82E86">
        <w:rPr>
          <w:szCs w:val="24"/>
        </w:rPr>
        <w:t xml:space="preserve"> в 1955 году</w:t>
      </w:r>
      <w:r>
        <w:rPr>
          <w:szCs w:val="24"/>
        </w:rPr>
        <w:t xml:space="preserve"> канцлер ФРГ Конрад Аденауэр прибыл в Москву для установления дипломатических и улучшения торгово-экономических отношений, чего желали в первую очередь крупные немецкие промышленники. Через 15 лет 5 июля 1970 года между СССР и ФРГ был подписан договор, призванный «…</w:t>
      </w:r>
      <w:r w:rsidRPr="003B3A81">
        <w:rPr>
          <w:szCs w:val="24"/>
        </w:rPr>
        <w:t xml:space="preserve">в договорной форме выразить свою решимость к улучшению и расширению сотрудничества </w:t>
      </w:r>
      <w:r w:rsidRPr="003B3A81">
        <w:rPr>
          <w:szCs w:val="24"/>
        </w:rPr>
        <w:lastRenderedPageBreak/>
        <w:t>между ними, включая область экономических отношений, а также научно-технических и культурных связей, в интересах обоих государств</w:t>
      </w:r>
      <w:r>
        <w:rPr>
          <w:szCs w:val="24"/>
        </w:rPr>
        <w:t>»</w:t>
      </w:r>
      <w:r w:rsidR="00192471">
        <w:rPr>
          <w:szCs w:val="24"/>
        </w:rPr>
        <w:t xml:space="preserve"> </w:t>
      </w:r>
      <w:r w:rsidR="00192471">
        <w:rPr>
          <w:rStyle w:val="af5"/>
          <w:szCs w:val="24"/>
        </w:rPr>
        <w:footnoteReference w:id="65"/>
      </w:r>
      <w:r w:rsidRPr="003B3A81">
        <w:rPr>
          <w:szCs w:val="24"/>
        </w:rPr>
        <w:t xml:space="preserve">. </w:t>
      </w:r>
    </w:p>
    <w:p w14:paraId="63910856" w14:textId="36283E39" w:rsidR="00B94F31" w:rsidRDefault="00305FB9" w:rsidP="001F603B">
      <w:pPr>
        <w:ind w:firstLine="708"/>
        <w:rPr>
          <w:szCs w:val="24"/>
        </w:rPr>
      </w:pPr>
      <w:r>
        <w:rPr>
          <w:szCs w:val="24"/>
        </w:rPr>
        <w:t>Таким образом, открытие Советским Союзом крупных нефтегазоносных месторождений в купе с растущими ценами на ресурсы и проблемами в экономике с одной стороны, а также политико-экономическая «оттепель» в отношениях с ФРГ привел</w:t>
      </w:r>
      <w:r w:rsidR="00C82E86">
        <w:rPr>
          <w:szCs w:val="24"/>
        </w:rPr>
        <w:t>и</w:t>
      </w:r>
      <w:r>
        <w:rPr>
          <w:szCs w:val="24"/>
        </w:rPr>
        <w:t xml:space="preserve"> к тому, что в 1969 году </w:t>
      </w:r>
      <w:r w:rsidRPr="00305FB9">
        <w:rPr>
          <w:szCs w:val="24"/>
        </w:rPr>
        <w:t xml:space="preserve">МИД СССР направил ЦК КПСС записку </w:t>
      </w:r>
      <w:r>
        <w:rPr>
          <w:szCs w:val="24"/>
        </w:rPr>
        <w:t>«</w:t>
      </w:r>
      <w:r w:rsidRPr="00305FB9">
        <w:rPr>
          <w:szCs w:val="24"/>
        </w:rPr>
        <w:t>О политической линии и некоторых практических шагах СССР в связи с образованием в ФРГ правительства В. Брандта</w:t>
      </w:r>
      <w:r>
        <w:rPr>
          <w:szCs w:val="24"/>
        </w:rPr>
        <w:t>» в которой говорилось, что «…</w:t>
      </w:r>
      <w:r w:rsidRPr="00305FB9">
        <w:rPr>
          <w:szCs w:val="24"/>
        </w:rPr>
        <w:t>Западногерманская промышленность проявляет интерес к получению из Советского Союза определённых видов сырья и полуфабрикатов</w:t>
      </w:r>
      <w:r>
        <w:rPr>
          <w:szCs w:val="24"/>
        </w:rPr>
        <w:t xml:space="preserve">… </w:t>
      </w:r>
      <w:r w:rsidRPr="00305FB9">
        <w:rPr>
          <w:szCs w:val="24"/>
        </w:rPr>
        <w:t>Важное значение может иметь достижение договорённости о поставках в ФРГ советского природного газа</w:t>
      </w:r>
      <w:r>
        <w:rPr>
          <w:szCs w:val="24"/>
        </w:rPr>
        <w:t>»</w:t>
      </w:r>
      <w:r w:rsidR="007A27CC">
        <w:rPr>
          <w:szCs w:val="24"/>
        </w:rPr>
        <w:t xml:space="preserve"> </w:t>
      </w:r>
      <w:r w:rsidR="00192471">
        <w:rPr>
          <w:rStyle w:val="af5"/>
          <w:szCs w:val="24"/>
        </w:rPr>
        <w:footnoteReference w:id="66"/>
      </w:r>
      <w:r>
        <w:rPr>
          <w:szCs w:val="24"/>
        </w:rPr>
        <w:t xml:space="preserve">. </w:t>
      </w:r>
      <w:r w:rsidR="00C82E86">
        <w:rPr>
          <w:szCs w:val="24"/>
        </w:rPr>
        <w:t xml:space="preserve">Результатом стало подписание в </w:t>
      </w:r>
      <w:r>
        <w:rPr>
          <w:szCs w:val="24"/>
        </w:rPr>
        <w:t>1970 году сделк</w:t>
      </w:r>
      <w:r w:rsidR="00C82E86">
        <w:rPr>
          <w:szCs w:val="24"/>
        </w:rPr>
        <w:t>и</w:t>
      </w:r>
      <w:r>
        <w:rPr>
          <w:szCs w:val="24"/>
        </w:rPr>
        <w:t xml:space="preserve"> века «газ-трубы», которая предполагала поставку из ФРГ в СССР труб большого диаметра для строительства газопровода в Западную Европу из Западной Сибири. Де-факто данное соглашение стало крупнейшим за всю историю двусторонних отношений вплоть до современного этапа.</w:t>
      </w:r>
      <w:r w:rsidR="007A27CC">
        <w:rPr>
          <w:szCs w:val="24"/>
        </w:rPr>
        <w:t xml:space="preserve"> </w:t>
      </w:r>
      <w:r w:rsidR="00B94F31">
        <w:rPr>
          <w:szCs w:val="24"/>
        </w:rPr>
        <w:t>В пользу данного факта свидетельствует статистическая отчетность внешней торговли СССР, в соответствии с которой к 1990-му году доля нефти и её производных в экспорте в Германию составляла 37%, а газа – 22% (при этом на пике в 1980 г. доля нефти достигала 45%, а её сокращение объясняется сокращением валютной выручки из-за падения цен на нефть). С другой стороны, доля машин, оборудования и транспортных средств в импорте из Германии составила в 1990-м году более 62%</w:t>
      </w:r>
      <w:r w:rsidR="005A0002">
        <w:rPr>
          <w:rStyle w:val="af5"/>
          <w:szCs w:val="24"/>
        </w:rPr>
        <w:footnoteReference w:id="67"/>
      </w:r>
      <w:r w:rsidR="00B94F31">
        <w:rPr>
          <w:szCs w:val="24"/>
        </w:rPr>
        <w:t>.</w:t>
      </w:r>
    </w:p>
    <w:p w14:paraId="4FB6FFD1" w14:textId="7D99C391" w:rsidR="00947E50" w:rsidRDefault="001F603B" w:rsidP="00947E50">
      <w:pPr>
        <w:ind w:firstLine="708"/>
        <w:rPr>
          <w:szCs w:val="24"/>
        </w:rPr>
      </w:pPr>
      <w:r w:rsidRPr="009C4939">
        <w:rPr>
          <w:szCs w:val="24"/>
        </w:rPr>
        <w:t xml:space="preserve">Подводя итог следует отметить, </w:t>
      </w:r>
      <w:r w:rsidR="00B94F31" w:rsidRPr="009C4939">
        <w:rPr>
          <w:szCs w:val="24"/>
        </w:rPr>
        <w:t xml:space="preserve">что развитие российско-германских отношений на протяжении всего описанного периода (за исключением начала формирования государственности) происходило по логике использования немецких технологий для осуществления догоняющий модернизации российской промышленности. </w:t>
      </w:r>
      <w:r w:rsidR="00EC3968" w:rsidRPr="009C4939">
        <w:rPr>
          <w:szCs w:val="24"/>
        </w:rPr>
        <w:t xml:space="preserve">И хотя нефть и газ занимают в конце </w:t>
      </w:r>
      <w:r w:rsidR="00EC3968" w:rsidRPr="009C4939">
        <w:rPr>
          <w:szCs w:val="24"/>
          <w:lang w:val="de-DE"/>
        </w:rPr>
        <w:t>XIX</w:t>
      </w:r>
      <w:r w:rsidR="00EC3968" w:rsidRPr="009C4939">
        <w:rPr>
          <w:szCs w:val="24"/>
        </w:rPr>
        <w:t xml:space="preserve"> – начале </w:t>
      </w:r>
      <w:r w:rsidR="00EC3968" w:rsidRPr="009C4939">
        <w:rPr>
          <w:szCs w:val="24"/>
          <w:lang w:val="de-DE"/>
        </w:rPr>
        <w:t>XX</w:t>
      </w:r>
      <w:r w:rsidR="00EC3968" w:rsidRPr="009C4939">
        <w:rPr>
          <w:szCs w:val="24"/>
        </w:rPr>
        <w:t xml:space="preserve"> вв. относительно высокий удельный вес в структуре экспорта, серьезное и даже переломное влияние они начинают оказывать именно с 1960-х – 1970-х гг., когда советское руководство в период «застоя» сами того не осознавая приняли неолиберальную концепцию международного </w:t>
      </w:r>
      <w:r w:rsidR="00A032D0" w:rsidRPr="009C4939">
        <w:rPr>
          <w:szCs w:val="24"/>
        </w:rPr>
        <w:t xml:space="preserve">экономического сотрудничества и </w:t>
      </w:r>
      <w:r w:rsidR="00A032D0" w:rsidRPr="009C4939">
        <w:rPr>
          <w:szCs w:val="24"/>
        </w:rPr>
        <w:lastRenderedPageBreak/>
        <w:t xml:space="preserve">разделения труда – </w:t>
      </w:r>
      <w:r w:rsidR="00EC3968" w:rsidRPr="009C4939">
        <w:rPr>
          <w:szCs w:val="24"/>
        </w:rPr>
        <w:t xml:space="preserve"> специализаци</w:t>
      </w:r>
      <w:r w:rsidR="00A032D0" w:rsidRPr="009C4939">
        <w:rPr>
          <w:szCs w:val="24"/>
        </w:rPr>
        <w:t xml:space="preserve">я </w:t>
      </w:r>
      <w:r w:rsidR="00EC3968" w:rsidRPr="009C4939">
        <w:rPr>
          <w:szCs w:val="24"/>
        </w:rPr>
        <w:t>на производстве тех товаров и услуг, которые требуют наименьших издержек</w:t>
      </w:r>
      <w:r w:rsidR="00A032D0" w:rsidRPr="009C4939">
        <w:rPr>
          <w:szCs w:val="24"/>
        </w:rPr>
        <w:t>.</w:t>
      </w:r>
    </w:p>
    <w:p w14:paraId="0EF084EB" w14:textId="7411288D" w:rsidR="00947E50" w:rsidRPr="006A396B" w:rsidRDefault="006A396B" w:rsidP="006A396B">
      <w:pPr>
        <w:pStyle w:val="2"/>
        <w:numPr>
          <w:ilvl w:val="1"/>
          <w:numId w:val="6"/>
        </w:numPr>
      </w:pPr>
      <w:bookmarkStart w:id="31" w:name="_Toc41500785"/>
      <w:bookmarkStart w:id="32" w:name="_Toc41513180"/>
      <w:r w:rsidRPr="007E4330">
        <w:t>История развития российско-германских торгово-экономических отношений</w:t>
      </w:r>
      <w:r>
        <w:t xml:space="preserve"> </w:t>
      </w:r>
      <w:r w:rsidRPr="006A396B">
        <w:rPr>
          <w:szCs w:val="24"/>
        </w:rPr>
        <w:t>с</w:t>
      </w:r>
      <w:r w:rsidR="00947E50" w:rsidRPr="006A396B">
        <w:rPr>
          <w:szCs w:val="24"/>
        </w:rPr>
        <w:t xml:space="preserve"> 1991 по настоящее время</w:t>
      </w:r>
      <w:bookmarkEnd w:id="31"/>
      <w:bookmarkEnd w:id="32"/>
    </w:p>
    <w:p w14:paraId="59EF8F9B" w14:textId="7619EC98" w:rsidR="004A08E2" w:rsidRDefault="005346D6" w:rsidP="00AB45FE">
      <w:pPr>
        <w:ind w:firstLine="708"/>
        <w:rPr>
          <w:szCs w:val="24"/>
        </w:rPr>
      </w:pPr>
      <w:r>
        <w:rPr>
          <w:szCs w:val="24"/>
        </w:rPr>
        <w:t>Роль нефтегазового фактора в развитии российско-германских отношений в период новейшей истории необходимо рассматривать в двух плоско</w:t>
      </w:r>
      <w:r w:rsidR="009B6A40">
        <w:rPr>
          <w:szCs w:val="24"/>
        </w:rPr>
        <w:t xml:space="preserve">стях, которые, помимо продолжающегося естественного для двух держав сотрудничества и торговли, определяли логику и принципы развития межгосударственных отношений на протяжении последних 30 лет, однако привели к совершенно разным результатам. </w:t>
      </w:r>
    </w:p>
    <w:p w14:paraId="6C689E3B" w14:textId="65856489" w:rsidR="004A08E2" w:rsidRDefault="007C559A" w:rsidP="004A08E2">
      <w:pPr>
        <w:pStyle w:val="a7"/>
        <w:numPr>
          <w:ilvl w:val="0"/>
          <w:numId w:val="9"/>
        </w:numPr>
        <w:rPr>
          <w:szCs w:val="24"/>
        </w:rPr>
      </w:pPr>
      <w:r w:rsidRPr="004A08E2">
        <w:rPr>
          <w:szCs w:val="24"/>
        </w:rPr>
        <w:t>Первый из них</w:t>
      </w:r>
      <w:r w:rsidR="004A08E2" w:rsidRPr="004A08E2">
        <w:rPr>
          <w:szCs w:val="24"/>
        </w:rPr>
        <w:t xml:space="preserve">, и который отвечает интересам России, </w:t>
      </w:r>
      <w:r w:rsidRPr="004A08E2">
        <w:rPr>
          <w:szCs w:val="24"/>
        </w:rPr>
        <w:t xml:space="preserve">– необходимость проведения нового модернизационного проекта </w:t>
      </w:r>
      <w:r w:rsidR="004A08E2" w:rsidRPr="004A08E2">
        <w:rPr>
          <w:szCs w:val="24"/>
        </w:rPr>
        <w:t>после развала Советского Союза и перестройки экономики с плановых «рельс» на рыночные. Для реализации данной концепции необходимо привлечение иностранных инвестиций, специалистов и технологий – всем этим, хоть и не в равном объеме, облада</w:t>
      </w:r>
      <w:r w:rsidR="00CD7911">
        <w:rPr>
          <w:szCs w:val="24"/>
        </w:rPr>
        <w:t>ет</w:t>
      </w:r>
      <w:r w:rsidR="004A08E2" w:rsidRPr="004A08E2">
        <w:rPr>
          <w:szCs w:val="24"/>
        </w:rPr>
        <w:t xml:space="preserve"> Германия. </w:t>
      </w:r>
      <w:r w:rsidR="00826B62">
        <w:rPr>
          <w:szCs w:val="24"/>
        </w:rPr>
        <w:t>Безусловно, использование нефти и газа в качестве инструментов для реализации стратегии догоняющего развития не было единственной целью в развитии российско-германских отношений. Колоссальные природные ресурсы России являются её естественным преимуществом, которое она может и должна использовать в качестве инструмента для закрепления своего статуса мировой энергетической сверхдержавы. Для достижения этой цели, Германия</w:t>
      </w:r>
      <w:r w:rsidR="007F22E3">
        <w:rPr>
          <w:szCs w:val="24"/>
        </w:rPr>
        <w:t xml:space="preserve">, как показала </w:t>
      </w:r>
      <w:r w:rsidR="00826B62">
        <w:rPr>
          <w:szCs w:val="24"/>
        </w:rPr>
        <w:t>м</w:t>
      </w:r>
      <w:r w:rsidR="00826B62" w:rsidRPr="00826B62">
        <w:rPr>
          <w:szCs w:val="24"/>
        </w:rPr>
        <w:t>ноголетн</w:t>
      </w:r>
      <w:r w:rsidR="007F22E3">
        <w:rPr>
          <w:szCs w:val="24"/>
        </w:rPr>
        <w:t>яя</w:t>
      </w:r>
      <w:r w:rsidR="00826B62" w:rsidRPr="00826B62">
        <w:rPr>
          <w:szCs w:val="24"/>
        </w:rPr>
        <w:t xml:space="preserve"> история сотрудничества</w:t>
      </w:r>
      <w:r w:rsidR="007F22E3">
        <w:rPr>
          <w:szCs w:val="24"/>
        </w:rPr>
        <w:t>, при прочих</w:t>
      </w:r>
      <w:r w:rsidR="00826B62" w:rsidRPr="00826B62">
        <w:rPr>
          <w:szCs w:val="24"/>
        </w:rPr>
        <w:t xml:space="preserve"> равных, </w:t>
      </w:r>
      <w:r w:rsidR="007F22E3">
        <w:rPr>
          <w:szCs w:val="24"/>
        </w:rPr>
        <w:t xml:space="preserve">с одной стороны </w:t>
      </w:r>
      <w:r w:rsidR="00826B62" w:rsidRPr="00826B62">
        <w:rPr>
          <w:szCs w:val="24"/>
        </w:rPr>
        <w:t xml:space="preserve">является важным геополитическим партнером России в </w:t>
      </w:r>
      <w:r w:rsidR="007F22E3">
        <w:rPr>
          <w:szCs w:val="24"/>
        </w:rPr>
        <w:t>«</w:t>
      </w:r>
      <w:r w:rsidR="00826B62" w:rsidRPr="00826B62">
        <w:rPr>
          <w:szCs w:val="24"/>
        </w:rPr>
        <w:t>контроле</w:t>
      </w:r>
      <w:r w:rsidR="007F22E3">
        <w:rPr>
          <w:szCs w:val="24"/>
        </w:rPr>
        <w:t>»</w:t>
      </w:r>
      <w:r w:rsidR="00826B62" w:rsidRPr="00826B62">
        <w:rPr>
          <w:szCs w:val="24"/>
        </w:rPr>
        <w:t xml:space="preserve"> над европейским континентом</w:t>
      </w:r>
      <w:r w:rsidR="007F22E3">
        <w:rPr>
          <w:szCs w:val="24"/>
        </w:rPr>
        <w:t>, а с другой – технологически и промышленно развитой страной, которая нуждается в снабжении энергоресурсами.</w:t>
      </w:r>
    </w:p>
    <w:p w14:paraId="377E3187" w14:textId="77777777" w:rsidR="007F22E3" w:rsidRDefault="007F22E3" w:rsidP="004A08E2">
      <w:pPr>
        <w:pStyle w:val="a7"/>
        <w:numPr>
          <w:ilvl w:val="0"/>
          <w:numId w:val="9"/>
        </w:numPr>
        <w:rPr>
          <w:szCs w:val="24"/>
        </w:rPr>
      </w:pPr>
      <w:r>
        <w:rPr>
          <w:szCs w:val="24"/>
        </w:rPr>
        <w:t>Исходя из этого, формируется в</w:t>
      </w:r>
      <w:r w:rsidR="007C559A" w:rsidRPr="004A08E2">
        <w:rPr>
          <w:szCs w:val="24"/>
        </w:rPr>
        <w:t>торой</w:t>
      </w:r>
      <w:r w:rsidR="004A08E2" w:rsidRPr="004A08E2">
        <w:rPr>
          <w:szCs w:val="24"/>
        </w:rPr>
        <w:t xml:space="preserve"> аспект, который определяет интерес Германии в данном сотрудничестве</w:t>
      </w:r>
      <w:r w:rsidR="007C559A" w:rsidRPr="004A08E2">
        <w:rPr>
          <w:szCs w:val="24"/>
        </w:rPr>
        <w:t xml:space="preserve"> – </w:t>
      </w:r>
      <w:r w:rsidR="004A08E2" w:rsidRPr="004A08E2">
        <w:rPr>
          <w:szCs w:val="24"/>
        </w:rPr>
        <w:t>обеспечение её потребности</w:t>
      </w:r>
      <w:r w:rsidR="007C559A" w:rsidRPr="004A08E2">
        <w:rPr>
          <w:szCs w:val="24"/>
        </w:rPr>
        <w:t xml:space="preserve"> в стабильном и надежном источнике поставок энергоносителей, роль которого</w:t>
      </w:r>
      <w:r w:rsidR="004A08E2" w:rsidRPr="004A08E2">
        <w:rPr>
          <w:szCs w:val="24"/>
        </w:rPr>
        <w:t xml:space="preserve"> ранее принадлежала СССР, а после была передана его правопреемнику – России</w:t>
      </w:r>
      <w:r w:rsidR="007C559A" w:rsidRPr="004A08E2">
        <w:rPr>
          <w:szCs w:val="24"/>
        </w:rPr>
        <w:t>.</w:t>
      </w:r>
      <w:r w:rsidR="00CD7911">
        <w:rPr>
          <w:szCs w:val="24"/>
        </w:rPr>
        <w:t xml:space="preserve"> </w:t>
      </w:r>
      <w:r w:rsidR="00826B62">
        <w:rPr>
          <w:szCs w:val="24"/>
        </w:rPr>
        <w:t>Аналогично первой составляющей</w:t>
      </w:r>
      <w:r w:rsidR="00CD7911">
        <w:rPr>
          <w:szCs w:val="24"/>
        </w:rPr>
        <w:t xml:space="preserve">, данный аспект не является единственным, так как Россия всегда была одним из главных игроков на европейском континенте, а также представляет для Германии достаточно большой рынок сбыта. </w:t>
      </w:r>
    </w:p>
    <w:p w14:paraId="54002E7B" w14:textId="66D43E01" w:rsidR="004A08E2" w:rsidRPr="007F22E3" w:rsidRDefault="007F22E3" w:rsidP="007F22E3">
      <w:pPr>
        <w:ind w:firstLine="708"/>
        <w:rPr>
          <w:szCs w:val="24"/>
        </w:rPr>
      </w:pPr>
      <w:r>
        <w:rPr>
          <w:szCs w:val="24"/>
        </w:rPr>
        <w:t>В</w:t>
      </w:r>
      <w:r w:rsidR="00CD7911" w:rsidRPr="007F22E3">
        <w:rPr>
          <w:szCs w:val="24"/>
        </w:rPr>
        <w:t xml:space="preserve"> логике данной работы будет подробно описан</w:t>
      </w:r>
      <w:r>
        <w:rPr>
          <w:szCs w:val="24"/>
        </w:rPr>
        <w:t>ы</w:t>
      </w:r>
      <w:r w:rsidR="00CD7911" w:rsidRPr="007F22E3">
        <w:rPr>
          <w:szCs w:val="24"/>
        </w:rPr>
        <w:t xml:space="preserve"> </w:t>
      </w:r>
      <w:r>
        <w:rPr>
          <w:szCs w:val="24"/>
        </w:rPr>
        <w:t xml:space="preserve">именно модернизационный аспект развития двусторонних отношений, а также – фактор России как поставщика </w:t>
      </w:r>
      <w:r>
        <w:rPr>
          <w:szCs w:val="24"/>
        </w:rPr>
        <w:lastRenderedPageBreak/>
        <w:t>энергоресурсов, поскольку другие указанные выше факторы находятся</w:t>
      </w:r>
      <w:r w:rsidR="00DD3691">
        <w:rPr>
          <w:szCs w:val="24"/>
        </w:rPr>
        <w:t xml:space="preserve"> вне описываемой логики развития двусторонних отношений: использование энергоресурсов для формирования Россией имиджа сверхдержавы не соответствует интересам германского руководства и даже им противоречит, при этом реализация данного аспекта происходит параллельно с реализацией потребностей Германии в обеспеченности сырьем; рассмотрение России как рынка сбыта соответствует интересам Германии, но либо противоречит интересам российских производителей, которые вынуждены конкурировать с немецкими, либо происходит вследствие естественного развития двусторонних отношений. </w:t>
      </w:r>
    </w:p>
    <w:p w14:paraId="6B2D2F89" w14:textId="362D9E2E" w:rsidR="00CD7911" w:rsidRDefault="007F22E3" w:rsidP="00CD7911">
      <w:pPr>
        <w:ind w:firstLine="708"/>
        <w:rPr>
          <w:szCs w:val="24"/>
        </w:rPr>
      </w:pPr>
      <w:r>
        <w:rPr>
          <w:szCs w:val="24"/>
        </w:rPr>
        <w:t>Р</w:t>
      </w:r>
      <w:r w:rsidR="007C559A">
        <w:rPr>
          <w:szCs w:val="24"/>
        </w:rPr>
        <w:t>азвитие сотрудничества двух государств</w:t>
      </w:r>
      <w:r>
        <w:rPr>
          <w:szCs w:val="24"/>
        </w:rPr>
        <w:t xml:space="preserve"> в </w:t>
      </w:r>
      <w:r>
        <w:rPr>
          <w:szCs w:val="24"/>
          <w:lang w:val="de-DE"/>
        </w:rPr>
        <w:t>XXI</w:t>
      </w:r>
      <w:r w:rsidRPr="007F22E3">
        <w:rPr>
          <w:szCs w:val="24"/>
        </w:rPr>
        <w:t xml:space="preserve"> </w:t>
      </w:r>
      <w:r>
        <w:rPr>
          <w:szCs w:val="24"/>
        </w:rPr>
        <w:t>веке</w:t>
      </w:r>
      <w:r w:rsidR="007C559A">
        <w:rPr>
          <w:szCs w:val="24"/>
        </w:rPr>
        <w:t xml:space="preserve"> соответствовало логике реализации поставленных выше задач, </w:t>
      </w:r>
      <w:r w:rsidR="004A08E2">
        <w:rPr>
          <w:szCs w:val="24"/>
        </w:rPr>
        <w:t>однако результативность на каждом из направлений на выходе получилась абсолютно несопоставимой</w:t>
      </w:r>
      <w:r w:rsidR="000145FB">
        <w:rPr>
          <w:szCs w:val="24"/>
        </w:rPr>
        <w:t>. Н</w:t>
      </w:r>
      <w:r w:rsidR="00CD7911">
        <w:rPr>
          <w:szCs w:val="24"/>
        </w:rPr>
        <w:t xml:space="preserve">овейший период в истории отношений России и Германии, начало которого было положено в 1991 году с момента распада Советского Союза, нельзя назвать </w:t>
      </w:r>
      <w:r>
        <w:rPr>
          <w:szCs w:val="24"/>
        </w:rPr>
        <w:t>однородным</w:t>
      </w:r>
      <w:r w:rsidR="00CD7911">
        <w:rPr>
          <w:szCs w:val="24"/>
        </w:rPr>
        <w:t xml:space="preserve">: за эти почти тридцать лет сменилось несколько крупных тенденций в двухсторонних отношениях. </w:t>
      </w:r>
    </w:p>
    <w:p w14:paraId="20C90768" w14:textId="573437AC" w:rsidR="004A08E2" w:rsidRDefault="00CD7911" w:rsidP="00AB45FE">
      <w:pPr>
        <w:ind w:firstLine="708"/>
        <w:rPr>
          <w:szCs w:val="24"/>
        </w:rPr>
      </w:pPr>
      <w:r>
        <w:rPr>
          <w:szCs w:val="24"/>
        </w:rPr>
        <w:t xml:space="preserve">Для детального структурирования причинно-следственных связей, </w:t>
      </w:r>
      <w:r w:rsidR="004A08E2">
        <w:rPr>
          <w:szCs w:val="24"/>
        </w:rPr>
        <w:t>дальнейший анализ российско-германского сотрудничества был разделен на три</w:t>
      </w:r>
      <w:r>
        <w:rPr>
          <w:szCs w:val="24"/>
        </w:rPr>
        <w:t xml:space="preserve"> основных</w:t>
      </w:r>
      <w:r w:rsidR="004A08E2">
        <w:rPr>
          <w:szCs w:val="24"/>
        </w:rPr>
        <w:t xml:space="preserve"> этапа: </w:t>
      </w:r>
    </w:p>
    <w:p w14:paraId="4B4D9ABD" w14:textId="0E1CAA41" w:rsidR="007C559A" w:rsidRDefault="004A08E2" w:rsidP="004A08E2">
      <w:pPr>
        <w:pStyle w:val="a7"/>
        <w:numPr>
          <w:ilvl w:val="0"/>
          <w:numId w:val="10"/>
        </w:numPr>
        <w:rPr>
          <w:szCs w:val="24"/>
        </w:rPr>
      </w:pPr>
      <w:r>
        <w:rPr>
          <w:szCs w:val="24"/>
        </w:rPr>
        <w:t>П</w:t>
      </w:r>
      <w:r w:rsidRPr="004A08E2">
        <w:rPr>
          <w:szCs w:val="24"/>
        </w:rPr>
        <w:t>ериод шоковой терапии российской экономики и политической турбулентности в 1991-2000 гг.</w:t>
      </w:r>
      <w:r>
        <w:rPr>
          <w:szCs w:val="24"/>
        </w:rPr>
        <w:t>;</w:t>
      </w:r>
    </w:p>
    <w:p w14:paraId="7CBC4A63" w14:textId="2502DC23" w:rsidR="004A08E2" w:rsidRDefault="004A08E2" w:rsidP="004A08E2">
      <w:pPr>
        <w:pStyle w:val="a7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Период с 2000 по 2014 год, в ходе которого продолжалась либерализация экономики и внешней торговли, происходила централизация </w:t>
      </w:r>
      <w:r w:rsidR="00CD7911">
        <w:rPr>
          <w:szCs w:val="24"/>
        </w:rPr>
        <w:t xml:space="preserve">и укрепление </w:t>
      </w:r>
      <w:r>
        <w:rPr>
          <w:szCs w:val="24"/>
        </w:rPr>
        <w:t>политическо</w:t>
      </w:r>
      <w:r w:rsidR="00CD7911">
        <w:rPr>
          <w:szCs w:val="24"/>
        </w:rPr>
        <w:t>й</w:t>
      </w:r>
      <w:r>
        <w:rPr>
          <w:szCs w:val="24"/>
        </w:rPr>
        <w:t xml:space="preserve"> </w:t>
      </w:r>
      <w:r w:rsidR="00CD7911">
        <w:rPr>
          <w:szCs w:val="24"/>
        </w:rPr>
        <w:t>системы;</w:t>
      </w:r>
    </w:p>
    <w:p w14:paraId="79C3F2B8" w14:textId="372F85D1" w:rsidR="00CD7911" w:rsidRPr="004A08E2" w:rsidRDefault="00CD7911" w:rsidP="004A08E2">
      <w:pPr>
        <w:pStyle w:val="a7"/>
        <w:numPr>
          <w:ilvl w:val="0"/>
          <w:numId w:val="10"/>
        </w:numPr>
        <w:rPr>
          <w:szCs w:val="24"/>
        </w:rPr>
      </w:pPr>
      <w:r>
        <w:rPr>
          <w:szCs w:val="24"/>
        </w:rPr>
        <w:t>Период с 2014 года по настоящее время (на рубеже 2020 года), который сопровождался резким обострением политического и экономического противостояния России и Запада через санкции и контрсанкции.</w:t>
      </w:r>
    </w:p>
    <w:p w14:paraId="5EA38B00" w14:textId="0339054C" w:rsidR="00EF4290" w:rsidRDefault="002B7E2F" w:rsidP="00EF4290">
      <w:pPr>
        <w:ind w:firstLine="708"/>
        <w:rPr>
          <w:szCs w:val="24"/>
        </w:rPr>
      </w:pPr>
      <w:r>
        <w:rPr>
          <w:szCs w:val="24"/>
        </w:rPr>
        <w:t>Первый этап приходится на 1990-е годы и президентство Б. Н. Ельцин</w:t>
      </w:r>
      <w:r w:rsidR="00EF4290">
        <w:rPr>
          <w:szCs w:val="24"/>
        </w:rPr>
        <w:t>а</w:t>
      </w:r>
      <w:r w:rsidR="00E01E8D">
        <w:rPr>
          <w:szCs w:val="24"/>
        </w:rPr>
        <w:t>, в то время как со стороны уже объединенной Германии представителем был канцлер Гельмут Коль. Необходимо отметить, что политическая составляющая российско-германских отношений в данный период получила стремительное развитие: Германия одной из первых признала Российскую Федерацию правопреемником продолжателем СССР, её руководство осудило августовский путч</w:t>
      </w:r>
      <w:r w:rsidR="006A396B">
        <w:rPr>
          <w:szCs w:val="24"/>
        </w:rPr>
        <w:t xml:space="preserve"> и </w:t>
      </w:r>
      <w:r w:rsidR="00E01E8D">
        <w:rPr>
          <w:szCs w:val="24"/>
        </w:rPr>
        <w:t xml:space="preserve">заявила о всесторонней поддержке руководством ФРГ проводимых в России реформ, направленных на переход к социально-рыночной экономике, защите прав человека, формированию демократических институтов. Дальнейшие встречи двух лидеров </w:t>
      </w:r>
      <w:r w:rsidR="00E01E8D">
        <w:rPr>
          <w:szCs w:val="24"/>
        </w:rPr>
        <w:lastRenderedPageBreak/>
        <w:t>лишь закрепляли курс двух государств на усиление сотрудничества во всех сферах. Однако, несмотря на прекрасные отношения на уровне глав государств, реальной помощи со стороны Германии</w:t>
      </w:r>
      <w:r w:rsidR="00CB49C8">
        <w:rPr>
          <w:szCs w:val="24"/>
        </w:rPr>
        <w:t xml:space="preserve"> и «коллективного» Запада</w:t>
      </w:r>
      <w:r w:rsidR="00E01E8D">
        <w:rPr>
          <w:szCs w:val="24"/>
        </w:rPr>
        <w:t xml:space="preserve"> для улучшения экономической ситуации в России осуществлено не было.</w:t>
      </w:r>
      <w:r w:rsidR="00CB49C8">
        <w:rPr>
          <w:szCs w:val="24"/>
        </w:rPr>
        <w:t xml:space="preserve"> Данные российско-германской внешнеторговой палаты (до преобразования в 2007 году называлась «Союзом немецкой экономики в РФ» говорят о том, что с 1991 по 2001 гг. общий объем немецких инвестиций составил 6 млрд. долларов США (около 18% от общего объема) – в масштабах падения российской экономики подобный объем помощи представляется незначительным</w:t>
      </w:r>
      <w:r w:rsidR="006A396B">
        <w:rPr>
          <w:rStyle w:val="af5"/>
          <w:szCs w:val="24"/>
        </w:rPr>
        <w:footnoteReference w:id="68"/>
      </w:r>
      <w:r w:rsidR="00CB49C8">
        <w:rPr>
          <w:szCs w:val="24"/>
        </w:rPr>
        <w:t xml:space="preserve">. Безусловно, голословные обвинения по этому поводу в адрес Германии не имеют под собой оснований: объединение ФРГ и ГДР в 1989 году затребовало большое количество ресурсов для внутреннего развития страны; политическая и экономическая турбулентность внутри России, 1-я и 2-я чеченские войны, разгул преступности и бандитизма – период шоковой терапии и перестройки экономики с плановых рельс на рыночные оказался сильно более сложным и непредсказуемым, чем изначально предполагали «реформаторы». В таких условиях рост инвестиционной активности и улучшение делового климата оказался невозможным. </w:t>
      </w:r>
    </w:p>
    <w:p w14:paraId="75AD9532" w14:textId="2DA09957" w:rsidR="00B66AD5" w:rsidRDefault="00B66AD5" w:rsidP="00EF4290">
      <w:pPr>
        <w:ind w:firstLine="708"/>
        <w:rPr>
          <w:szCs w:val="24"/>
        </w:rPr>
      </w:pPr>
      <w:r>
        <w:rPr>
          <w:szCs w:val="24"/>
        </w:rPr>
        <w:t>Другим фундаментальным фактором стали неблагоприятные внешние обстоятельства.</w:t>
      </w:r>
      <w:r w:rsidR="00AB45FE">
        <w:rPr>
          <w:szCs w:val="24"/>
        </w:rPr>
        <w:t xml:space="preserve"> К</w:t>
      </w:r>
      <w:r>
        <w:rPr>
          <w:szCs w:val="24"/>
        </w:rPr>
        <w:t xml:space="preserve"> 1990 году доля нефти и газа в структуре экспорта составляла более 60%. Среднегодовая цена нефти </w:t>
      </w:r>
      <w:r>
        <w:rPr>
          <w:szCs w:val="24"/>
          <w:lang w:val="de-DE"/>
        </w:rPr>
        <w:t>Brent</w:t>
      </w:r>
      <w:r w:rsidRPr="00B66AD5">
        <w:rPr>
          <w:szCs w:val="24"/>
        </w:rPr>
        <w:t xml:space="preserve"> </w:t>
      </w:r>
      <w:r>
        <w:rPr>
          <w:szCs w:val="24"/>
        </w:rPr>
        <w:t>с 1990 по 1999 гг. составила 17 долл. США/баррель. Это привело к сильнейшему сокращению валютной выручки и отсутствию источников для финансирования внутренних преобразований</w:t>
      </w:r>
      <w:r w:rsidR="008C2F6E">
        <w:rPr>
          <w:rStyle w:val="af5"/>
          <w:szCs w:val="24"/>
        </w:rPr>
        <w:footnoteReference w:id="69"/>
      </w:r>
      <w:r w:rsidRPr="00B66AD5">
        <w:rPr>
          <w:szCs w:val="24"/>
        </w:rPr>
        <w:t xml:space="preserve">. </w:t>
      </w:r>
      <w:r>
        <w:rPr>
          <w:szCs w:val="24"/>
        </w:rPr>
        <w:t xml:space="preserve">Таким образом, неблагоприятная внутриполитическая обстановка внутри России совместно с низкими ценами на нефть стали причиной </w:t>
      </w:r>
      <w:r w:rsidR="00AB45FE">
        <w:rPr>
          <w:szCs w:val="24"/>
        </w:rPr>
        <w:t>упадка</w:t>
      </w:r>
      <w:r>
        <w:rPr>
          <w:szCs w:val="24"/>
        </w:rPr>
        <w:t xml:space="preserve"> торгово-экономического сотрудничества между государствами в указанный период.</w:t>
      </w:r>
    </w:p>
    <w:p w14:paraId="3F386572" w14:textId="3228F51C" w:rsidR="007F22E3" w:rsidRPr="00B66AD5" w:rsidRDefault="007F22E3" w:rsidP="007F22E3">
      <w:pPr>
        <w:ind w:firstLine="708"/>
        <w:rPr>
          <w:szCs w:val="24"/>
        </w:rPr>
      </w:pPr>
      <w:r>
        <w:rPr>
          <w:szCs w:val="24"/>
        </w:rPr>
        <w:t xml:space="preserve">Следующий этап включает в себя первые два срока президентства В.В. Путина с 2000 по 2008 гг. Политические и экономические обстоятельства вновь вывели на повестку дня необходимость модернизации и догоняющего развития. Несмотря на то, что данные понятия не являются тождественными, они очень близки по своей сути. Их возникновение приходится на 1950-1960-е гг. </w:t>
      </w:r>
      <w:r>
        <w:rPr>
          <w:szCs w:val="24"/>
          <w:lang w:val="de-DE"/>
        </w:rPr>
        <w:t>XX</w:t>
      </w:r>
      <w:r w:rsidRPr="002E6FF2">
        <w:rPr>
          <w:szCs w:val="24"/>
        </w:rPr>
        <w:t xml:space="preserve"> </w:t>
      </w:r>
      <w:r>
        <w:rPr>
          <w:szCs w:val="24"/>
        </w:rPr>
        <w:t xml:space="preserve">века, когда произошел распад колониальных империй. По определению, модернизация – это процесс комплексного развития и обновления общества, которое затрагивает все сферы жизнедеятельности. На протяжении последних трехсот лет, начиная с Петра </w:t>
      </w:r>
      <w:r>
        <w:rPr>
          <w:szCs w:val="24"/>
          <w:lang w:val="de-DE"/>
        </w:rPr>
        <w:t>I</w:t>
      </w:r>
      <w:r>
        <w:rPr>
          <w:szCs w:val="24"/>
        </w:rPr>
        <w:t xml:space="preserve">, Россия неуклонно следовала в этом направлении, пытаясь </w:t>
      </w:r>
      <w:r>
        <w:rPr>
          <w:szCs w:val="24"/>
        </w:rPr>
        <w:lastRenderedPageBreak/>
        <w:t xml:space="preserve">решить проблему отсталости от технологически более развитых стран Запада. Однако отсутствие комплексного подхода к решению данной задачи, реализация лишь отдельных её аспектов (в основном экономических и военных, но не политических) приводило всегда к тому, что проведенная модернизация исчерпывала свои ресурсы и через определенный промежуток времени вызывала необходимость повторения процесса. Более того, политическая модернизация в России зачастую происходила после системных кризисов и революционных явлений, примером чего является первая русская революция 1905 года, затем февральская «буржуазная» и октябрьская «социалистическая» революции 1917 года, распад СССР в 1991 году и последовавшее за этим становление демократических институтов в независимых государствах.  При прочих равных можно сделать вывод, что до кризиса 2008 года, модернизация была неразрывно связана с «вестернизацией» государств и принятие политического и экономического либерализма стран Запада как столбовой дороги развития человечества. </w:t>
      </w:r>
    </w:p>
    <w:p w14:paraId="2557392D" w14:textId="73401895" w:rsidR="00BF2F50" w:rsidRDefault="00990FC3" w:rsidP="00990FC3">
      <w:pPr>
        <w:ind w:firstLine="708"/>
        <w:rPr>
          <w:szCs w:val="24"/>
        </w:rPr>
      </w:pPr>
      <w:r>
        <w:rPr>
          <w:szCs w:val="24"/>
        </w:rPr>
        <w:t>В период с 2000 по 2008 годы Россия не стала исключением из этого явления: н</w:t>
      </w:r>
      <w:r w:rsidR="002B7E2F">
        <w:rPr>
          <w:szCs w:val="24"/>
        </w:rPr>
        <w:t>а протяжени</w:t>
      </w:r>
      <w:r w:rsidR="00B66AD5">
        <w:rPr>
          <w:szCs w:val="24"/>
        </w:rPr>
        <w:t>и этого периода</w:t>
      </w:r>
      <w:r w:rsidR="002B7E2F">
        <w:rPr>
          <w:szCs w:val="24"/>
        </w:rPr>
        <w:t xml:space="preserve"> происходило </w:t>
      </w:r>
      <w:r>
        <w:rPr>
          <w:szCs w:val="24"/>
        </w:rPr>
        <w:t xml:space="preserve">её </w:t>
      </w:r>
      <w:r w:rsidR="002B7E2F">
        <w:rPr>
          <w:szCs w:val="24"/>
        </w:rPr>
        <w:t>встраивание в мировую экономику</w:t>
      </w:r>
      <w:r w:rsidR="00BF2F50">
        <w:rPr>
          <w:szCs w:val="24"/>
        </w:rPr>
        <w:t>. П</w:t>
      </w:r>
      <w:r w:rsidR="00B66AD5">
        <w:rPr>
          <w:szCs w:val="24"/>
        </w:rPr>
        <w:t>осле турбулентного десятилетия девяностых годов приход к власти нового президента способствовал стабилизации политической обстановки</w:t>
      </w:r>
      <w:r w:rsidR="008C77B1">
        <w:rPr>
          <w:szCs w:val="24"/>
        </w:rPr>
        <w:t>.</w:t>
      </w:r>
      <w:r w:rsidR="00BF2F50">
        <w:rPr>
          <w:szCs w:val="24"/>
        </w:rPr>
        <w:t xml:space="preserve"> Первые два срока В. Путин был </w:t>
      </w:r>
      <w:r w:rsidR="00BF2F50" w:rsidRPr="00BF2F50">
        <w:rPr>
          <w:szCs w:val="24"/>
        </w:rPr>
        <w:t>продолжа</w:t>
      </w:r>
      <w:r w:rsidR="00BF2F50">
        <w:rPr>
          <w:szCs w:val="24"/>
        </w:rPr>
        <w:t>телем</w:t>
      </w:r>
      <w:r w:rsidR="00BF2F50" w:rsidRPr="00BF2F50">
        <w:rPr>
          <w:szCs w:val="24"/>
        </w:rPr>
        <w:t xml:space="preserve"> либеральны</w:t>
      </w:r>
      <w:r w:rsidR="00BF2F50">
        <w:rPr>
          <w:szCs w:val="24"/>
        </w:rPr>
        <w:t>х</w:t>
      </w:r>
      <w:r w:rsidR="00BF2F50" w:rsidRPr="00BF2F50">
        <w:rPr>
          <w:szCs w:val="24"/>
        </w:rPr>
        <w:t xml:space="preserve"> реформ</w:t>
      </w:r>
      <w:r w:rsidR="00BF2F50">
        <w:rPr>
          <w:szCs w:val="24"/>
        </w:rPr>
        <w:t xml:space="preserve"> внутри страны – формирование рынка земли, установление плоской шкалы налогообложения, улучшение законодательства для частного </w:t>
      </w:r>
      <w:r w:rsidR="00C400DE">
        <w:rPr>
          <w:szCs w:val="24"/>
        </w:rPr>
        <w:t>предпринимательства, а</w:t>
      </w:r>
      <w:r w:rsidR="00BF2F50">
        <w:rPr>
          <w:szCs w:val="24"/>
        </w:rPr>
        <w:t xml:space="preserve"> также встраивание в систему международного разделения труда через вступление во всемирную торговую организацию (далее ВТО).</w:t>
      </w:r>
    </w:p>
    <w:p w14:paraId="2FD789C1" w14:textId="18F0BB4F" w:rsidR="00A643B8" w:rsidRPr="00427C96" w:rsidRDefault="00990FC3" w:rsidP="00990FC3">
      <w:pPr>
        <w:ind w:firstLine="708"/>
        <w:rPr>
          <w:szCs w:val="24"/>
        </w:rPr>
      </w:pPr>
      <w:r>
        <w:rPr>
          <w:szCs w:val="24"/>
        </w:rPr>
        <w:t xml:space="preserve">Фундаментальным фактором, который сделал возможным разговоры о российской модернизации стал </w:t>
      </w:r>
      <w:r w:rsidR="00BB60CF">
        <w:rPr>
          <w:szCs w:val="24"/>
        </w:rPr>
        <w:t>стремительный рост цен на нефть,</w:t>
      </w:r>
      <w:r w:rsidR="0084146A">
        <w:rPr>
          <w:szCs w:val="24"/>
        </w:rPr>
        <w:t xml:space="preserve"> </w:t>
      </w:r>
      <w:r w:rsidR="00C400DE">
        <w:rPr>
          <w:szCs w:val="24"/>
        </w:rPr>
        <w:t xml:space="preserve">под </w:t>
      </w:r>
      <w:r w:rsidR="0084146A">
        <w:rPr>
          <w:szCs w:val="24"/>
        </w:rPr>
        <w:t xml:space="preserve">экспортную валютную выручку от которой </w:t>
      </w:r>
      <w:r w:rsidR="00BB60CF">
        <w:rPr>
          <w:szCs w:val="24"/>
        </w:rPr>
        <w:t xml:space="preserve">стали </w:t>
      </w:r>
      <w:r w:rsidR="0082240F">
        <w:rPr>
          <w:szCs w:val="24"/>
        </w:rPr>
        <w:t>осуществляться</w:t>
      </w:r>
      <w:r w:rsidR="0084146A">
        <w:rPr>
          <w:szCs w:val="24"/>
        </w:rPr>
        <w:t xml:space="preserve"> </w:t>
      </w:r>
      <w:r w:rsidR="00BB60CF">
        <w:rPr>
          <w:szCs w:val="24"/>
        </w:rPr>
        <w:t>иностранные инвестиции</w:t>
      </w:r>
      <w:r w:rsidR="0084146A">
        <w:rPr>
          <w:szCs w:val="24"/>
        </w:rPr>
        <w:t xml:space="preserve">, немалая доля которых была со стороны </w:t>
      </w:r>
      <w:r w:rsidR="00BB60CF">
        <w:rPr>
          <w:szCs w:val="24"/>
        </w:rPr>
        <w:t>немецки</w:t>
      </w:r>
      <w:r w:rsidR="0084146A">
        <w:rPr>
          <w:szCs w:val="24"/>
        </w:rPr>
        <w:t>х</w:t>
      </w:r>
      <w:r w:rsidR="00BB60CF">
        <w:rPr>
          <w:szCs w:val="24"/>
        </w:rPr>
        <w:t xml:space="preserve"> компани</w:t>
      </w:r>
      <w:r w:rsidR="0084146A">
        <w:rPr>
          <w:szCs w:val="24"/>
        </w:rPr>
        <w:t>й</w:t>
      </w:r>
      <w:r w:rsidR="00BB60CF">
        <w:rPr>
          <w:szCs w:val="24"/>
        </w:rPr>
        <w:t>.</w:t>
      </w:r>
      <w:r w:rsidR="00093E2F">
        <w:rPr>
          <w:szCs w:val="24"/>
        </w:rPr>
        <w:t xml:space="preserve"> </w:t>
      </w:r>
      <w:r w:rsidR="005F7B60">
        <w:rPr>
          <w:szCs w:val="24"/>
        </w:rPr>
        <w:t xml:space="preserve">Так, с 2003 года среднегодовая цена барреля нефти марки </w:t>
      </w:r>
      <w:r w:rsidR="005F7B60">
        <w:rPr>
          <w:szCs w:val="24"/>
          <w:lang w:val="de-DE"/>
        </w:rPr>
        <w:t>Brent</w:t>
      </w:r>
      <w:r w:rsidR="005F7B60" w:rsidRPr="005F7B60">
        <w:rPr>
          <w:szCs w:val="24"/>
        </w:rPr>
        <w:t xml:space="preserve"> </w:t>
      </w:r>
      <w:r w:rsidR="005F7B60">
        <w:rPr>
          <w:szCs w:val="24"/>
        </w:rPr>
        <w:t>выросла с 28,5 долл. США до 97 долл. США в 2008 году</w:t>
      </w:r>
      <w:r w:rsidR="00427C96">
        <w:rPr>
          <w:szCs w:val="24"/>
        </w:rPr>
        <w:t xml:space="preserve"> (на пике в июле – 147 долл. США/баррель)</w:t>
      </w:r>
      <w:r w:rsidR="0082240F">
        <w:rPr>
          <w:rStyle w:val="af5"/>
          <w:szCs w:val="24"/>
        </w:rPr>
        <w:footnoteReference w:id="70"/>
      </w:r>
      <w:r w:rsidR="005F7B60">
        <w:rPr>
          <w:szCs w:val="24"/>
        </w:rPr>
        <w:t xml:space="preserve">. </w:t>
      </w:r>
      <w:r w:rsidR="00427C96">
        <w:rPr>
          <w:szCs w:val="24"/>
        </w:rPr>
        <w:t>Уже к</w:t>
      </w:r>
      <w:r w:rsidR="005F7B60">
        <w:rPr>
          <w:szCs w:val="24"/>
        </w:rPr>
        <w:t xml:space="preserve"> началу мирового финансового кризиса в 2007 года объем двусторонней торговли вырос в 2,5 раза от уровня 2001 года и составил 53,5 млрд. евро. Несмотря на то, что по объему инвестиций Германия к 2008 году занимала лишь 5-е место, их объем достиг 11,8 млрд. долл. США</w:t>
      </w:r>
      <w:r w:rsidR="00F32925">
        <w:rPr>
          <w:szCs w:val="24"/>
        </w:rPr>
        <w:t xml:space="preserve"> (объем накопленных инвестиций)</w:t>
      </w:r>
      <w:r w:rsidR="005F7B60">
        <w:rPr>
          <w:szCs w:val="24"/>
        </w:rPr>
        <w:t xml:space="preserve">, а основными направлениями были торговля, транспорт, связь, пищевая, химическая, электротехническая </w:t>
      </w:r>
      <w:r w:rsidR="005F7B60">
        <w:rPr>
          <w:szCs w:val="24"/>
        </w:rPr>
        <w:lastRenderedPageBreak/>
        <w:t>и автомобильная промышленность</w:t>
      </w:r>
      <w:r w:rsidR="00F32925">
        <w:rPr>
          <w:szCs w:val="24"/>
        </w:rPr>
        <w:t xml:space="preserve"> </w:t>
      </w:r>
      <w:r w:rsidR="0082240F">
        <w:rPr>
          <w:rStyle w:val="af5"/>
          <w:szCs w:val="24"/>
        </w:rPr>
        <w:footnoteReference w:id="71"/>
      </w:r>
      <w:r w:rsidR="005F7B60">
        <w:rPr>
          <w:szCs w:val="24"/>
        </w:rPr>
        <w:t xml:space="preserve">. В рамках последней были построены сборочные заводы, например, </w:t>
      </w:r>
      <w:r w:rsidR="005F7B60">
        <w:rPr>
          <w:szCs w:val="24"/>
          <w:lang w:val="en-US"/>
        </w:rPr>
        <w:t>Volkswagen</w:t>
      </w:r>
      <w:r w:rsidR="005F7B60">
        <w:rPr>
          <w:szCs w:val="24"/>
        </w:rPr>
        <w:t xml:space="preserve"> в Калужской области</w:t>
      </w:r>
      <w:r w:rsidR="00427C96">
        <w:rPr>
          <w:szCs w:val="24"/>
        </w:rPr>
        <w:t>, а концепция</w:t>
      </w:r>
      <w:r w:rsidR="00F32925">
        <w:rPr>
          <w:szCs w:val="24"/>
        </w:rPr>
        <w:t xml:space="preserve"> такого</w:t>
      </w:r>
      <w:r w:rsidR="00427C96">
        <w:rPr>
          <w:szCs w:val="24"/>
        </w:rPr>
        <w:t xml:space="preserve"> производства была </w:t>
      </w:r>
      <w:r w:rsidR="00F32925">
        <w:rPr>
          <w:szCs w:val="24"/>
        </w:rPr>
        <w:t>завязана</w:t>
      </w:r>
      <w:r w:rsidR="00427C96">
        <w:rPr>
          <w:szCs w:val="24"/>
        </w:rPr>
        <w:t xml:space="preserve"> на импорте оборудования и технологий. Безусловно, нефтегазовая отрасль стала наиболее успешным и перспективным сектором в российской экономике, чья доля в экспорте достигла </w:t>
      </w:r>
      <w:r w:rsidR="00F32925">
        <w:rPr>
          <w:szCs w:val="24"/>
        </w:rPr>
        <w:t xml:space="preserve">к 2008-му году </w:t>
      </w:r>
      <w:r w:rsidR="00427C96">
        <w:rPr>
          <w:szCs w:val="24"/>
        </w:rPr>
        <w:t xml:space="preserve">54%. Академик Сергей Глазьев в </w:t>
      </w:r>
      <w:r w:rsidR="00F32925">
        <w:rPr>
          <w:szCs w:val="24"/>
        </w:rPr>
        <w:t xml:space="preserve">этом же </w:t>
      </w:r>
      <w:r w:rsidR="00427C96">
        <w:rPr>
          <w:szCs w:val="24"/>
        </w:rPr>
        <w:t>году заявил, что подобная структура российской экономики представляет из себя «сырьевой перекос», поскольку ¾ государственного бюджета формируются именно за счет продажи сырья</w:t>
      </w:r>
      <w:r w:rsidR="0082240F">
        <w:rPr>
          <w:szCs w:val="24"/>
        </w:rPr>
        <w:t xml:space="preserve"> </w:t>
      </w:r>
      <w:r w:rsidR="0082240F">
        <w:rPr>
          <w:rStyle w:val="af5"/>
          <w:szCs w:val="24"/>
        </w:rPr>
        <w:footnoteReference w:id="72"/>
      </w:r>
      <w:r w:rsidR="00427C96" w:rsidRPr="00427C96">
        <w:rPr>
          <w:szCs w:val="24"/>
        </w:rPr>
        <w:t>.</w:t>
      </w:r>
      <w:r w:rsidR="00427C96">
        <w:rPr>
          <w:szCs w:val="24"/>
        </w:rPr>
        <w:t xml:space="preserve"> Тем не менее, нефтегазовая отрасль стала основным драйвером восстановления российской экономики в этот период, а колоссальный приток нефтедолларов, за счет которых формировался бюджет, росли доходы граждан (в независимости, имели ли они прямое или косвенное отношение к отрасли) сделал возможным всевозрастающие объемы импорта, основным партнером в котором оставалась именно Германия.</w:t>
      </w:r>
    </w:p>
    <w:p w14:paraId="69FB7B88" w14:textId="05877E07" w:rsidR="00BB60CF" w:rsidRPr="00BB60CF" w:rsidRDefault="002B1510" w:rsidP="00F32925">
      <w:pPr>
        <w:ind w:firstLine="708"/>
        <w:rPr>
          <w:szCs w:val="24"/>
        </w:rPr>
      </w:pPr>
      <w:r>
        <w:rPr>
          <w:szCs w:val="24"/>
        </w:rPr>
        <w:t xml:space="preserve">Растущие объемы ПИИ были также вызваны эффектом восстановительного роста российской экономики после её коллапса в 1990-е годы, а также, что немаловажно – положительной политической конъюнктурой между В. Путиным и канцлером ФРГ Г. Шредером. Так, уже в 2000-м году канцлер заявил в интервью Независимой газете: «Германия может и хочет играть важную роль в намеченном президентом Путиным процессе модернизации России» </w:t>
      </w:r>
      <w:r w:rsidR="0082240F">
        <w:rPr>
          <w:rStyle w:val="af5"/>
          <w:szCs w:val="24"/>
        </w:rPr>
        <w:footnoteReference w:id="73"/>
      </w:r>
      <w:r>
        <w:rPr>
          <w:szCs w:val="24"/>
        </w:rPr>
        <w:t>.</w:t>
      </w:r>
      <w:r w:rsidRPr="002B1510">
        <w:rPr>
          <w:szCs w:val="24"/>
        </w:rPr>
        <w:t xml:space="preserve"> </w:t>
      </w:r>
      <w:r w:rsidR="00000FEE">
        <w:rPr>
          <w:szCs w:val="24"/>
        </w:rPr>
        <w:t>Фактически,</w:t>
      </w:r>
      <w:r w:rsidR="004B751E">
        <w:rPr>
          <w:szCs w:val="24"/>
        </w:rPr>
        <w:t xml:space="preserve"> </w:t>
      </w:r>
      <w:r w:rsidR="00000FEE">
        <w:rPr>
          <w:szCs w:val="24"/>
        </w:rPr>
        <w:t xml:space="preserve">период с 1999 года по 2007 год стал своего рода НЭП </w:t>
      </w:r>
      <w:r w:rsidR="004B751E">
        <w:rPr>
          <w:szCs w:val="24"/>
        </w:rPr>
        <w:t>на новейшем</w:t>
      </w:r>
      <w:r w:rsidR="00000FEE">
        <w:rPr>
          <w:szCs w:val="24"/>
        </w:rPr>
        <w:t xml:space="preserve"> этап</w:t>
      </w:r>
      <w:r w:rsidR="004B751E">
        <w:rPr>
          <w:szCs w:val="24"/>
        </w:rPr>
        <w:t>е развития</w:t>
      </w:r>
      <w:r w:rsidR="00000FEE">
        <w:rPr>
          <w:szCs w:val="24"/>
        </w:rPr>
        <w:t xml:space="preserve"> экономики России: среднегодовые темпы роста валового внутреннего продукта (далее ВВП) составили </w:t>
      </w:r>
      <w:r w:rsidR="004B751E">
        <w:rPr>
          <w:szCs w:val="24"/>
        </w:rPr>
        <w:t xml:space="preserve">в указанный период </w:t>
      </w:r>
      <w:r w:rsidR="00000FEE">
        <w:rPr>
          <w:szCs w:val="24"/>
        </w:rPr>
        <w:t>7%.</w:t>
      </w:r>
    </w:p>
    <w:p w14:paraId="43BE76D9" w14:textId="1C457946" w:rsidR="00F32925" w:rsidRDefault="005F2C81" w:rsidP="00F32925">
      <w:pPr>
        <w:ind w:firstLine="708"/>
        <w:rPr>
          <w:szCs w:val="24"/>
        </w:rPr>
      </w:pPr>
      <w:r>
        <w:rPr>
          <w:szCs w:val="24"/>
        </w:rPr>
        <w:t xml:space="preserve">Последующее президентство Д. Медведева способствовало усилению </w:t>
      </w:r>
      <w:r w:rsidR="00007BD0">
        <w:rPr>
          <w:szCs w:val="24"/>
        </w:rPr>
        <w:t xml:space="preserve">проатлантического курса, улучшению отношений с «коллективным Западом». </w:t>
      </w:r>
      <w:r w:rsidR="00795DD1">
        <w:rPr>
          <w:szCs w:val="24"/>
        </w:rPr>
        <w:t xml:space="preserve">В 2010 году в ходе российско-германских консультаций на высшем уровне была принята стратегия «партнерство для модернизации». </w:t>
      </w:r>
      <w:r w:rsidR="0022360F">
        <w:rPr>
          <w:szCs w:val="24"/>
        </w:rPr>
        <w:t>Анализируя дальнейшее развитие события в рамках экономики необходимо отметить, что н</w:t>
      </w:r>
      <w:r w:rsidR="00F32925">
        <w:rPr>
          <w:szCs w:val="24"/>
        </w:rPr>
        <w:t xml:space="preserve">есмотря на то, что цены на нефть восстановились после кризиса достаточно быстро и достигали к 2012 году 110 долл. США за баррель, </w:t>
      </w:r>
      <w:r w:rsidR="00F32925">
        <w:rPr>
          <w:szCs w:val="24"/>
        </w:rPr>
        <w:lastRenderedPageBreak/>
        <w:t>совокупный объем немецких инвестиций рос достаточно медленно и преимущественно за счет портфельной составляющей. ПИИ в этот период показывали снижение</w:t>
      </w:r>
      <w:r w:rsidR="008C2F6E">
        <w:rPr>
          <w:rStyle w:val="af5"/>
          <w:szCs w:val="24"/>
        </w:rPr>
        <w:footnoteReference w:id="74"/>
      </w:r>
      <w:r w:rsidR="00F32925">
        <w:rPr>
          <w:szCs w:val="24"/>
        </w:rPr>
        <w:t xml:space="preserve">. </w:t>
      </w:r>
    </w:p>
    <w:p w14:paraId="16A7A612" w14:textId="6CCD132E" w:rsidR="00795DD1" w:rsidRPr="00795DD1" w:rsidRDefault="00F32925" w:rsidP="00795DD1">
      <w:pPr>
        <w:ind w:firstLine="708"/>
        <w:rPr>
          <w:szCs w:val="24"/>
        </w:rPr>
      </w:pPr>
      <w:r>
        <w:rPr>
          <w:szCs w:val="24"/>
        </w:rPr>
        <w:t xml:space="preserve">Данный феномен подтверждается и </w:t>
      </w:r>
      <w:r w:rsidRPr="00F32925">
        <w:rPr>
          <w:szCs w:val="24"/>
        </w:rPr>
        <w:t>корреляционны</w:t>
      </w:r>
      <w:r>
        <w:rPr>
          <w:szCs w:val="24"/>
        </w:rPr>
        <w:t>м</w:t>
      </w:r>
      <w:r w:rsidRPr="00F32925">
        <w:rPr>
          <w:szCs w:val="24"/>
        </w:rPr>
        <w:t xml:space="preserve"> анализ</w:t>
      </w:r>
      <w:r>
        <w:rPr>
          <w:szCs w:val="24"/>
        </w:rPr>
        <w:t xml:space="preserve">ом, который </w:t>
      </w:r>
      <w:r w:rsidRPr="00F32925">
        <w:rPr>
          <w:szCs w:val="24"/>
        </w:rPr>
        <w:t>не показал прямую взаимосвязь между ценой на нефть и прямыми иностранными инвестициями (далее ПИИ) в Россию из ФРГ (коэффициент корреляции равен 0,27)</w:t>
      </w:r>
      <w:r>
        <w:rPr>
          <w:szCs w:val="24"/>
        </w:rPr>
        <w:t xml:space="preserve">. Подобная тенденция ставит под сомнение возможность проведения очередной российской модернизации, которая безусловно была ориентирована в первую очередь на иностранные инвестиции. Любопытным остается также тот факт, что логика модернизации в её экономическом аспекте предполагает обновление основных фондов и переход на новые технологии. Тем не менее, в соответствии с данными Росстата, </w:t>
      </w:r>
      <w:r w:rsidR="00394B3C">
        <w:rPr>
          <w:szCs w:val="24"/>
        </w:rPr>
        <w:t>процент износа основных фондов выросла в нефтяных «</w:t>
      </w:r>
      <w:proofErr w:type="gramStart"/>
      <w:r w:rsidR="00394B3C">
        <w:rPr>
          <w:szCs w:val="24"/>
        </w:rPr>
        <w:t>супер цен</w:t>
      </w:r>
      <w:proofErr w:type="gramEnd"/>
      <w:r w:rsidR="00394B3C">
        <w:rPr>
          <w:szCs w:val="24"/>
        </w:rPr>
        <w:t>» (2003-2014 гг.) с 43% до 49,4%, а в добывающей отрасли эта доля фактически не изменилась и осталась на уровне 55%. Фактически это означает, что принятая стратегия модернизации в некотором роде провалилась. Более того, с 2014 по 2018 гг. этот показатель снизился на 2% до 47,4%, что говорит об эффективности действующих контрсанкций</w:t>
      </w:r>
      <w:r w:rsidR="008C2F6E">
        <w:rPr>
          <w:rStyle w:val="af5"/>
          <w:szCs w:val="24"/>
        </w:rPr>
        <w:footnoteReference w:id="75"/>
      </w:r>
      <w:r w:rsidR="00795DD1">
        <w:rPr>
          <w:szCs w:val="24"/>
        </w:rPr>
        <w:t>.</w:t>
      </w:r>
    </w:p>
    <w:p w14:paraId="5A101118" w14:textId="4419E3EA" w:rsidR="00D450CA" w:rsidRDefault="00007BD0" w:rsidP="00EF4290">
      <w:pPr>
        <w:ind w:firstLine="708"/>
        <w:rPr>
          <w:szCs w:val="24"/>
        </w:rPr>
      </w:pPr>
      <w:r>
        <w:rPr>
          <w:szCs w:val="24"/>
        </w:rPr>
        <w:t xml:space="preserve">Однако уже с 2012 года </w:t>
      </w:r>
      <w:r w:rsidR="00F85E09">
        <w:rPr>
          <w:szCs w:val="24"/>
        </w:rPr>
        <w:t xml:space="preserve">после </w:t>
      </w:r>
      <w:r>
        <w:rPr>
          <w:szCs w:val="24"/>
        </w:rPr>
        <w:t>возвращени</w:t>
      </w:r>
      <w:r w:rsidR="00F85E09">
        <w:rPr>
          <w:szCs w:val="24"/>
        </w:rPr>
        <w:t>я</w:t>
      </w:r>
      <w:r>
        <w:rPr>
          <w:szCs w:val="24"/>
        </w:rPr>
        <w:t xml:space="preserve"> к власти Владимира Путина, </w:t>
      </w:r>
      <w:r w:rsidR="0022360F">
        <w:rPr>
          <w:szCs w:val="24"/>
        </w:rPr>
        <w:t xml:space="preserve">а затем и с 2014 года партнерству для модернизации был положен конец. События вокруг украинского кризиса </w:t>
      </w:r>
      <w:r w:rsidR="00F85E09">
        <w:rPr>
          <w:szCs w:val="24"/>
        </w:rPr>
        <w:t xml:space="preserve">и присоединения Крыма </w:t>
      </w:r>
      <w:r w:rsidR="0022360F">
        <w:rPr>
          <w:szCs w:val="24"/>
        </w:rPr>
        <w:t xml:space="preserve">в 2014 году </w:t>
      </w:r>
      <w:r w:rsidR="00F85E09">
        <w:rPr>
          <w:szCs w:val="24"/>
        </w:rPr>
        <w:t xml:space="preserve">показали, что мировоззрение и политические ценности руководства России и Германии, которые до этого момента если и не были идентичными, но двигались примерно в одном направлении (впрочем, их подрыв произошел гораздо раньше: первые звоночки проявились в 2008 году в ходе российско-грузинского конфликта – 5-ти дневной войны, а затем и в 2012-м году во время протестов на Болотной), то с 2014 года их пути кардинально разошлись. В добавок к политической конъюнктуре, в 2014-2015 гг. произошло стремительное двукратное обрушение цен на нефть со 115 долл. США/баррель до 60 долл. США (цена марки </w:t>
      </w:r>
      <w:r w:rsidR="00F85E09">
        <w:rPr>
          <w:szCs w:val="24"/>
          <w:lang w:val="de-DE"/>
        </w:rPr>
        <w:t>Brent</w:t>
      </w:r>
      <w:r w:rsidR="00F85E09" w:rsidRPr="00F85E09">
        <w:rPr>
          <w:szCs w:val="24"/>
        </w:rPr>
        <w:t xml:space="preserve"> </w:t>
      </w:r>
      <w:r w:rsidR="00F85E09">
        <w:rPr>
          <w:szCs w:val="24"/>
        </w:rPr>
        <w:t>на конец года)</w:t>
      </w:r>
      <w:r w:rsidR="008C2F6E">
        <w:rPr>
          <w:rStyle w:val="af5"/>
          <w:szCs w:val="24"/>
        </w:rPr>
        <w:footnoteReference w:id="76"/>
      </w:r>
      <w:r w:rsidR="00F85E09">
        <w:rPr>
          <w:szCs w:val="24"/>
        </w:rPr>
        <w:t xml:space="preserve">. На этом, однако, снижение не закончилось и минимальное значение (в рамках данного нефтяного кризиса) было зафиксировано на уровне 27 долл. США 20 января 2016 года. Вместе эти события привели к тому, что из-за санкций Россия потеряла доступ к дешевым кредитам и технологиям на Западе, а двукратная девальвация рубля, который находится в прямой зависимости от цен на нефть привела к колоссальному сокращению внешнеторгового оборота. Данный показатель в отношении Германии составил в 2016 году </w:t>
      </w:r>
      <w:r w:rsidR="00F85E09">
        <w:rPr>
          <w:szCs w:val="24"/>
        </w:rPr>
        <w:lastRenderedPageBreak/>
        <w:t>40 млрд. долл. США против 75 млрд. долл. США в 2013 году.</w:t>
      </w:r>
      <w:r w:rsidR="002D78FE">
        <w:rPr>
          <w:szCs w:val="24"/>
        </w:rPr>
        <w:t xml:space="preserve"> В дальнейшем, несмотря на санкции, товарооборот начал восстанавливаться и в 2019 году составил 53,1 млрд. долл. США</w:t>
      </w:r>
      <w:r w:rsidR="008C2F6E">
        <w:rPr>
          <w:rStyle w:val="af5"/>
          <w:szCs w:val="24"/>
        </w:rPr>
        <w:footnoteReference w:id="77"/>
      </w:r>
      <w:r w:rsidR="002D78FE">
        <w:rPr>
          <w:szCs w:val="24"/>
        </w:rPr>
        <w:t xml:space="preserve">. Здесь, однако, необходимо учитывать, что сокращение в части экспорта произошло по большей части именно в денежном измерении, а не в физических единицах. Так, экспорт сырой нефти с 2014 по 2019 год вырос с 223,5 млн. тонн до 266 млн. тонн, природного газа </w:t>
      </w:r>
      <w:r w:rsidR="00C31B22">
        <w:rPr>
          <w:szCs w:val="24"/>
        </w:rPr>
        <w:t>–</w:t>
      </w:r>
      <w:r w:rsidR="002D78FE">
        <w:rPr>
          <w:szCs w:val="24"/>
        </w:rPr>
        <w:t xml:space="preserve"> </w:t>
      </w:r>
      <w:r w:rsidR="00C31B22">
        <w:rPr>
          <w:szCs w:val="24"/>
        </w:rPr>
        <w:t>со 174,3 млрд. м</w:t>
      </w:r>
      <w:r w:rsidR="00C31B22" w:rsidRPr="00C31B22">
        <w:rPr>
          <w:szCs w:val="24"/>
          <w:vertAlign w:val="superscript"/>
        </w:rPr>
        <w:t>3</w:t>
      </w:r>
      <w:r w:rsidR="00C31B22">
        <w:rPr>
          <w:szCs w:val="24"/>
        </w:rPr>
        <w:t xml:space="preserve"> до 247 млрд. м</w:t>
      </w:r>
      <w:r w:rsidR="00C31B22" w:rsidRPr="00C31B22">
        <w:rPr>
          <w:szCs w:val="24"/>
          <w:vertAlign w:val="superscript"/>
        </w:rPr>
        <w:t>3</w:t>
      </w:r>
      <w:r w:rsidR="00C31B22">
        <w:rPr>
          <w:szCs w:val="24"/>
        </w:rPr>
        <w:t>.</w:t>
      </w:r>
      <w:r w:rsidR="00A51B75">
        <w:rPr>
          <w:szCs w:val="24"/>
        </w:rPr>
        <w:t xml:space="preserve"> С другой стороны, объем импорта из Германии с 2013 по 2019 гг. снизился: с 37,9 млрд. долл. США до 9,35 млрд. долл. США, при этом сокращение поставок по основной статье</w:t>
      </w:r>
      <w:r w:rsidR="00A6381F">
        <w:rPr>
          <w:szCs w:val="24"/>
        </w:rPr>
        <w:t xml:space="preserve"> – машины, оборудование и аппаратура – с</w:t>
      </w:r>
      <w:r w:rsidR="00A51B75">
        <w:rPr>
          <w:szCs w:val="24"/>
        </w:rPr>
        <w:t>оставило 78% - с 12,7 до 2,77 млрд. долл. США за аналогичный период</w:t>
      </w:r>
      <w:r w:rsidR="008C2F6E">
        <w:rPr>
          <w:rStyle w:val="af5"/>
          <w:szCs w:val="24"/>
        </w:rPr>
        <w:footnoteReference w:id="78"/>
      </w:r>
      <w:r w:rsidR="00A51B75">
        <w:rPr>
          <w:szCs w:val="24"/>
        </w:rPr>
        <w:t>.</w:t>
      </w:r>
      <w:r w:rsidR="00A6381F">
        <w:rPr>
          <w:szCs w:val="24"/>
        </w:rPr>
        <w:t xml:space="preserve"> Как уже было сказано, единения санкционного давления и девальвационного шока для рубля привело к тому, что российские предприятия не смогли сохранить импортные закупки на прежнем уровне из-за с одной стороны – их возросшей стоимости, а с другой – закрытия доступа к дешевым зарубежным кредитам и невозможности их реструктуризации.</w:t>
      </w:r>
    </w:p>
    <w:p w14:paraId="639C63FB" w14:textId="6EA127F3" w:rsidR="00A6381F" w:rsidRDefault="00A6381F" w:rsidP="00EF4290">
      <w:pPr>
        <w:ind w:firstLine="708"/>
        <w:rPr>
          <w:szCs w:val="24"/>
        </w:rPr>
      </w:pPr>
      <w:r>
        <w:rPr>
          <w:szCs w:val="24"/>
        </w:rPr>
        <w:t xml:space="preserve">Таким образом, модернизационный аспект российско-германского сотрудничества </w:t>
      </w:r>
      <w:r w:rsidR="008515E7">
        <w:rPr>
          <w:szCs w:val="24"/>
        </w:rPr>
        <w:t xml:space="preserve">за первые два десятилетия </w:t>
      </w:r>
      <w:r w:rsidR="008515E7">
        <w:rPr>
          <w:szCs w:val="24"/>
          <w:lang w:val="en-US"/>
        </w:rPr>
        <w:t>XXI</w:t>
      </w:r>
      <w:r w:rsidR="008515E7">
        <w:rPr>
          <w:szCs w:val="24"/>
        </w:rPr>
        <w:t>-го века был фактически провален: стремительный рост нефтяных цен, всевозрастающие объемы экспорта нефти, нефтепродуктов и природного газа не сумели обеспечить качественную трансформацию российской экономики</w:t>
      </w:r>
      <w:r w:rsidR="00CD7911">
        <w:rPr>
          <w:szCs w:val="24"/>
        </w:rPr>
        <w:t xml:space="preserve">: </w:t>
      </w:r>
      <w:r w:rsidR="008515E7">
        <w:rPr>
          <w:szCs w:val="24"/>
        </w:rPr>
        <w:t xml:space="preserve">объем немецких инвестиций в российской экономике занимал лишь 5-е место и был явно недостаточен для технологического развития российской промышленности; торговый оборот двух стран, а точнее его импортная составляющая за указанный период оказалась </w:t>
      </w:r>
      <w:r w:rsidR="00CD7911">
        <w:rPr>
          <w:szCs w:val="24"/>
        </w:rPr>
        <w:t xml:space="preserve">сильно </w:t>
      </w:r>
      <w:r w:rsidR="008515E7">
        <w:rPr>
          <w:szCs w:val="24"/>
        </w:rPr>
        <w:t>зависим</w:t>
      </w:r>
      <w:r w:rsidR="00CD7911">
        <w:rPr>
          <w:szCs w:val="24"/>
        </w:rPr>
        <w:t xml:space="preserve">ой </w:t>
      </w:r>
      <w:r w:rsidR="008515E7">
        <w:rPr>
          <w:szCs w:val="24"/>
        </w:rPr>
        <w:t xml:space="preserve">от политической конъюнктуры, выразившейся в введенных санкциях и ответных </w:t>
      </w:r>
      <w:proofErr w:type="spellStart"/>
      <w:r w:rsidR="008515E7">
        <w:rPr>
          <w:szCs w:val="24"/>
        </w:rPr>
        <w:t>контрсанкциях</w:t>
      </w:r>
      <w:proofErr w:type="spellEnd"/>
      <w:r w:rsidR="008515E7">
        <w:rPr>
          <w:szCs w:val="24"/>
        </w:rPr>
        <w:t xml:space="preserve">. </w:t>
      </w:r>
    </w:p>
    <w:p w14:paraId="378696E7" w14:textId="045B3349" w:rsidR="000927D2" w:rsidRDefault="00933C1F" w:rsidP="00EF4290">
      <w:pPr>
        <w:ind w:firstLine="708"/>
        <w:rPr>
          <w:szCs w:val="24"/>
        </w:rPr>
      </w:pPr>
      <w:r>
        <w:rPr>
          <w:szCs w:val="24"/>
        </w:rPr>
        <w:t>Вторым фундаментальным фактором в развитии российско-германских отношений стала естественная потребность Германии в обеспечении энергоресурсами своего всестороннего социального, культурного</w:t>
      </w:r>
      <w:r w:rsidR="004A4EBC">
        <w:rPr>
          <w:szCs w:val="24"/>
        </w:rPr>
        <w:t xml:space="preserve">, </w:t>
      </w:r>
      <w:r>
        <w:rPr>
          <w:szCs w:val="24"/>
        </w:rPr>
        <w:t xml:space="preserve">экономического </w:t>
      </w:r>
      <w:r w:rsidR="00E47372">
        <w:rPr>
          <w:szCs w:val="24"/>
        </w:rPr>
        <w:t xml:space="preserve">и технологического развития. </w:t>
      </w:r>
      <w:r w:rsidR="004A4EBC">
        <w:rPr>
          <w:szCs w:val="24"/>
        </w:rPr>
        <w:t>Фактически, предопределенность энергетического сотрудничества России и Германии зиждется на двух факторах:</w:t>
      </w:r>
    </w:p>
    <w:p w14:paraId="39CB2407" w14:textId="2118DC1C" w:rsidR="004A4EBC" w:rsidRDefault="004A4EBC" w:rsidP="004A4EBC">
      <w:pPr>
        <w:pStyle w:val="a7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С точки зрения собственных газовых запасов, Германия занимает 53-е место и удовлетворяет свои потребности лишь на 12%, а её подтвержденные запасы </w:t>
      </w:r>
      <w:r>
        <w:rPr>
          <w:szCs w:val="24"/>
        </w:rPr>
        <w:lastRenderedPageBreak/>
        <w:t xml:space="preserve">снизились с </w:t>
      </w:r>
      <w:r w:rsidRPr="004A4EBC">
        <w:rPr>
          <w:szCs w:val="24"/>
        </w:rPr>
        <w:t>340</w:t>
      </w:r>
      <w:r>
        <w:rPr>
          <w:szCs w:val="24"/>
        </w:rPr>
        <w:t xml:space="preserve"> млрд. м</w:t>
      </w:r>
      <w:r w:rsidRPr="004A4EBC">
        <w:rPr>
          <w:szCs w:val="24"/>
          <w:vertAlign w:val="superscript"/>
        </w:rPr>
        <w:t>3</w:t>
      </w:r>
      <w:r>
        <w:rPr>
          <w:szCs w:val="24"/>
        </w:rPr>
        <w:t xml:space="preserve"> в 1991 году до 34 млрд. м</w:t>
      </w:r>
      <w:r w:rsidRPr="004A4EBC">
        <w:rPr>
          <w:szCs w:val="24"/>
          <w:vertAlign w:val="superscript"/>
        </w:rPr>
        <w:t>3</w:t>
      </w:r>
      <w:r>
        <w:rPr>
          <w:szCs w:val="24"/>
        </w:rPr>
        <w:t xml:space="preserve"> в 2019 году</w:t>
      </w:r>
      <w:r w:rsidR="008C2F6E">
        <w:rPr>
          <w:rStyle w:val="af5"/>
          <w:szCs w:val="24"/>
        </w:rPr>
        <w:footnoteReference w:id="79"/>
      </w:r>
      <w:r>
        <w:rPr>
          <w:szCs w:val="24"/>
        </w:rPr>
        <w:t>. В связи с этим</w:t>
      </w:r>
      <w:r w:rsidR="00210837">
        <w:rPr>
          <w:szCs w:val="24"/>
        </w:rPr>
        <w:t xml:space="preserve">, нехватка собственных запасов вынуждает компенсировать их за счет импорта.  </w:t>
      </w:r>
    </w:p>
    <w:p w14:paraId="3276962C" w14:textId="3A17DF16" w:rsidR="00210837" w:rsidRDefault="00F5627C" w:rsidP="004A4EBC">
      <w:pPr>
        <w:pStyle w:val="a7"/>
        <w:numPr>
          <w:ilvl w:val="0"/>
          <w:numId w:val="12"/>
        </w:numPr>
        <w:rPr>
          <w:szCs w:val="24"/>
        </w:rPr>
      </w:pPr>
      <w:r>
        <w:rPr>
          <w:szCs w:val="24"/>
        </w:rPr>
        <w:t>Р</w:t>
      </w:r>
      <w:r w:rsidR="00210837">
        <w:rPr>
          <w:szCs w:val="24"/>
        </w:rPr>
        <w:t>оссийский трубопроводный газ в Европу имеет самую низкую себестоимость среди региональных конкурентов, а географическая близость двух стран создает все условия для реализации экспортного потенциала.</w:t>
      </w:r>
    </w:p>
    <w:p w14:paraId="323C576C" w14:textId="54C6F4CD" w:rsidR="007F22E3" w:rsidRDefault="00F5627C" w:rsidP="00F5627C">
      <w:pPr>
        <w:ind w:firstLine="360"/>
        <w:rPr>
          <w:szCs w:val="24"/>
        </w:rPr>
      </w:pPr>
      <w:r>
        <w:rPr>
          <w:szCs w:val="24"/>
        </w:rPr>
        <w:t>Вместе эти два фактора способствовали становлению колоссального по своим объемам и масштабам энергетического сотрудничества. Для реализации всевозрастающих потребностей Германии в газе и нефти</w:t>
      </w:r>
      <w:r w:rsidR="007A2EE3">
        <w:rPr>
          <w:szCs w:val="24"/>
        </w:rPr>
        <w:t xml:space="preserve"> более чем полувековое сотрудничество </w:t>
      </w:r>
      <w:r>
        <w:rPr>
          <w:szCs w:val="24"/>
        </w:rPr>
        <w:t xml:space="preserve">была создана целая сеть трубопроводов (безусловно, </w:t>
      </w:r>
      <w:r w:rsidR="007A2EE3">
        <w:rPr>
          <w:szCs w:val="24"/>
        </w:rPr>
        <w:t>Германия</w:t>
      </w:r>
      <w:r>
        <w:rPr>
          <w:szCs w:val="24"/>
        </w:rPr>
        <w:t xml:space="preserve"> не являлась </w:t>
      </w:r>
      <w:r w:rsidR="00814182">
        <w:rPr>
          <w:szCs w:val="24"/>
        </w:rPr>
        <w:t xml:space="preserve">единственным потребителем, но </w:t>
      </w:r>
      <w:r w:rsidR="007A2EE3">
        <w:rPr>
          <w:szCs w:val="24"/>
        </w:rPr>
        <w:t>на нее приходилась большая часть поставок</w:t>
      </w:r>
      <w:r w:rsidR="00814182">
        <w:rPr>
          <w:szCs w:val="24"/>
        </w:rPr>
        <w:t xml:space="preserve">). </w:t>
      </w:r>
    </w:p>
    <w:p w14:paraId="429039D9" w14:textId="022716B7" w:rsidR="00814182" w:rsidRDefault="00814182" w:rsidP="00814182">
      <w:pPr>
        <w:ind w:firstLine="708"/>
        <w:rPr>
          <w:szCs w:val="24"/>
        </w:rPr>
      </w:pPr>
      <w:r>
        <w:rPr>
          <w:szCs w:val="24"/>
        </w:rPr>
        <w:t>Трубопроводы, использующиеся для поставки газа в Германию:</w:t>
      </w:r>
    </w:p>
    <w:p w14:paraId="309F13B1" w14:textId="06B612FE" w:rsidR="00814182" w:rsidRDefault="00814182" w:rsidP="00814182">
      <w:pPr>
        <w:pStyle w:val="a7"/>
        <w:numPr>
          <w:ilvl w:val="0"/>
          <w:numId w:val="14"/>
        </w:numPr>
        <w:rPr>
          <w:szCs w:val="24"/>
        </w:rPr>
      </w:pPr>
      <w:r>
        <w:rPr>
          <w:szCs w:val="24"/>
        </w:rPr>
        <w:t>«Ямал-Европа»: проходит через территорию Белоруссии и Польши, эксплуатируется с 2006-го года, а проектная мощность – 32,9 млрд. м</w:t>
      </w:r>
      <w:r w:rsidRPr="00814182">
        <w:rPr>
          <w:szCs w:val="24"/>
          <w:vertAlign w:val="superscript"/>
        </w:rPr>
        <w:t>3</w:t>
      </w:r>
      <w:r>
        <w:rPr>
          <w:szCs w:val="24"/>
        </w:rPr>
        <w:t xml:space="preserve">; </w:t>
      </w:r>
    </w:p>
    <w:p w14:paraId="120346C9" w14:textId="4195387A" w:rsidR="00814182" w:rsidRDefault="00814182" w:rsidP="00814182">
      <w:pPr>
        <w:pStyle w:val="a7"/>
        <w:numPr>
          <w:ilvl w:val="0"/>
          <w:numId w:val="14"/>
        </w:numPr>
        <w:rPr>
          <w:szCs w:val="24"/>
        </w:rPr>
      </w:pPr>
      <w:r>
        <w:rPr>
          <w:szCs w:val="24"/>
        </w:rPr>
        <w:t>Уренгой-Ужгород: проходит через территорию Украины, был построен 1982-1984 гг., мощность 32 млрд. м</w:t>
      </w:r>
      <w:r w:rsidRPr="00814182">
        <w:rPr>
          <w:szCs w:val="24"/>
          <w:vertAlign w:val="superscript"/>
        </w:rPr>
        <w:t>3</w:t>
      </w:r>
      <w:r>
        <w:rPr>
          <w:szCs w:val="24"/>
        </w:rPr>
        <w:t>;</w:t>
      </w:r>
    </w:p>
    <w:p w14:paraId="14A47751" w14:textId="3A5D5183" w:rsidR="00814182" w:rsidRDefault="00814182" w:rsidP="00814182">
      <w:pPr>
        <w:pStyle w:val="a7"/>
        <w:numPr>
          <w:ilvl w:val="0"/>
          <w:numId w:val="14"/>
        </w:numPr>
        <w:rPr>
          <w:szCs w:val="24"/>
        </w:rPr>
      </w:pPr>
      <w:r>
        <w:rPr>
          <w:szCs w:val="24"/>
        </w:rPr>
        <w:t>Союз: проходит через Украину, построен в 1975-1978 гг., мощность – 26 млрд. м</w:t>
      </w:r>
      <w:r w:rsidRPr="00814182">
        <w:rPr>
          <w:szCs w:val="24"/>
          <w:vertAlign w:val="superscript"/>
        </w:rPr>
        <w:t>3</w:t>
      </w:r>
      <w:r>
        <w:rPr>
          <w:szCs w:val="24"/>
        </w:rPr>
        <w:t>;</w:t>
      </w:r>
    </w:p>
    <w:p w14:paraId="290CDFE4" w14:textId="3E53A331" w:rsidR="00814182" w:rsidRDefault="00814182" w:rsidP="00814182">
      <w:pPr>
        <w:pStyle w:val="a7"/>
        <w:numPr>
          <w:ilvl w:val="0"/>
          <w:numId w:val="14"/>
        </w:numPr>
        <w:rPr>
          <w:szCs w:val="24"/>
        </w:rPr>
      </w:pPr>
      <w:r>
        <w:rPr>
          <w:szCs w:val="24"/>
        </w:rPr>
        <w:t>Северный поток: введен в эксплуатацию в 2011 году, мощность – 55 млрд. м</w:t>
      </w:r>
      <w:r w:rsidRPr="00814182">
        <w:rPr>
          <w:szCs w:val="24"/>
          <w:vertAlign w:val="superscript"/>
        </w:rPr>
        <w:t>3</w:t>
      </w:r>
      <w:r>
        <w:rPr>
          <w:szCs w:val="24"/>
        </w:rPr>
        <w:t>;</w:t>
      </w:r>
    </w:p>
    <w:p w14:paraId="29A86F89" w14:textId="54041198" w:rsidR="00814182" w:rsidRDefault="00814182" w:rsidP="00814182">
      <w:pPr>
        <w:pStyle w:val="a7"/>
        <w:numPr>
          <w:ilvl w:val="0"/>
          <w:numId w:val="14"/>
        </w:numPr>
        <w:rPr>
          <w:szCs w:val="24"/>
        </w:rPr>
      </w:pPr>
      <w:r>
        <w:rPr>
          <w:szCs w:val="24"/>
        </w:rPr>
        <w:t>Северный поток 2: строится, плановая дата ввода в эксплуатацию 2021 год, проектная мощность – 55 млрд. м</w:t>
      </w:r>
      <w:r w:rsidRPr="00814182">
        <w:rPr>
          <w:szCs w:val="24"/>
          <w:vertAlign w:val="superscript"/>
        </w:rPr>
        <w:t>3</w:t>
      </w:r>
      <w:r>
        <w:rPr>
          <w:szCs w:val="24"/>
        </w:rPr>
        <w:t>;</w:t>
      </w:r>
    </w:p>
    <w:p w14:paraId="63F986FE" w14:textId="2421FBC2" w:rsidR="00814182" w:rsidRDefault="00814182" w:rsidP="00814182">
      <w:pPr>
        <w:ind w:left="708"/>
        <w:rPr>
          <w:szCs w:val="24"/>
        </w:rPr>
      </w:pPr>
      <w:r>
        <w:rPr>
          <w:szCs w:val="24"/>
        </w:rPr>
        <w:t>Трубопроводы, использующиеся для поставки нефти в Германию:</w:t>
      </w:r>
    </w:p>
    <w:p w14:paraId="46C40822" w14:textId="5AC3A7BB" w:rsidR="00814182" w:rsidRDefault="00814182" w:rsidP="00814182">
      <w:pPr>
        <w:pStyle w:val="a7"/>
        <w:numPr>
          <w:ilvl w:val="0"/>
          <w:numId w:val="15"/>
        </w:numPr>
        <w:rPr>
          <w:szCs w:val="24"/>
        </w:rPr>
      </w:pPr>
      <w:r>
        <w:rPr>
          <w:szCs w:val="24"/>
        </w:rPr>
        <w:t>«Дружба»</w:t>
      </w:r>
      <w:r w:rsidR="00CD7612">
        <w:rPr>
          <w:szCs w:val="24"/>
        </w:rPr>
        <w:t xml:space="preserve"> - построенная в 1960-е годы, на сегодняшний день является крупнейшей экспортной сетью магистральных трубопроводов, мощность – 66,5 млн. тонн в год.</w:t>
      </w:r>
    </w:p>
    <w:p w14:paraId="1BB1ACAB" w14:textId="32BCF8C7" w:rsidR="00814182" w:rsidRDefault="00814182" w:rsidP="00814182">
      <w:pPr>
        <w:pStyle w:val="a7"/>
        <w:numPr>
          <w:ilvl w:val="0"/>
          <w:numId w:val="15"/>
        </w:numPr>
        <w:rPr>
          <w:szCs w:val="24"/>
        </w:rPr>
      </w:pPr>
      <w:r>
        <w:rPr>
          <w:szCs w:val="24"/>
        </w:rPr>
        <w:t>Балтийская транспортная система 1</w:t>
      </w:r>
      <w:r w:rsidR="00CD7612">
        <w:rPr>
          <w:szCs w:val="24"/>
        </w:rPr>
        <w:t xml:space="preserve"> – введена в 2006 году, мощность - </w:t>
      </w:r>
      <w:r w:rsidR="00CD7612" w:rsidRPr="00CD7612">
        <w:rPr>
          <w:szCs w:val="24"/>
        </w:rPr>
        <w:t>74 млн тонн</w:t>
      </w:r>
      <w:r w:rsidR="00CD7612">
        <w:rPr>
          <w:szCs w:val="24"/>
        </w:rPr>
        <w:t>;</w:t>
      </w:r>
    </w:p>
    <w:p w14:paraId="18E2471D" w14:textId="3724F4F5" w:rsidR="00A0587E" w:rsidRDefault="00814182" w:rsidP="00A0587E">
      <w:pPr>
        <w:pStyle w:val="a7"/>
        <w:numPr>
          <w:ilvl w:val="0"/>
          <w:numId w:val="15"/>
        </w:numPr>
        <w:rPr>
          <w:szCs w:val="24"/>
        </w:rPr>
      </w:pPr>
      <w:r>
        <w:rPr>
          <w:szCs w:val="24"/>
        </w:rPr>
        <w:t>Балтийская транспортная система 2</w:t>
      </w:r>
      <w:r w:rsidR="00CD7612">
        <w:rPr>
          <w:szCs w:val="24"/>
        </w:rPr>
        <w:t xml:space="preserve"> – введена в 2012 году, мощность – 30 млн. тонн.</w:t>
      </w:r>
    </w:p>
    <w:p w14:paraId="551DD7D8" w14:textId="77777777" w:rsidR="00A96FEF" w:rsidRPr="009C4939" w:rsidRDefault="00C92C86" w:rsidP="00FE2680">
      <w:pPr>
        <w:ind w:firstLine="708"/>
        <w:rPr>
          <w:szCs w:val="24"/>
        </w:rPr>
      </w:pPr>
      <w:r w:rsidRPr="009C4939">
        <w:rPr>
          <w:szCs w:val="24"/>
        </w:rPr>
        <w:t xml:space="preserve">Особая роль в развитии российско-германских энергетических отношений отводится бывшему канцлеру ФРГ – Герхарду </w:t>
      </w:r>
      <w:proofErr w:type="spellStart"/>
      <w:r w:rsidRPr="009C4939">
        <w:rPr>
          <w:szCs w:val="24"/>
        </w:rPr>
        <w:t>Шрёдеру</w:t>
      </w:r>
      <w:proofErr w:type="spellEnd"/>
      <w:r w:rsidRPr="009C4939">
        <w:rPr>
          <w:szCs w:val="24"/>
        </w:rPr>
        <w:t xml:space="preserve">. В бытность канцлером (1998-2005гг.), </w:t>
      </w:r>
      <w:proofErr w:type="spellStart"/>
      <w:r w:rsidRPr="009C4939">
        <w:rPr>
          <w:szCs w:val="24"/>
        </w:rPr>
        <w:t>Шрёдер</w:t>
      </w:r>
      <w:proofErr w:type="spellEnd"/>
      <w:r w:rsidRPr="009C4939">
        <w:rPr>
          <w:szCs w:val="24"/>
        </w:rPr>
        <w:t xml:space="preserve"> проводил активную политику на сближение с Россией, а между ним и Президентом Путиным завязались тесные дружеские отношения. Однозначного ответа о причине подобного хода событий нет</w:t>
      </w:r>
      <w:r w:rsidR="00A6252B" w:rsidRPr="009C4939">
        <w:rPr>
          <w:szCs w:val="24"/>
        </w:rPr>
        <w:t>, однако очевидно, что в</w:t>
      </w:r>
      <w:r w:rsidRPr="009C4939">
        <w:rPr>
          <w:szCs w:val="24"/>
        </w:rPr>
        <w:t>ажную роль в этом сыграл</w:t>
      </w:r>
      <w:r w:rsidR="00A6252B" w:rsidRPr="009C4939">
        <w:rPr>
          <w:szCs w:val="24"/>
        </w:rPr>
        <w:t xml:space="preserve">а и разность взглядов руководства ФРГ и США в отношении иракской политики в 2002 году. </w:t>
      </w:r>
      <w:r w:rsidR="00A6252B" w:rsidRPr="009C4939">
        <w:rPr>
          <w:szCs w:val="24"/>
        </w:rPr>
        <w:lastRenderedPageBreak/>
        <w:t xml:space="preserve">Так или иначе, существовавшие ранее тесные нефтегазовые отношения двух стран получили при Г. </w:t>
      </w:r>
      <w:proofErr w:type="spellStart"/>
      <w:r w:rsidR="00A6252B" w:rsidRPr="009C4939">
        <w:rPr>
          <w:szCs w:val="24"/>
        </w:rPr>
        <w:t>Шрёдере</w:t>
      </w:r>
      <w:proofErr w:type="spellEnd"/>
      <w:r w:rsidR="00A6252B" w:rsidRPr="009C4939">
        <w:rPr>
          <w:szCs w:val="24"/>
        </w:rPr>
        <w:t xml:space="preserve"> новый виток развития, логику которых он подробно осветил в своих мемуарах «Решения. Моя жизнь в политике»</w:t>
      </w:r>
      <w:r w:rsidR="00D6014F" w:rsidRPr="009C4939">
        <w:rPr>
          <w:szCs w:val="24"/>
        </w:rPr>
        <w:t>, вышедших в свет в 2007 году</w:t>
      </w:r>
      <w:r w:rsidR="00D6014F" w:rsidRPr="009C4939">
        <w:rPr>
          <w:rStyle w:val="af5"/>
          <w:szCs w:val="24"/>
        </w:rPr>
        <w:footnoteReference w:id="80"/>
      </w:r>
      <w:r w:rsidR="00D6014F" w:rsidRPr="009C4939">
        <w:rPr>
          <w:szCs w:val="24"/>
        </w:rPr>
        <w:t xml:space="preserve">. Его политика в отношении России на разных этапах получала неоднозначные оценки, однако логика этих решений не имела внутренних противоречий. </w:t>
      </w:r>
    </w:p>
    <w:p w14:paraId="5ED3E3E9" w14:textId="01DB4CCC" w:rsidR="00A96FEF" w:rsidRDefault="00D6014F" w:rsidP="00FE2680">
      <w:pPr>
        <w:ind w:firstLine="708"/>
        <w:rPr>
          <w:szCs w:val="24"/>
        </w:rPr>
      </w:pPr>
      <w:r w:rsidRPr="0025665F">
        <w:rPr>
          <w:szCs w:val="24"/>
        </w:rPr>
        <w:t>Для освещения позиции бывшего канцера необходимо привести несколько его фраз из опубликованных мемуаров: «</w:t>
      </w:r>
      <w:r w:rsidR="00AE3B7B" w:rsidRPr="0025665F">
        <w:rPr>
          <w:szCs w:val="24"/>
        </w:rPr>
        <w:t>…</w:t>
      </w:r>
      <w:r w:rsidRPr="0025665F">
        <w:rPr>
          <w:szCs w:val="24"/>
        </w:rPr>
        <w:t>Тем правильнее поступает Европа, включая Россию в европейскую перспективу и меняя в среднесрочной перспективе стратегическое партнерство на привилегированное. Россия – важнейший поставщик энергоресурсов в Европу и, насколько я знаю из бесед с президентом Путиным, она намерена таковым оставаться»</w:t>
      </w:r>
      <w:r w:rsidRPr="0025665F">
        <w:rPr>
          <w:rStyle w:val="af5"/>
          <w:szCs w:val="24"/>
        </w:rPr>
        <w:footnoteReference w:id="81"/>
      </w:r>
      <w:r w:rsidRPr="0025665F">
        <w:rPr>
          <w:szCs w:val="24"/>
        </w:rPr>
        <w:t xml:space="preserve">. </w:t>
      </w:r>
      <w:r w:rsidR="00AE3B7B" w:rsidRPr="0025665F">
        <w:rPr>
          <w:szCs w:val="24"/>
        </w:rPr>
        <w:t xml:space="preserve">Своё решение возглавить Северо-Европейскую газопроводную компанию в 2005 году (в рамках проекта Северный поток – 1) </w:t>
      </w:r>
      <w:proofErr w:type="spellStart"/>
      <w:r w:rsidR="00AE3B7B" w:rsidRPr="0025665F">
        <w:rPr>
          <w:szCs w:val="24"/>
        </w:rPr>
        <w:t>Шрёдер</w:t>
      </w:r>
      <w:proofErr w:type="spellEnd"/>
      <w:r w:rsidR="00AE3B7B" w:rsidRPr="0025665F">
        <w:rPr>
          <w:szCs w:val="24"/>
        </w:rPr>
        <w:t xml:space="preserve"> описывает следующим образом: «Поддерживая проект строительства трубопровода по дну Балтийского моря, я действовал исключительно в интересах нашей страны и Европы. Именно поэтому, будучи канцлером, я стал сторонником этого проекта. Невозможно утолить энергетический голод в Европе, не привлекая богатейших сырьевых запасов России»</w:t>
      </w:r>
      <w:r w:rsidR="00AE3B7B" w:rsidRPr="0025665F">
        <w:rPr>
          <w:rStyle w:val="af5"/>
          <w:szCs w:val="24"/>
        </w:rPr>
        <w:footnoteReference w:id="82"/>
      </w:r>
      <w:r w:rsidR="00AE3B7B" w:rsidRPr="0025665F">
        <w:rPr>
          <w:szCs w:val="24"/>
        </w:rPr>
        <w:t xml:space="preserve">. </w:t>
      </w:r>
      <w:r w:rsidR="00FE2680" w:rsidRPr="0025665F">
        <w:rPr>
          <w:szCs w:val="24"/>
        </w:rPr>
        <w:t>Не менее закономерным является тот факт, что А. Меркель, критиковавшая в ходе предвыборной кампании 2003-2004 гг. тесные личные связи российского и германского руководства и требовавшая диверсификации поставок энергоресурсов, со временем стала действовать в точности в русле политики своего предшественника, хоть и без столь близких дружеских отношений, и даже более – реализовывать новые энергетические проекты</w:t>
      </w:r>
      <w:r w:rsidR="00FE2680" w:rsidRPr="0025665F">
        <w:rPr>
          <w:rStyle w:val="af5"/>
          <w:szCs w:val="24"/>
        </w:rPr>
        <w:footnoteReference w:id="83"/>
      </w:r>
      <w:r w:rsidR="00FE2680" w:rsidRPr="0025665F">
        <w:rPr>
          <w:szCs w:val="24"/>
        </w:rPr>
        <w:t>. Все это подтверждает гипотезу о преобладании прагматизма в двухсторонних отношениях над политической конъюнктурой.</w:t>
      </w:r>
      <w:r w:rsidR="00B04729">
        <w:rPr>
          <w:szCs w:val="24"/>
        </w:rPr>
        <w:t xml:space="preserve"> </w:t>
      </w:r>
    </w:p>
    <w:p w14:paraId="244FA80E" w14:textId="742F209E" w:rsidR="00D6014F" w:rsidRPr="0025665F" w:rsidRDefault="00A96FEF" w:rsidP="00FE2680">
      <w:pPr>
        <w:ind w:firstLine="708"/>
        <w:rPr>
          <w:szCs w:val="24"/>
        </w:rPr>
      </w:pPr>
      <w:r w:rsidRPr="0025665F">
        <w:rPr>
          <w:szCs w:val="24"/>
        </w:rPr>
        <w:t xml:space="preserve">Несмотря на официальный уход из политики, Г. </w:t>
      </w:r>
      <w:proofErr w:type="spellStart"/>
      <w:r w:rsidRPr="0025665F">
        <w:rPr>
          <w:szCs w:val="24"/>
        </w:rPr>
        <w:t>Шрёдер</w:t>
      </w:r>
      <w:proofErr w:type="spellEnd"/>
      <w:r w:rsidRPr="0025665F">
        <w:rPr>
          <w:szCs w:val="24"/>
        </w:rPr>
        <w:t xml:space="preserve"> по настоящее время имеет большое влияние на бывших однопартийцев из Социально-демократической партии Германии, которая в 2017 года вошла в коалицию с союзом ХДС/ХСС и имеет 152 места в Бундестаге. С учетом этого, а также занимаемой </w:t>
      </w:r>
      <w:proofErr w:type="spellStart"/>
      <w:r w:rsidRPr="0025665F">
        <w:rPr>
          <w:szCs w:val="24"/>
        </w:rPr>
        <w:t>Шрёдером</w:t>
      </w:r>
      <w:proofErr w:type="spellEnd"/>
      <w:r w:rsidRPr="0025665F">
        <w:rPr>
          <w:szCs w:val="24"/>
        </w:rPr>
        <w:t xml:space="preserve"> должности – Председателя Совета директоров ПАО «НК «Роснефть», независимого директора с августа 2017 года, в Германии возникают справедливые подозрения о лоббистских функциях бывшего канцлера в отношении российских интересов в Германии. С другой стороны, подобная </w:t>
      </w:r>
      <w:r w:rsidRPr="0025665F">
        <w:rPr>
          <w:szCs w:val="24"/>
        </w:rPr>
        <w:lastRenderedPageBreak/>
        <w:t>интерпретация носит ярко выраженный политический оттенок и противоречит изложенным в мемуарах мыслях</w:t>
      </w:r>
      <w:r w:rsidR="009455A3" w:rsidRPr="0025665F">
        <w:rPr>
          <w:szCs w:val="24"/>
        </w:rPr>
        <w:t xml:space="preserve"> бывшего канцлера, который, вполне вероятно, искренне верит в необходимость выстраивая отношений с Россией.</w:t>
      </w:r>
      <w:r w:rsidRPr="0025665F">
        <w:rPr>
          <w:szCs w:val="24"/>
        </w:rPr>
        <w:t xml:space="preserve"> </w:t>
      </w:r>
    </w:p>
    <w:p w14:paraId="12A7066E" w14:textId="77777777" w:rsidR="0050524E" w:rsidRPr="0025665F" w:rsidRDefault="005B50F8" w:rsidP="00373900">
      <w:pPr>
        <w:ind w:firstLine="708"/>
        <w:rPr>
          <w:szCs w:val="24"/>
        </w:rPr>
      </w:pPr>
      <w:r w:rsidRPr="0025665F">
        <w:rPr>
          <w:szCs w:val="24"/>
        </w:rPr>
        <w:t>Еще одной гранью в реализации совместных российско-германских газовых проектов является распределительная роль ФРГ – иначе посредника в поставках российского газа на рынок Европы. В связи с этим, волнения и недовольство среди государств Восточной Европы (Украины, Польши, Венгрии, Словакии) в отношении реализации проекта «Северный поток – 2» не вызывает удивления</w:t>
      </w:r>
      <w:r w:rsidR="00CB7FEB" w:rsidRPr="0025665F">
        <w:rPr>
          <w:rStyle w:val="af5"/>
          <w:szCs w:val="24"/>
        </w:rPr>
        <w:footnoteReference w:id="84"/>
      </w:r>
      <w:r w:rsidRPr="0025665F">
        <w:rPr>
          <w:szCs w:val="24"/>
        </w:rPr>
        <w:t xml:space="preserve">. </w:t>
      </w:r>
      <w:r w:rsidR="00126EE4" w:rsidRPr="0025665F">
        <w:rPr>
          <w:szCs w:val="24"/>
        </w:rPr>
        <w:t>Фактически, реализация этого проекта будет способствовать превращению Германии в главный европейский газовый хаб: существующие на сегодняшний день в Германии две газовых биржи объединятся к 2021 году, тем самым создав единый газовый рынок страны. Дальнейшие амбиции единого германского хаба – его утверждение в качестве основного в Европе, на что указывают сообщения сайта единого немецкого рынка газа «Благодаря своему расположению в середине Северо-Западной Европы, единый газовый рынок Германии может стать центральной точкой для дальнейшей интеграции европейских газовых рынков»</w:t>
      </w:r>
      <w:r w:rsidR="00126EE4" w:rsidRPr="0025665F">
        <w:rPr>
          <w:rStyle w:val="af5"/>
          <w:szCs w:val="24"/>
        </w:rPr>
        <w:footnoteReference w:id="85"/>
      </w:r>
      <w:r w:rsidR="00126EE4" w:rsidRPr="0025665F">
        <w:rPr>
          <w:szCs w:val="24"/>
        </w:rPr>
        <w:t xml:space="preserve">. Безусловно, наиболее развитыми европейскими </w:t>
      </w:r>
      <w:proofErr w:type="spellStart"/>
      <w:r w:rsidR="00126EE4" w:rsidRPr="0025665F">
        <w:rPr>
          <w:szCs w:val="24"/>
        </w:rPr>
        <w:t>хабами</w:t>
      </w:r>
      <w:proofErr w:type="spellEnd"/>
      <w:r w:rsidR="00126EE4" w:rsidRPr="0025665F">
        <w:rPr>
          <w:szCs w:val="24"/>
        </w:rPr>
        <w:t xml:space="preserve"> сегодня являются </w:t>
      </w:r>
      <w:r w:rsidR="00126EE4" w:rsidRPr="0025665F">
        <w:rPr>
          <w:szCs w:val="24"/>
          <w:lang w:val="en-US"/>
        </w:rPr>
        <w:t>TTF</w:t>
      </w:r>
      <w:r w:rsidR="00126EE4" w:rsidRPr="0025665F">
        <w:rPr>
          <w:szCs w:val="24"/>
        </w:rPr>
        <w:t xml:space="preserve"> (Нидерланды) и </w:t>
      </w:r>
      <w:r w:rsidR="00126EE4" w:rsidRPr="0025665F">
        <w:rPr>
          <w:szCs w:val="24"/>
          <w:lang w:val="en-US"/>
        </w:rPr>
        <w:t>NBP</w:t>
      </w:r>
      <w:r w:rsidR="00126EE4" w:rsidRPr="0025665F">
        <w:rPr>
          <w:szCs w:val="24"/>
        </w:rPr>
        <w:t xml:space="preserve"> (Великобритания). Они «выигрывают» у немецких </w:t>
      </w:r>
      <w:proofErr w:type="spellStart"/>
      <w:r w:rsidR="00126EE4" w:rsidRPr="0025665F">
        <w:rPr>
          <w:szCs w:val="24"/>
        </w:rPr>
        <w:t>хабов</w:t>
      </w:r>
      <w:proofErr w:type="spellEnd"/>
      <w:r w:rsidR="00126EE4" w:rsidRPr="0025665F">
        <w:rPr>
          <w:szCs w:val="24"/>
        </w:rPr>
        <w:t xml:space="preserve"> </w:t>
      </w:r>
      <w:r w:rsidR="00126EE4" w:rsidRPr="0025665F">
        <w:rPr>
          <w:szCs w:val="24"/>
          <w:lang w:val="de-DE"/>
        </w:rPr>
        <w:t xml:space="preserve">NCG </w:t>
      </w:r>
      <w:r w:rsidR="00126EE4" w:rsidRPr="0025665F">
        <w:rPr>
          <w:szCs w:val="24"/>
        </w:rPr>
        <w:t xml:space="preserve">и </w:t>
      </w:r>
      <w:r w:rsidR="00126EE4" w:rsidRPr="0025665F">
        <w:rPr>
          <w:szCs w:val="24"/>
          <w:lang w:val="en-US"/>
        </w:rPr>
        <w:t>GPL</w:t>
      </w:r>
      <w:r w:rsidR="00126EE4" w:rsidRPr="0025665F">
        <w:rPr>
          <w:szCs w:val="24"/>
        </w:rPr>
        <w:t xml:space="preserve"> по количеству участников, </w:t>
      </w:r>
      <w:r w:rsidR="00373900" w:rsidRPr="0025665F">
        <w:rPr>
          <w:szCs w:val="24"/>
        </w:rPr>
        <w:t>торгуемым</w:t>
      </w:r>
      <w:r w:rsidR="00126EE4" w:rsidRPr="0025665F">
        <w:rPr>
          <w:szCs w:val="24"/>
        </w:rPr>
        <w:t xml:space="preserve"> продуктам</w:t>
      </w:r>
      <w:r w:rsidR="00373900" w:rsidRPr="0025665F">
        <w:rPr>
          <w:szCs w:val="24"/>
        </w:rPr>
        <w:t xml:space="preserve"> и </w:t>
      </w:r>
      <w:r w:rsidR="00126EE4" w:rsidRPr="0025665F">
        <w:rPr>
          <w:szCs w:val="24"/>
        </w:rPr>
        <w:t xml:space="preserve">объемам торговли, </w:t>
      </w:r>
      <w:r w:rsidR="00373900" w:rsidRPr="0025665F">
        <w:rPr>
          <w:szCs w:val="24"/>
        </w:rPr>
        <w:t>однако реализация СП-2 привлечет в Германию дополнительные финансовые операции и физические поставки, тем самым повысив её конкурентоспособность в долгосрочной перспективе</w:t>
      </w:r>
      <w:r w:rsidR="00373900" w:rsidRPr="0025665F">
        <w:rPr>
          <w:rStyle w:val="af5"/>
          <w:szCs w:val="24"/>
        </w:rPr>
        <w:footnoteReference w:id="86"/>
      </w:r>
      <w:r w:rsidR="00373900" w:rsidRPr="0025665F">
        <w:rPr>
          <w:szCs w:val="24"/>
        </w:rPr>
        <w:t xml:space="preserve">. </w:t>
      </w:r>
    </w:p>
    <w:p w14:paraId="6A561D7C" w14:textId="1281D6EF" w:rsidR="00126EE4" w:rsidRPr="00126EE4" w:rsidRDefault="00373900" w:rsidP="00373900">
      <w:pPr>
        <w:ind w:firstLine="708"/>
        <w:rPr>
          <w:szCs w:val="24"/>
        </w:rPr>
      </w:pPr>
      <w:r w:rsidRPr="0025665F">
        <w:rPr>
          <w:szCs w:val="24"/>
        </w:rPr>
        <w:t xml:space="preserve">Таким образом, совместная реализация российско-германских энергетических проектов носит не только экономический </w:t>
      </w:r>
      <w:r w:rsidR="0050524E" w:rsidRPr="0025665F">
        <w:rPr>
          <w:szCs w:val="24"/>
        </w:rPr>
        <w:t>характер</w:t>
      </w:r>
      <w:r w:rsidRPr="0025665F">
        <w:rPr>
          <w:szCs w:val="24"/>
        </w:rPr>
        <w:t>, но и политический</w:t>
      </w:r>
      <w:r w:rsidR="0050524E" w:rsidRPr="0025665F">
        <w:rPr>
          <w:szCs w:val="24"/>
        </w:rPr>
        <w:t xml:space="preserve">. </w:t>
      </w:r>
      <w:r w:rsidRPr="0025665F">
        <w:rPr>
          <w:szCs w:val="24"/>
        </w:rPr>
        <w:t>Россия использует данные проекты для расширения рынков сбыта и усиления своего влияния в Европе</w:t>
      </w:r>
      <w:r w:rsidR="0050524E" w:rsidRPr="0025665F">
        <w:rPr>
          <w:szCs w:val="24"/>
        </w:rPr>
        <w:t>. Г</w:t>
      </w:r>
      <w:r w:rsidRPr="0025665F">
        <w:rPr>
          <w:szCs w:val="24"/>
        </w:rPr>
        <w:t xml:space="preserve">ермания </w:t>
      </w:r>
      <w:r w:rsidR="0050524E" w:rsidRPr="0025665F">
        <w:rPr>
          <w:szCs w:val="24"/>
        </w:rPr>
        <w:t xml:space="preserve">в свою очередь </w:t>
      </w:r>
      <w:r w:rsidRPr="0025665F">
        <w:rPr>
          <w:szCs w:val="24"/>
        </w:rPr>
        <w:t xml:space="preserve">не только </w:t>
      </w:r>
      <w:r w:rsidR="0050524E" w:rsidRPr="0025665F">
        <w:rPr>
          <w:szCs w:val="24"/>
        </w:rPr>
        <w:t>закрывает с их помощью</w:t>
      </w:r>
      <w:r w:rsidRPr="0025665F">
        <w:rPr>
          <w:szCs w:val="24"/>
        </w:rPr>
        <w:t xml:space="preserve"> </w:t>
      </w:r>
      <w:r w:rsidR="0050524E" w:rsidRPr="0025665F">
        <w:rPr>
          <w:szCs w:val="24"/>
        </w:rPr>
        <w:t xml:space="preserve">вопрос </w:t>
      </w:r>
      <w:r w:rsidRPr="0025665F">
        <w:rPr>
          <w:szCs w:val="24"/>
        </w:rPr>
        <w:t>энергетическ</w:t>
      </w:r>
      <w:r w:rsidR="0050524E" w:rsidRPr="0025665F">
        <w:rPr>
          <w:szCs w:val="24"/>
        </w:rPr>
        <w:t>ой</w:t>
      </w:r>
      <w:r w:rsidRPr="0025665F">
        <w:rPr>
          <w:szCs w:val="24"/>
        </w:rPr>
        <w:t xml:space="preserve"> безопасност</w:t>
      </w:r>
      <w:r w:rsidR="0050524E" w:rsidRPr="0025665F">
        <w:rPr>
          <w:szCs w:val="24"/>
        </w:rPr>
        <w:t>и</w:t>
      </w:r>
      <w:r w:rsidRPr="0025665F">
        <w:rPr>
          <w:szCs w:val="24"/>
        </w:rPr>
        <w:t>, но и использует</w:t>
      </w:r>
      <w:r w:rsidR="0050524E" w:rsidRPr="0025665F">
        <w:rPr>
          <w:szCs w:val="24"/>
        </w:rPr>
        <w:t xml:space="preserve"> их</w:t>
      </w:r>
      <w:r w:rsidRPr="0025665F">
        <w:rPr>
          <w:szCs w:val="24"/>
        </w:rPr>
        <w:t xml:space="preserve"> </w:t>
      </w:r>
      <w:r w:rsidR="0050524E" w:rsidRPr="0025665F">
        <w:rPr>
          <w:szCs w:val="24"/>
        </w:rPr>
        <w:t>наряду</w:t>
      </w:r>
      <w:r w:rsidRPr="0025665F">
        <w:rPr>
          <w:szCs w:val="24"/>
        </w:rPr>
        <w:t xml:space="preserve"> с</w:t>
      </w:r>
      <w:r w:rsidR="0050524E" w:rsidRPr="0025665F">
        <w:rPr>
          <w:szCs w:val="24"/>
        </w:rPr>
        <w:t xml:space="preserve"> </w:t>
      </w:r>
      <w:r w:rsidRPr="0025665F">
        <w:rPr>
          <w:szCs w:val="24"/>
        </w:rPr>
        <w:t>геополитическими преимуществами для закрепления своей роли</w:t>
      </w:r>
      <w:r w:rsidR="0050524E" w:rsidRPr="0025665F">
        <w:rPr>
          <w:szCs w:val="24"/>
        </w:rPr>
        <w:t xml:space="preserve"> в качестве главного распределителя газа на европейском континенте.</w:t>
      </w:r>
    </w:p>
    <w:p w14:paraId="1FD6325F" w14:textId="3358A246" w:rsidR="00A0587E" w:rsidRDefault="00FE2680" w:rsidP="00126EE4">
      <w:pPr>
        <w:ind w:firstLine="708"/>
        <w:rPr>
          <w:szCs w:val="24"/>
        </w:rPr>
      </w:pPr>
      <w:r>
        <w:rPr>
          <w:szCs w:val="24"/>
        </w:rPr>
        <w:lastRenderedPageBreak/>
        <w:t xml:space="preserve">Статистическое подтверждение </w:t>
      </w:r>
      <w:r w:rsidR="009455A3">
        <w:rPr>
          <w:szCs w:val="24"/>
        </w:rPr>
        <w:t>укрепления российско-германского энергетического сотрудничества</w:t>
      </w:r>
      <w:r>
        <w:rPr>
          <w:szCs w:val="24"/>
        </w:rPr>
        <w:t xml:space="preserve"> отражается в </w:t>
      </w:r>
      <w:r w:rsidR="00A0587E">
        <w:rPr>
          <w:szCs w:val="24"/>
        </w:rPr>
        <w:t>годовых отчетах группы компаний Газпром</w:t>
      </w:r>
      <w:r>
        <w:rPr>
          <w:szCs w:val="24"/>
        </w:rPr>
        <w:t xml:space="preserve">: </w:t>
      </w:r>
      <w:r w:rsidR="00A0587E">
        <w:rPr>
          <w:szCs w:val="24"/>
        </w:rPr>
        <w:t>объем поставок газа из России в страны дальнего зарубежья вырос за период 2002-2018 гг. фактически в 2 раза: со 128,6 млрд. м</w:t>
      </w:r>
      <w:r w:rsidR="00A0587E" w:rsidRPr="00A0587E">
        <w:rPr>
          <w:szCs w:val="24"/>
          <w:vertAlign w:val="superscript"/>
        </w:rPr>
        <w:t>3</w:t>
      </w:r>
      <w:r w:rsidR="00A0587E">
        <w:rPr>
          <w:szCs w:val="24"/>
        </w:rPr>
        <w:t xml:space="preserve"> до 243,3 млрд. м</w:t>
      </w:r>
      <w:r w:rsidR="00A0587E" w:rsidRPr="00A0587E">
        <w:rPr>
          <w:szCs w:val="24"/>
          <w:vertAlign w:val="superscript"/>
        </w:rPr>
        <w:t>3</w:t>
      </w:r>
      <w:r w:rsidR="00A0587E">
        <w:rPr>
          <w:szCs w:val="24"/>
        </w:rPr>
        <w:t>. Аналогичное удвоение поставок наблюдалось и в отношении Германии – с 31,5 до 65,7 млрд. м</w:t>
      </w:r>
      <w:r w:rsidR="00A0587E" w:rsidRPr="00A0587E">
        <w:rPr>
          <w:szCs w:val="24"/>
          <w:vertAlign w:val="superscript"/>
        </w:rPr>
        <w:t>3</w:t>
      </w:r>
      <w:r w:rsidR="008C2F6E">
        <w:rPr>
          <w:szCs w:val="24"/>
          <w:vertAlign w:val="superscript"/>
        </w:rPr>
        <w:t xml:space="preserve"> </w:t>
      </w:r>
      <w:r w:rsidR="008C2F6E">
        <w:rPr>
          <w:rStyle w:val="af5"/>
          <w:szCs w:val="24"/>
        </w:rPr>
        <w:footnoteReference w:id="87"/>
      </w:r>
      <w:r w:rsidR="00A0587E">
        <w:rPr>
          <w:szCs w:val="24"/>
        </w:rPr>
        <w:t>. При этом, среднее значение доли Германии в общем объеме поставок газа в Европу за указанный период находилось на уровне 24%</w:t>
      </w:r>
      <w:r w:rsidR="00E65FFD">
        <w:rPr>
          <w:szCs w:val="24"/>
        </w:rPr>
        <w:t>, при этом достигнув пиковых значений в 2017 году – 27,7%</w:t>
      </w:r>
      <w:r w:rsidR="00C40458">
        <w:rPr>
          <w:rStyle w:val="af5"/>
          <w:szCs w:val="24"/>
        </w:rPr>
        <w:footnoteReference w:id="88"/>
      </w:r>
      <w:r w:rsidR="00E65FFD">
        <w:rPr>
          <w:szCs w:val="24"/>
        </w:rPr>
        <w:t xml:space="preserve">. </w:t>
      </w:r>
    </w:p>
    <w:p w14:paraId="1631F333" w14:textId="0A2A2BE7" w:rsidR="00100B69" w:rsidRDefault="00E65FFD" w:rsidP="005B50F8">
      <w:pPr>
        <w:ind w:firstLine="708"/>
        <w:rPr>
          <w:szCs w:val="24"/>
        </w:rPr>
      </w:pPr>
      <w:r>
        <w:rPr>
          <w:szCs w:val="24"/>
        </w:rPr>
        <w:t>Также, согласно данным отчетам, доля группы компаний Газпром в общем объеме реализованного в Европе природного газа выросла в период 2012-2018 гг. с 25,8% до 36,8%</w:t>
      </w:r>
      <w:r w:rsidR="00C40458">
        <w:rPr>
          <w:rStyle w:val="af5"/>
          <w:szCs w:val="24"/>
        </w:rPr>
        <w:footnoteReference w:id="89"/>
      </w:r>
      <w:r>
        <w:rPr>
          <w:szCs w:val="24"/>
        </w:rPr>
        <w:t>. Безусловно, столь стремительный рост зависимости Европы от одного поставщика</w:t>
      </w:r>
      <w:r w:rsidR="00100B69">
        <w:rPr>
          <w:szCs w:val="24"/>
        </w:rPr>
        <w:t>, и, к тому же</w:t>
      </w:r>
      <w:r>
        <w:rPr>
          <w:szCs w:val="24"/>
        </w:rPr>
        <w:t xml:space="preserve">, </w:t>
      </w:r>
      <w:r w:rsidR="00100B69">
        <w:rPr>
          <w:szCs w:val="24"/>
        </w:rPr>
        <w:t xml:space="preserve">сформировавшийся среди европейских стран после </w:t>
      </w:r>
      <w:r>
        <w:rPr>
          <w:szCs w:val="24"/>
        </w:rPr>
        <w:t>событий 2014 года консенсус в отношении России как «страны агрессора»</w:t>
      </w:r>
      <w:r w:rsidR="00100B69">
        <w:rPr>
          <w:szCs w:val="24"/>
        </w:rPr>
        <w:t xml:space="preserve">, не могли не вызвать политической турбулентности. Тем не менее, растущие объемы поставок газа показывают, что прагматичные газовые отношения Европы (Германии в первую очередь) с Россией оставались вне политического дискурса. </w:t>
      </w:r>
    </w:p>
    <w:p w14:paraId="3DC374EE" w14:textId="7339E1C9" w:rsidR="00BA00BA" w:rsidRDefault="00BA00BA" w:rsidP="005B50F8">
      <w:pPr>
        <w:ind w:firstLine="708"/>
        <w:rPr>
          <w:szCs w:val="24"/>
        </w:rPr>
      </w:pPr>
      <w:r>
        <w:rPr>
          <w:szCs w:val="24"/>
        </w:rPr>
        <w:t>Последнее утверждение оставалось верным вплоть до момента реализации новейшего проекта Северный поток – 2. Несмотря на то, что сразу после начала украинского кризиса в 2014 году, канцлер Германии Ангела Меркель заявила о необходимости диверсификации источников природного газа</w:t>
      </w:r>
      <w:r w:rsidR="00C40458">
        <w:rPr>
          <w:szCs w:val="24"/>
        </w:rPr>
        <w:t xml:space="preserve"> </w:t>
      </w:r>
      <w:r w:rsidR="00C40458">
        <w:rPr>
          <w:rStyle w:val="af5"/>
          <w:szCs w:val="24"/>
        </w:rPr>
        <w:footnoteReference w:id="90"/>
      </w:r>
      <w:r>
        <w:rPr>
          <w:szCs w:val="24"/>
        </w:rPr>
        <w:t xml:space="preserve">. Однако уже в 2015 году между Россией и Германией было подписано соглашение о расширении поставок газа по проекту Северный поток – 2. История самого проекта началась еще в 2012 году, когда акционеры трубопровода «Северный поток» приняли решение о целесообразности строительства третьей и четвертой ниток газопровода, которые получили название Северный поток – 2. А уже в 2017 году 5 европейских компаний подписали с </w:t>
      </w:r>
      <w:r>
        <w:rPr>
          <w:szCs w:val="24"/>
          <w:lang w:val="de-DE"/>
        </w:rPr>
        <w:t>Nord</w:t>
      </w:r>
      <w:r w:rsidRPr="00FE666B">
        <w:rPr>
          <w:szCs w:val="24"/>
        </w:rPr>
        <w:t xml:space="preserve"> </w:t>
      </w:r>
      <w:r>
        <w:rPr>
          <w:szCs w:val="24"/>
          <w:lang w:val="de-DE"/>
        </w:rPr>
        <w:t>Stream</w:t>
      </w:r>
      <w:r w:rsidRPr="00FE666B">
        <w:rPr>
          <w:szCs w:val="24"/>
        </w:rPr>
        <w:t xml:space="preserve"> 2 </w:t>
      </w:r>
      <w:r>
        <w:rPr>
          <w:szCs w:val="24"/>
          <w:lang w:val="de-DE"/>
        </w:rPr>
        <w:t>AG</w:t>
      </w:r>
      <w:r>
        <w:rPr>
          <w:szCs w:val="24"/>
        </w:rPr>
        <w:t xml:space="preserve"> (единственным владельцем проектной компании является «Газпром»)</w:t>
      </w:r>
      <w:r w:rsidRPr="00FE666B">
        <w:rPr>
          <w:szCs w:val="24"/>
        </w:rPr>
        <w:t xml:space="preserve"> </w:t>
      </w:r>
      <w:r>
        <w:rPr>
          <w:szCs w:val="24"/>
        </w:rPr>
        <w:t>соглашение, в соответствии с которым они обязались предоставить долгосрочное финансирование проекта в размере 50% от его стоимости (</w:t>
      </w:r>
      <w:r w:rsidRPr="00FE666B">
        <w:rPr>
          <w:szCs w:val="24"/>
        </w:rPr>
        <w:t xml:space="preserve">9,5 </w:t>
      </w:r>
      <w:r>
        <w:rPr>
          <w:szCs w:val="24"/>
        </w:rPr>
        <w:t>млрд. евро)</w:t>
      </w:r>
      <w:r w:rsidRPr="00FE666B">
        <w:rPr>
          <w:szCs w:val="24"/>
        </w:rPr>
        <w:t xml:space="preserve"> </w:t>
      </w:r>
      <w:r w:rsidR="00C40458">
        <w:rPr>
          <w:rStyle w:val="af5"/>
          <w:szCs w:val="24"/>
        </w:rPr>
        <w:footnoteReference w:id="91"/>
      </w:r>
      <w:r>
        <w:rPr>
          <w:szCs w:val="24"/>
        </w:rPr>
        <w:t xml:space="preserve">. </w:t>
      </w:r>
    </w:p>
    <w:p w14:paraId="6F418A44" w14:textId="4FE0DC51" w:rsidR="00BA00BA" w:rsidRDefault="00BA00BA" w:rsidP="005B50F8">
      <w:pPr>
        <w:ind w:firstLine="708"/>
        <w:rPr>
          <w:szCs w:val="24"/>
        </w:rPr>
      </w:pPr>
      <w:r>
        <w:rPr>
          <w:szCs w:val="24"/>
        </w:rPr>
        <w:lastRenderedPageBreak/>
        <w:t xml:space="preserve">Проблемы с реализацией данного проекта начались не только в момент начала работ, но и гораздо раньше. Эти проблемы можно условно разделить на две группы: политическая конъюнктура и особенности его </w:t>
      </w:r>
      <w:r w:rsidR="00D470FD">
        <w:rPr>
          <w:szCs w:val="24"/>
        </w:rPr>
        <w:t>технической</w:t>
      </w:r>
      <w:r>
        <w:rPr>
          <w:szCs w:val="24"/>
        </w:rPr>
        <w:t xml:space="preserve"> реализации. </w:t>
      </w:r>
    </w:p>
    <w:p w14:paraId="16A97905" w14:textId="60DD015F" w:rsidR="00BA00BA" w:rsidRDefault="00BA00BA" w:rsidP="005B50F8">
      <w:pPr>
        <w:ind w:firstLine="708"/>
        <w:rPr>
          <w:szCs w:val="24"/>
        </w:rPr>
      </w:pPr>
      <w:r>
        <w:rPr>
          <w:szCs w:val="24"/>
        </w:rPr>
        <w:t>Политический аспект не является однородным и находится на стыке интересов ряда государств. Согласно заявлениям канцлера ФРГ А. Меркель и президента РФ В. Путина, данный проект реализуется из сугубо экономических целей</w:t>
      </w:r>
      <w:r w:rsidR="00C40458">
        <w:rPr>
          <w:rStyle w:val="af5"/>
          <w:szCs w:val="24"/>
        </w:rPr>
        <w:footnoteReference w:id="92"/>
      </w:r>
      <w:r>
        <w:rPr>
          <w:szCs w:val="24"/>
        </w:rPr>
        <w:t>. Однако, ввиду продолжающего конфликта в Украине, её руководство интерпретировало реализацию СП-2 как</w:t>
      </w:r>
      <w:r w:rsidR="004E78C6">
        <w:rPr>
          <w:szCs w:val="24"/>
        </w:rPr>
        <w:t xml:space="preserve"> чисто геополитический проект, который направлен на подрыв европейского единства и европейских ценностей</w:t>
      </w:r>
      <w:r w:rsidR="00C40458">
        <w:rPr>
          <w:rStyle w:val="af5"/>
          <w:szCs w:val="24"/>
        </w:rPr>
        <w:footnoteReference w:id="93"/>
      </w:r>
      <w:r w:rsidR="004E78C6" w:rsidRPr="004E78C6">
        <w:rPr>
          <w:szCs w:val="24"/>
        </w:rPr>
        <w:t xml:space="preserve">. </w:t>
      </w:r>
      <w:r w:rsidR="004E78C6">
        <w:rPr>
          <w:szCs w:val="24"/>
        </w:rPr>
        <w:t>Данную позицию горячо поддержали и США, заявив о том, что проект противоречит европейской энергетической безопасности и чрезмерно усиливает влияние Москвы. Безусловно, за этими политическими заявлениями стоят сугубо экономические причины: ежегодно Украина получает 3 млрд. долл. США за транзит газа через свою территорию; СШ</w:t>
      </w:r>
      <w:r w:rsidR="00B81797">
        <w:rPr>
          <w:szCs w:val="24"/>
        </w:rPr>
        <w:t>А которые сегодня занимают первое место по объему добычи нефти и газа, активно ищут рынки сбыта своей продукции. Безусловно, заявления о том, что американский сжиженный газ (СПГ) может из чисто экономических расчетов составить хоть какую-то конкуренцию трубопроводному газу из России – не имеет под собой оснований. С другой стороны, политическое влияние, которое США оказывает напрямую или через своих «сателлитов» может в конечном счете принести плоды, примером чего стало подписание 20-летнего контракта между США и Польшей на поставку СПГ.</w:t>
      </w:r>
    </w:p>
    <w:p w14:paraId="72E43DAF" w14:textId="28A335C4" w:rsidR="00CB31D4" w:rsidRPr="00FC776E" w:rsidRDefault="00CB31D4" w:rsidP="00CB31D4">
      <w:pPr>
        <w:rPr>
          <w:szCs w:val="24"/>
        </w:rPr>
      </w:pPr>
      <w:r>
        <w:rPr>
          <w:szCs w:val="24"/>
        </w:rPr>
        <w:tab/>
      </w:r>
      <w:r w:rsidR="003A5571">
        <w:rPr>
          <w:szCs w:val="24"/>
        </w:rPr>
        <w:t xml:space="preserve">Невозможность остановить реализацию проекта Северный поток – 2 при использовании политических заявлений перевело попытки в законодательную плоскость. Уже с 2017 года стала обсуждаться необходимость внесения изменений в Газовую директиву ЕС, которая была подписана и вступила в силу в мае 2019 года. По сути, она обязала расширить требования Третьего энергопакета (который предлагал либерализацию энергетического рынка Европы) на морские газопроводы из «третьих» стран, где речь в первую очередь о России и её проекте СП – 2. Принятый компромиссный вариант поправок вполне устраивает и Россию: Германия сумела продавить свою позицию, исходя из которой </w:t>
      </w:r>
      <w:r w:rsidR="00FC776E">
        <w:rPr>
          <w:szCs w:val="24"/>
        </w:rPr>
        <w:t xml:space="preserve">принятие решений о выводе проекта из под норм третьего энергопакета будет осуществляться не в Брюсселе, а в стране, к которой газопровод выходит, то есть – </w:t>
      </w:r>
      <w:r w:rsidR="00FC776E">
        <w:rPr>
          <w:szCs w:val="24"/>
        </w:rPr>
        <w:lastRenderedPageBreak/>
        <w:t>Германию. В связи с этим, вероятность того, что проект будет работать на полную мощность в 55 млрд. м</w:t>
      </w:r>
      <w:r w:rsidR="00FC776E" w:rsidRPr="00FC776E">
        <w:rPr>
          <w:szCs w:val="24"/>
          <w:vertAlign w:val="superscript"/>
        </w:rPr>
        <w:t>3</w:t>
      </w:r>
      <w:r w:rsidR="00FC776E">
        <w:rPr>
          <w:szCs w:val="24"/>
        </w:rPr>
        <w:t xml:space="preserve"> в год, а не ограничиваться половиной мощности, передавая оставшиеся 50% другим поставщикам, достаточно велика. </w:t>
      </w:r>
    </w:p>
    <w:p w14:paraId="539485A1" w14:textId="69FD5D59" w:rsidR="00D470FD" w:rsidRDefault="00D470FD" w:rsidP="006B4CE6">
      <w:pPr>
        <w:ind w:firstLine="708"/>
        <w:rPr>
          <w:szCs w:val="24"/>
        </w:rPr>
      </w:pPr>
      <w:r>
        <w:rPr>
          <w:szCs w:val="24"/>
        </w:rPr>
        <w:t>Проблемы с технической реализацией данного проекта заключаются в особенностях маршрута его прокладки. Проходя по дну Балтийского моря через территориальные воды 5-ти стран (Германия, Дания, Швеция, Финляндия, Россия)</w:t>
      </w:r>
      <w:r w:rsidR="003908A5">
        <w:rPr>
          <w:szCs w:val="24"/>
        </w:rPr>
        <w:t>, существующие правовые и законодательные аспекты затрудняли процесс предоставления разрешения на прокладку трубопровода и, если Германия, Швеция, Финляндия выдали таковое достаточно быстро, то вот Дания серьезно затянула этот процесс и выдала долгожданное разрешение лишь 30 октября 2019 года. Объективной причина задержки заключалась в неурегулированном статусе спорных пространств Балтийского моря между Данией и Польшей. А потому разрешение на прокладку было выдано вскоре после того, как в ноябре 2018 года данные государства подписали соглашение о разделе спорных пространств</w:t>
      </w:r>
      <w:r w:rsidR="00C75B83">
        <w:rPr>
          <w:szCs w:val="24"/>
        </w:rPr>
        <w:t xml:space="preserve"> </w:t>
      </w:r>
      <w:r w:rsidR="0026670E">
        <w:rPr>
          <w:rStyle w:val="af5"/>
          <w:szCs w:val="24"/>
        </w:rPr>
        <w:footnoteReference w:id="94"/>
      </w:r>
      <w:r w:rsidR="003908A5">
        <w:rPr>
          <w:szCs w:val="24"/>
        </w:rPr>
        <w:t xml:space="preserve">. </w:t>
      </w:r>
    </w:p>
    <w:p w14:paraId="5CE010EC" w14:textId="474691A2" w:rsidR="006B4CE6" w:rsidRDefault="006B4CE6" w:rsidP="006B4CE6">
      <w:pPr>
        <w:rPr>
          <w:szCs w:val="24"/>
        </w:rPr>
      </w:pPr>
      <w:r>
        <w:rPr>
          <w:szCs w:val="24"/>
        </w:rPr>
        <w:tab/>
        <w:t>Полученные необходимые разрешения фактически гарантировали реализацию проекта Северный поток – 2, однако в декабре 2019 года США ввели санкции против компаний, которые принимали участие в строительстве трубопровода, что в очередной раз остановило реализацию проекта</w:t>
      </w:r>
      <w:r w:rsidR="00C06818">
        <w:rPr>
          <w:szCs w:val="24"/>
        </w:rPr>
        <w:t>, окончание реализации оставшихся 6% (при завершенном объеме работ в 94%) которого отходит на конец 2020 – начало 2021 года, при том, что изначально планировалось завершить укладку труб в конце 2019 года</w:t>
      </w:r>
      <w:r w:rsidR="0026670E">
        <w:rPr>
          <w:rStyle w:val="af5"/>
          <w:szCs w:val="24"/>
        </w:rPr>
        <w:footnoteReference w:id="95"/>
      </w:r>
      <w:r w:rsidR="00C06818">
        <w:rPr>
          <w:szCs w:val="24"/>
        </w:rPr>
        <w:t xml:space="preserve">. </w:t>
      </w:r>
      <w:r w:rsidR="00B04711">
        <w:rPr>
          <w:szCs w:val="24"/>
        </w:rPr>
        <w:t xml:space="preserve">Впрочем, подобные санкции это не первая попытка помешать российской газовой экспансии в Европу. Так в 1981 году президентом США Рональдом Рейганом были введены аналогичные санкции в отношении газопровода «Уренгой-Ужгород», однако консолидированная негативная реакция со стороны европейских лидеров вынудила их отступить. </w:t>
      </w:r>
      <w:r w:rsidR="00450859">
        <w:rPr>
          <w:szCs w:val="24"/>
        </w:rPr>
        <w:t>Сегодня несмотря на то, что</w:t>
      </w:r>
      <w:r w:rsidR="00CB31D4">
        <w:rPr>
          <w:szCs w:val="24"/>
        </w:rPr>
        <w:t xml:space="preserve"> объективных обстоятельств для остановки реализации </w:t>
      </w:r>
      <w:r w:rsidR="00450859">
        <w:rPr>
          <w:szCs w:val="24"/>
        </w:rPr>
        <w:t>проекта Северный</w:t>
      </w:r>
      <w:r w:rsidR="00B04711">
        <w:rPr>
          <w:szCs w:val="24"/>
        </w:rPr>
        <w:t xml:space="preserve"> поток – 2 </w:t>
      </w:r>
      <w:r w:rsidR="00CB31D4">
        <w:rPr>
          <w:szCs w:val="24"/>
        </w:rPr>
        <w:t>нет, политическая конъюнктура и отсутствие консенсуса в странах Европы может сильно затянуть процесс.</w:t>
      </w:r>
    </w:p>
    <w:p w14:paraId="1CAD2C12" w14:textId="39882916" w:rsidR="00E05A64" w:rsidRDefault="00E05A64" w:rsidP="006B4CE6">
      <w:pPr>
        <w:rPr>
          <w:szCs w:val="24"/>
        </w:rPr>
      </w:pPr>
      <w:r>
        <w:rPr>
          <w:szCs w:val="24"/>
        </w:rPr>
        <w:tab/>
        <w:t>Экспорт</w:t>
      </w:r>
      <w:r w:rsidR="005B4C86">
        <w:rPr>
          <w:szCs w:val="24"/>
        </w:rPr>
        <w:t xml:space="preserve"> нефти занимает не менее важное место </w:t>
      </w:r>
      <w:r w:rsidR="00603658">
        <w:rPr>
          <w:szCs w:val="24"/>
        </w:rPr>
        <w:t xml:space="preserve">в российско-германских отношениях. Так, в 2019 году совокупный экспорт нефти из России составил 267,5 млн. тонн, из которых 18,9 млн. тонн (-4,6 к предыдущему году) пришлось на Германию. </w:t>
      </w:r>
      <w:r w:rsidR="00603658">
        <w:rPr>
          <w:szCs w:val="24"/>
        </w:rPr>
        <w:lastRenderedPageBreak/>
        <w:t>Экспорт нефтепродуктов же составил 157,9 млн. тонн, из которых 5,7 млн. тонн (-0,6 к прошлому году) – в Германию</w:t>
      </w:r>
      <w:r w:rsidR="00A131CC">
        <w:rPr>
          <w:szCs w:val="24"/>
        </w:rPr>
        <w:t xml:space="preserve"> </w:t>
      </w:r>
      <w:r w:rsidR="00A131CC">
        <w:rPr>
          <w:rStyle w:val="af5"/>
          <w:szCs w:val="24"/>
        </w:rPr>
        <w:footnoteReference w:id="96"/>
      </w:r>
      <w:r w:rsidR="00603658">
        <w:rPr>
          <w:szCs w:val="24"/>
        </w:rPr>
        <w:t>.</w:t>
      </w:r>
    </w:p>
    <w:p w14:paraId="5321E1A9" w14:textId="4721812D" w:rsidR="00D948B7" w:rsidRDefault="00B04711" w:rsidP="006B4CE6">
      <w:pPr>
        <w:rPr>
          <w:szCs w:val="24"/>
          <w:highlight w:val="green"/>
        </w:rPr>
      </w:pPr>
      <w:r>
        <w:rPr>
          <w:szCs w:val="24"/>
        </w:rPr>
        <w:tab/>
      </w:r>
      <w:r w:rsidRPr="0025665F">
        <w:rPr>
          <w:szCs w:val="24"/>
        </w:rPr>
        <w:t xml:space="preserve">Таким образом, более чем полувековое развитие российско-германских нефтегазовых отношений </w:t>
      </w:r>
      <w:r w:rsidR="00450859" w:rsidRPr="0025665F">
        <w:rPr>
          <w:szCs w:val="24"/>
        </w:rPr>
        <w:t xml:space="preserve">обеспечило Германии надежные и стабильные поставки энергетических ресурсов и превратило Россию в энергетическую сверхдержаву, которая так или иначе использует нефть и газ в качестве инструментов влияния на европейском континенте. </w:t>
      </w:r>
      <w:r w:rsidR="00F963A9" w:rsidRPr="0025665F">
        <w:rPr>
          <w:szCs w:val="24"/>
        </w:rPr>
        <w:t xml:space="preserve">В противоположность неудавшейся попытке «модернизации через партнерство», в этом случае, оба государства получили несомненные выгоды, которые и определяли логику развития двусторонних отношений: история показала и доказала, что политическая конъюнктура в нефтегазовых вопросах всегда является лишь временным явлением, в то время как последнее слово, безусловно, останется за прагматичными решениями лидеров. </w:t>
      </w:r>
    </w:p>
    <w:p w14:paraId="56DB796A" w14:textId="77777777" w:rsidR="00A771C2" w:rsidRDefault="00A771C2" w:rsidP="00A771C2">
      <w:bookmarkStart w:id="40" w:name="_Toc41500786"/>
      <w:r>
        <w:br w:type="page"/>
      </w:r>
    </w:p>
    <w:p w14:paraId="3C8A9AB6" w14:textId="7B646DF6" w:rsidR="00F963A9" w:rsidRPr="00F963A9" w:rsidRDefault="00F963A9" w:rsidP="00A131CC">
      <w:pPr>
        <w:pStyle w:val="1"/>
      </w:pPr>
      <w:bookmarkStart w:id="41" w:name="_Toc41513181"/>
      <w:r w:rsidRPr="00F963A9">
        <w:lastRenderedPageBreak/>
        <w:t>Глава 3</w:t>
      </w:r>
      <w:r w:rsidR="00A131CC">
        <w:t xml:space="preserve">. </w:t>
      </w:r>
      <w:r w:rsidRPr="00F963A9">
        <w:t>Перспективы российско-германского сотрудничества в сфере энергоресурсов и технологий.</w:t>
      </w:r>
      <w:bookmarkEnd w:id="40"/>
      <w:bookmarkEnd w:id="41"/>
    </w:p>
    <w:p w14:paraId="72E79DD5" w14:textId="0489DF53" w:rsidR="002D3E40" w:rsidRPr="00B83A70" w:rsidRDefault="00F963A9" w:rsidP="00B83A70">
      <w:pPr>
        <w:pStyle w:val="2"/>
        <w:numPr>
          <w:ilvl w:val="1"/>
          <w:numId w:val="15"/>
        </w:numPr>
      </w:pPr>
      <w:bookmarkStart w:id="42" w:name="_Toc41500787"/>
      <w:bookmarkStart w:id="43" w:name="_Toc41513182"/>
      <w:r w:rsidRPr="00B83A70">
        <w:t xml:space="preserve">Факторы, определяющие будущее </w:t>
      </w:r>
      <w:r w:rsidR="00B83A70" w:rsidRPr="00B83A70">
        <w:t xml:space="preserve">российско-германского </w:t>
      </w:r>
      <w:r w:rsidRPr="00B83A70">
        <w:t>сотрудничества</w:t>
      </w:r>
      <w:bookmarkEnd w:id="42"/>
      <w:bookmarkEnd w:id="43"/>
    </w:p>
    <w:p w14:paraId="25A3956E" w14:textId="7E116802" w:rsidR="00F963A9" w:rsidRDefault="00707037" w:rsidP="002D3E40">
      <w:pPr>
        <w:ind w:firstLine="708"/>
        <w:rPr>
          <w:szCs w:val="24"/>
        </w:rPr>
      </w:pPr>
      <w:r>
        <w:rPr>
          <w:szCs w:val="24"/>
        </w:rPr>
        <w:t>События, которые принес с собой</w:t>
      </w:r>
      <w:r w:rsidR="006F689B">
        <w:rPr>
          <w:szCs w:val="24"/>
        </w:rPr>
        <w:t xml:space="preserve"> 2020 год</w:t>
      </w:r>
      <w:r>
        <w:rPr>
          <w:szCs w:val="24"/>
        </w:rPr>
        <w:t>,</w:t>
      </w:r>
      <w:r w:rsidR="006F689B">
        <w:rPr>
          <w:szCs w:val="24"/>
        </w:rPr>
        <w:t xml:space="preserve"> ознаме</w:t>
      </w:r>
      <w:r w:rsidR="002D3E40">
        <w:rPr>
          <w:szCs w:val="24"/>
        </w:rPr>
        <w:t>новал</w:t>
      </w:r>
      <w:r>
        <w:rPr>
          <w:szCs w:val="24"/>
        </w:rPr>
        <w:t>и</w:t>
      </w:r>
      <w:r w:rsidR="002D3E40">
        <w:rPr>
          <w:szCs w:val="24"/>
        </w:rPr>
        <w:t xml:space="preserve"> </w:t>
      </w:r>
      <w:r>
        <w:rPr>
          <w:szCs w:val="24"/>
        </w:rPr>
        <w:t xml:space="preserve">начало </w:t>
      </w:r>
      <w:r w:rsidR="002D3E40">
        <w:rPr>
          <w:szCs w:val="24"/>
        </w:rPr>
        <w:t>эпох</w:t>
      </w:r>
      <w:r>
        <w:rPr>
          <w:szCs w:val="24"/>
        </w:rPr>
        <w:t>и</w:t>
      </w:r>
      <w:r w:rsidR="002D3E40">
        <w:rPr>
          <w:szCs w:val="24"/>
        </w:rPr>
        <w:t xml:space="preserve"> </w:t>
      </w:r>
      <w:r>
        <w:rPr>
          <w:szCs w:val="24"/>
        </w:rPr>
        <w:t>больших</w:t>
      </w:r>
      <w:r w:rsidR="002D3E40">
        <w:rPr>
          <w:szCs w:val="24"/>
        </w:rPr>
        <w:t xml:space="preserve"> перемен: с одной стороны, он</w:t>
      </w:r>
      <w:r>
        <w:rPr>
          <w:szCs w:val="24"/>
        </w:rPr>
        <w:t>и</w:t>
      </w:r>
      <w:r w:rsidR="002D3E40">
        <w:rPr>
          <w:szCs w:val="24"/>
        </w:rPr>
        <w:t xml:space="preserve"> усилил</w:t>
      </w:r>
      <w:r>
        <w:rPr>
          <w:szCs w:val="24"/>
        </w:rPr>
        <w:t>и</w:t>
      </w:r>
      <w:r w:rsidR="002D3E40">
        <w:rPr>
          <w:szCs w:val="24"/>
        </w:rPr>
        <w:t xml:space="preserve"> и обострил</w:t>
      </w:r>
      <w:r>
        <w:rPr>
          <w:szCs w:val="24"/>
        </w:rPr>
        <w:t>и</w:t>
      </w:r>
      <w:r w:rsidR="002D3E40">
        <w:rPr>
          <w:szCs w:val="24"/>
        </w:rPr>
        <w:t xml:space="preserve"> противоречия, которые накапливались между государствами за последнее десятилетие; с другой стороны –</w:t>
      </w:r>
      <w:r w:rsidR="002E23F5">
        <w:rPr>
          <w:szCs w:val="24"/>
        </w:rPr>
        <w:t xml:space="preserve"> </w:t>
      </w:r>
      <w:r w:rsidR="002D3E40">
        <w:rPr>
          <w:szCs w:val="24"/>
        </w:rPr>
        <w:t>привел</w:t>
      </w:r>
      <w:r w:rsidR="002E23F5">
        <w:rPr>
          <w:szCs w:val="24"/>
        </w:rPr>
        <w:t xml:space="preserve">и </w:t>
      </w:r>
      <w:r w:rsidR="002D3E40">
        <w:rPr>
          <w:szCs w:val="24"/>
        </w:rPr>
        <w:t>к затруднению в реализации множества положительных трендов, таких как переход к использованию альтернативных источников энергии.</w:t>
      </w:r>
      <w:r w:rsidR="00AF0DA1">
        <w:rPr>
          <w:szCs w:val="24"/>
        </w:rPr>
        <w:t xml:space="preserve"> </w:t>
      </w:r>
      <w:r w:rsidR="002E23F5" w:rsidRPr="002E23F5">
        <w:rPr>
          <w:szCs w:val="24"/>
        </w:rPr>
        <w:t>В этих условиях, российско-германским отношениям не уда</w:t>
      </w:r>
      <w:r w:rsidR="002E23F5">
        <w:rPr>
          <w:szCs w:val="24"/>
        </w:rPr>
        <w:t>стся</w:t>
      </w:r>
      <w:r w:rsidR="002E23F5" w:rsidRPr="002E23F5">
        <w:rPr>
          <w:szCs w:val="24"/>
        </w:rPr>
        <w:t xml:space="preserve"> остаться в стороне</w:t>
      </w:r>
      <w:r w:rsidR="00C67D78">
        <w:rPr>
          <w:szCs w:val="24"/>
        </w:rPr>
        <w:t xml:space="preserve"> – они будут формироваться и развиваться под давлением ряда факторов и тенденций, о которых речь пойдет ниже.</w:t>
      </w:r>
    </w:p>
    <w:p w14:paraId="4F26052C" w14:textId="64828F5A" w:rsidR="00D90DE3" w:rsidRDefault="00B83A70" w:rsidP="00B83A70">
      <w:pPr>
        <w:ind w:firstLine="708"/>
        <w:rPr>
          <w:szCs w:val="24"/>
        </w:rPr>
      </w:pPr>
      <w:r w:rsidRPr="00B83A70">
        <w:rPr>
          <w:szCs w:val="24"/>
        </w:rPr>
        <w:t xml:space="preserve">Первым </w:t>
      </w:r>
      <w:r>
        <w:rPr>
          <w:szCs w:val="24"/>
        </w:rPr>
        <w:t xml:space="preserve">подобным </w:t>
      </w:r>
      <w:r w:rsidRPr="00B83A70">
        <w:rPr>
          <w:szCs w:val="24"/>
        </w:rPr>
        <w:t>фактором</w:t>
      </w:r>
      <w:r>
        <w:rPr>
          <w:szCs w:val="24"/>
        </w:rPr>
        <w:t xml:space="preserve">, который отчетливо проявился во время разразившейся в мире пандемии коронавируса, стал </w:t>
      </w:r>
      <w:r w:rsidRPr="00B83A70">
        <w:rPr>
          <w:i/>
          <w:iCs/>
          <w:szCs w:val="24"/>
        </w:rPr>
        <w:t>к</w:t>
      </w:r>
      <w:r w:rsidR="00842594" w:rsidRPr="00B83A70">
        <w:rPr>
          <w:i/>
          <w:iCs/>
          <w:szCs w:val="24"/>
        </w:rPr>
        <w:t>ризис либерально-демократических ценностей</w:t>
      </w:r>
      <w:r>
        <w:rPr>
          <w:szCs w:val="24"/>
        </w:rPr>
        <w:t xml:space="preserve">. </w:t>
      </w:r>
      <w:r w:rsidR="00D35ED1">
        <w:rPr>
          <w:szCs w:val="24"/>
        </w:rPr>
        <w:t xml:space="preserve">Экспоненциальный рост распространения болезни привел к тому, что </w:t>
      </w:r>
      <w:r w:rsidR="00DC449A">
        <w:rPr>
          <w:szCs w:val="24"/>
        </w:rPr>
        <w:t>начавшаяся в Китая эпидемия перекинулась на Европейский Союз, а оттуда – на США. В итоге, н</w:t>
      </w:r>
      <w:r w:rsidR="00D35ED1">
        <w:rPr>
          <w:szCs w:val="24"/>
        </w:rPr>
        <w:t>а сегодняшний</w:t>
      </w:r>
      <w:r w:rsidR="00D272CD">
        <w:rPr>
          <w:szCs w:val="24"/>
        </w:rPr>
        <w:t xml:space="preserve"> день</w:t>
      </w:r>
      <w:r w:rsidR="00D35ED1">
        <w:rPr>
          <w:szCs w:val="24"/>
        </w:rPr>
        <w:t xml:space="preserve"> число выявленных случаев заражения </w:t>
      </w:r>
      <w:r w:rsidR="00980A79">
        <w:rPr>
          <w:szCs w:val="24"/>
        </w:rPr>
        <w:t>превысило 5</w:t>
      </w:r>
      <w:r w:rsidR="00D35ED1">
        <w:rPr>
          <w:szCs w:val="24"/>
        </w:rPr>
        <w:t xml:space="preserve"> млн. человек, </w:t>
      </w:r>
      <w:r w:rsidR="00DC449A">
        <w:rPr>
          <w:szCs w:val="24"/>
        </w:rPr>
        <w:t xml:space="preserve">а </w:t>
      </w:r>
      <w:r w:rsidR="00D35ED1">
        <w:rPr>
          <w:szCs w:val="24"/>
        </w:rPr>
        <w:t xml:space="preserve">количество смертей – более </w:t>
      </w:r>
      <w:r w:rsidR="00980A79">
        <w:rPr>
          <w:szCs w:val="24"/>
        </w:rPr>
        <w:t>340</w:t>
      </w:r>
      <w:r w:rsidR="00D35ED1">
        <w:rPr>
          <w:szCs w:val="24"/>
        </w:rPr>
        <w:t xml:space="preserve"> тысяч</w:t>
      </w:r>
      <w:r w:rsidR="00B407AC">
        <w:rPr>
          <w:szCs w:val="24"/>
        </w:rPr>
        <w:t xml:space="preserve"> </w:t>
      </w:r>
      <w:r w:rsidR="00980A79">
        <w:rPr>
          <w:rStyle w:val="af5"/>
          <w:szCs w:val="24"/>
        </w:rPr>
        <w:footnoteReference w:id="97"/>
      </w:r>
      <w:r w:rsidR="00D35ED1">
        <w:rPr>
          <w:szCs w:val="24"/>
        </w:rPr>
        <w:t>.</w:t>
      </w:r>
      <w:r w:rsidR="00D272CD">
        <w:rPr>
          <w:szCs w:val="24"/>
        </w:rPr>
        <w:t xml:space="preserve"> Данная </w:t>
      </w:r>
      <w:r w:rsidR="00980A79">
        <w:rPr>
          <w:szCs w:val="24"/>
        </w:rPr>
        <w:t>инфекция</w:t>
      </w:r>
      <w:r w:rsidR="00D272CD">
        <w:rPr>
          <w:szCs w:val="24"/>
        </w:rPr>
        <w:t xml:space="preserve"> не является уникальной, ведь с точки зрения эпидемиологической ситуации в истории были куда более страшные примеры пандемий, например, чума в </w:t>
      </w:r>
      <w:r w:rsidR="00D272CD">
        <w:rPr>
          <w:szCs w:val="24"/>
          <w:lang w:val="en-US"/>
        </w:rPr>
        <w:t>XIV</w:t>
      </w:r>
      <w:r w:rsidR="00D272CD" w:rsidRPr="00D272CD">
        <w:rPr>
          <w:szCs w:val="24"/>
        </w:rPr>
        <w:t xml:space="preserve"> </w:t>
      </w:r>
      <w:r w:rsidR="00D272CD">
        <w:rPr>
          <w:szCs w:val="24"/>
        </w:rPr>
        <w:t xml:space="preserve">веке или испанский грипп в начале </w:t>
      </w:r>
      <w:r w:rsidR="00D272CD">
        <w:rPr>
          <w:szCs w:val="24"/>
          <w:lang w:val="de-DE"/>
        </w:rPr>
        <w:t>XX</w:t>
      </w:r>
      <w:r w:rsidR="00D272CD">
        <w:rPr>
          <w:szCs w:val="24"/>
        </w:rPr>
        <w:t xml:space="preserve">-го века, когда число заразившихся достигло 30% населения Земли. Уникальность охватившей мир пандемии коронавируса состоит не в её сути, но </w:t>
      </w:r>
      <w:proofErr w:type="gramStart"/>
      <w:r w:rsidR="00D272CD">
        <w:rPr>
          <w:szCs w:val="24"/>
        </w:rPr>
        <w:t>в действиях</w:t>
      </w:r>
      <w:proofErr w:type="gramEnd"/>
      <w:r w:rsidR="00D272CD">
        <w:rPr>
          <w:szCs w:val="24"/>
        </w:rPr>
        <w:t xml:space="preserve"> принимаемых странами в попытке остановить распространение вируса</w:t>
      </w:r>
      <w:r w:rsidR="00D37F34">
        <w:rPr>
          <w:szCs w:val="24"/>
        </w:rPr>
        <w:t>.</w:t>
      </w:r>
      <w:r w:rsidR="00D272CD">
        <w:rPr>
          <w:szCs w:val="24"/>
        </w:rPr>
        <w:t xml:space="preserve"> </w:t>
      </w:r>
      <w:r w:rsidR="00D37F34">
        <w:rPr>
          <w:szCs w:val="24"/>
        </w:rPr>
        <w:t>Л</w:t>
      </w:r>
      <w:r w:rsidR="00D272CD">
        <w:rPr>
          <w:szCs w:val="24"/>
        </w:rPr>
        <w:t>иберально-демократические ценности западных государств, которые провозглашали идеи сотрудничества и взаимопомощи</w:t>
      </w:r>
      <w:r w:rsidR="001C4818">
        <w:rPr>
          <w:szCs w:val="24"/>
        </w:rPr>
        <w:t xml:space="preserve"> и считались </w:t>
      </w:r>
      <w:r w:rsidR="00D272CD">
        <w:rPr>
          <w:szCs w:val="24"/>
        </w:rPr>
        <w:t xml:space="preserve">до сегодняшнего дня </w:t>
      </w:r>
      <w:r w:rsidR="001C4818">
        <w:rPr>
          <w:szCs w:val="24"/>
        </w:rPr>
        <w:t>столповой дорогой развития человечества, проявили себя во время пандемии прямо противоположным образом</w:t>
      </w:r>
      <w:r w:rsidR="00D37F34">
        <w:rPr>
          <w:szCs w:val="24"/>
        </w:rPr>
        <w:t>: односторонние действия государств, отсутствие координации усилий с другими странами и фактическая девальвация роли наднациональных институтов – вместе с коронавирусом пришла и новая реальность. Более того, в немецких СМИ публиковалась информация, что США – ключевой очаг пандемии – регулярно перекупают грузы, предназначенные для других государств</w:t>
      </w:r>
      <w:r w:rsidR="00B407AC">
        <w:rPr>
          <w:szCs w:val="24"/>
        </w:rPr>
        <w:t xml:space="preserve"> </w:t>
      </w:r>
      <w:r w:rsidR="00980A79">
        <w:rPr>
          <w:rStyle w:val="af5"/>
          <w:szCs w:val="24"/>
        </w:rPr>
        <w:footnoteReference w:id="98"/>
      </w:r>
      <w:r w:rsidR="00D90DE3">
        <w:rPr>
          <w:szCs w:val="24"/>
        </w:rPr>
        <w:t xml:space="preserve">. Подобные </w:t>
      </w:r>
      <w:r w:rsidR="00D90DE3">
        <w:rPr>
          <w:szCs w:val="24"/>
        </w:rPr>
        <w:lastRenderedPageBreak/>
        <w:t>действия свидетельствуют о том, что переживавшие некогда расцвет принципы либеральной демократии сегодня замещаются понятиями национальных интересов, когда страны действуют по принципу «каждый сам за себя». Подобная трансформация происходит не только и не столько в странах</w:t>
      </w:r>
      <w:r w:rsidR="00C67D78">
        <w:rPr>
          <w:szCs w:val="24"/>
        </w:rPr>
        <w:t xml:space="preserve">, где не действуют принципы либеральной демократии, сколько в странах, стоявших у </w:t>
      </w:r>
      <w:r w:rsidR="008E1601">
        <w:rPr>
          <w:szCs w:val="24"/>
        </w:rPr>
        <w:t>их</w:t>
      </w:r>
      <w:r w:rsidR="00C67D78">
        <w:rPr>
          <w:szCs w:val="24"/>
        </w:rPr>
        <w:t xml:space="preserve"> истоков. Так, в марте 2020 года испанский аналитический центр </w:t>
      </w:r>
      <w:r w:rsidR="00C67D78">
        <w:rPr>
          <w:szCs w:val="24"/>
          <w:lang w:val="en-US"/>
        </w:rPr>
        <w:t>Elcano</w:t>
      </w:r>
      <w:r w:rsidR="00C67D78" w:rsidRPr="00C67D78">
        <w:rPr>
          <w:szCs w:val="24"/>
        </w:rPr>
        <w:t xml:space="preserve"> </w:t>
      </w:r>
      <w:r w:rsidR="00C67D78">
        <w:rPr>
          <w:szCs w:val="24"/>
        </w:rPr>
        <w:t>опубликовал доклад, в котором сообщил, что ценности, которые закладывались в фундамент Европейского Союза сегодня больше не работают</w:t>
      </w:r>
      <w:r w:rsidR="00980A79">
        <w:rPr>
          <w:szCs w:val="24"/>
        </w:rPr>
        <w:t xml:space="preserve"> </w:t>
      </w:r>
      <w:r w:rsidR="00980A79">
        <w:rPr>
          <w:rStyle w:val="af5"/>
          <w:szCs w:val="24"/>
        </w:rPr>
        <w:footnoteReference w:id="99"/>
      </w:r>
      <w:r w:rsidR="00C67D78" w:rsidRPr="00C67D78">
        <w:rPr>
          <w:szCs w:val="24"/>
        </w:rPr>
        <w:t>.</w:t>
      </w:r>
      <w:r w:rsidR="00C67D78">
        <w:rPr>
          <w:szCs w:val="24"/>
        </w:rPr>
        <w:t xml:space="preserve"> </w:t>
      </w:r>
      <w:r w:rsidR="007F3E6C">
        <w:rPr>
          <w:szCs w:val="24"/>
        </w:rPr>
        <w:t xml:space="preserve">Другим примером является публикация </w:t>
      </w:r>
      <w:proofErr w:type="spellStart"/>
      <w:r w:rsidR="007F3E6C">
        <w:rPr>
          <w:szCs w:val="24"/>
        </w:rPr>
        <w:t>Хансом</w:t>
      </w:r>
      <w:proofErr w:type="spellEnd"/>
      <w:r w:rsidR="007F3E6C">
        <w:rPr>
          <w:szCs w:val="24"/>
        </w:rPr>
        <w:t xml:space="preserve"> </w:t>
      </w:r>
      <w:proofErr w:type="spellStart"/>
      <w:r w:rsidR="007F3E6C">
        <w:rPr>
          <w:szCs w:val="24"/>
        </w:rPr>
        <w:t>Кунднани</w:t>
      </w:r>
      <w:proofErr w:type="spellEnd"/>
      <w:r w:rsidR="007F3E6C">
        <w:rPr>
          <w:szCs w:val="24"/>
        </w:rPr>
        <w:t xml:space="preserve"> - экспертом британского аналитического центра по международным отношениям </w:t>
      </w:r>
      <w:proofErr w:type="spellStart"/>
      <w:r w:rsidR="007F3E6C">
        <w:rPr>
          <w:szCs w:val="24"/>
          <w:lang w:val="en-US"/>
        </w:rPr>
        <w:t>Chathem</w:t>
      </w:r>
      <w:proofErr w:type="spellEnd"/>
      <w:r w:rsidR="007F3E6C" w:rsidRPr="007F3E6C">
        <w:rPr>
          <w:szCs w:val="24"/>
        </w:rPr>
        <w:t xml:space="preserve"> </w:t>
      </w:r>
      <w:r w:rsidR="007F3E6C">
        <w:rPr>
          <w:szCs w:val="24"/>
          <w:lang w:val="en-US"/>
        </w:rPr>
        <w:t>House</w:t>
      </w:r>
      <w:r w:rsidR="007F3E6C" w:rsidRPr="007F3E6C">
        <w:rPr>
          <w:szCs w:val="24"/>
        </w:rPr>
        <w:t xml:space="preserve"> </w:t>
      </w:r>
      <w:r w:rsidR="007F3E6C">
        <w:rPr>
          <w:szCs w:val="24"/>
        </w:rPr>
        <w:t>статьи под названием «Коронавирус и будущее демократии в Европе», в которой он задается вопросом, может ли либеральные демократии защитить своих граждан, а также сравнивает их действия с действиями авторитарных государств</w:t>
      </w:r>
      <w:r w:rsidR="00980A79">
        <w:rPr>
          <w:szCs w:val="24"/>
        </w:rPr>
        <w:t xml:space="preserve"> </w:t>
      </w:r>
      <w:r w:rsidR="00980A79">
        <w:rPr>
          <w:rStyle w:val="af5"/>
          <w:szCs w:val="24"/>
        </w:rPr>
        <w:footnoteReference w:id="100"/>
      </w:r>
      <w:r w:rsidR="007F3E6C" w:rsidRPr="007F3E6C">
        <w:rPr>
          <w:szCs w:val="24"/>
        </w:rPr>
        <w:t>.</w:t>
      </w:r>
      <w:r w:rsidR="007F3E6C">
        <w:rPr>
          <w:szCs w:val="24"/>
        </w:rPr>
        <w:t xml:space="preserve"> Широкое освещение данная проблема получила и в России.</w:t>
      </w:r>
      <w:r w:rsidR="004F4213">
        <w:rPr>
          <w:szCs w:val="24"/>
        </w:rPr>
        <w:t xml:space="preserve"> Так, Тимофей Бордачев – программный директор дискуссионного клуба «Валдай» пишет: «Наши наблюдения того, как страны Европы, показывая пример национального эгоизма закрывают свои границы, - нас сильно озадачивают. Возникает вопрос: пандемия коронавируса – это и есть последн</w:t>
      </w:r>
      <w:r w:rsidR="00EB4C16">
        <w:rPr>
          <w:szCs w:val="24"/>
        </w:rPr>
        <w:t>ий раунд игры</w:t>
      </w:r>
      <w:r w:rsidR="00980A79">
        <w:rPr>
          <w:szCs w:val="24"/>
        </w:rPr>
        <w:t xml:space="preserve"> </w:t>
      </w:r>
      <w:r w:rsidR="00EB4C16">
        <w:rPr>
          <w:rStyle w:val="af5"/>
          <w:szCs w:val="24"/>
        </w:rPr>
        <w:footnoteReference w:id="101"/>
      </w:r>
      <w:r w:rsidR="00EB4C16">
        <w:rPr>
          <w:szCs w:val="24"/>
        </w:rPr>
        <w:t>, после которого европейской интеграции будет нанесен сокрушительный удар</w:t>
      </w:r>
      <w:r w:rsidR="008E1601">
        <w:rPr>
          <w:szCs w:val="24"/>
        </w:rPr>
        <w:t>,</w:t>
      </w:r>
      <w:r w:rsidR="00EB4C16">
        <w:rPr>
          <w:szCs w:val="24"/>
        </w:rPr>
        <w:t xml:space="preserve"> от которого она не сможет устоять?</w:t>
      </w:r>
      <w:r w:rsidR="004F4213">
        <w:rPr>
          <w:szCs w:val="24"/>
        </w:rPr>
        <w:t>»</w:t>
      </w:r>
      <w:r w:rsidR="00EB4C16">
        <w:rPr>
          <w:szCs w:val="24"/>
        </w:rPr>
        <w:t xml:space="preserve"> </w:t>
      </w:r>
      <w:r w:rsidR="00980A79">
        <w:rPr>
          <w:rStyle w:val="af5"/>
          <w:szCs w:val="24"/>
        </w:rPr>
        <w:footnoteReference w:id="102"/>
      </w:r>
      <w:r w:rsidR="00EB4C16">
        <w:rPr>
          <w:szCs w:val="24"/>
        </w:rPr>
        <w:t>. В статье «</w:t>
      </w:r>
      <w:r w:rsidR="00EB4C16" w:rsidRPr="00EB4C16">
        <w:rPr>
          <w:szCs w:val="24"/>
        </w:rPr>
        <w:t>Мировой порядок после коронавируса: ничего не изменится?</w:t>
      </w:r>
      <w:r w:rsidR="00EB4C16">
        <w:rPr>
          <w:szCs w:val="24"/>
        </w:rPr>
        <w:t xml:space="preserve">» </w:t>
      </w:r>
      <w:r w:rsidR="00EB4C16" w:rsidRPr="00EB4C16">
        <w:rPr>
          <w:szCs w:val="24"/>
        </w:rPr>
        <w:t xml:space="preserve">Мехди </w:t>
      </w:r>
      <w:proofErr w:type="spellStart"/>
      <w:r w:rsidR="00EB4C16" w:rsidRPr="00EB4C16">
        <w:rPr>
          <w:szCs w:val="24"/>
        </w:rPr>
        <w:t>Санаи</w:t>
      </w:r>
      <w:proofErr w:type="spellEnd"/>
      <w:r w:rsidR="00EB4C16">
        <w:rPr>
          <w:szCs w:val="24"/>
        </w:rPr>
        <w:t xml:space="preserve"> пишет</w:t>
      </w:r>
      <w:r w:rsidR="003A6DD6">
        <w:rPr>
          <w:szCs w:val="24"/>
        </w:rPr>
        <w:t xml:space="preserve">, что </w:t>
      </w:r>
      <w:r w:rsidR="00EB4C16">
        <w:rPr>
          <w:szCs w:val="24"/>
        </w:rPr>
        <w:t xml:space="preserve">последствиями кризиса станет укрепление национальных государств и государственных институтов, </w:t>
      </w:r>
      <w:r w:rsidR="003A6DD6">
        <w:rPr>
          <w:szCs w:val="24"/>
        </w:rPr>
        <w:t>а последователи теории реализма и их идеи о сохранении суверенитета и самодостаточности выйдут на первый план</w:t>
      </w:r>
      <w:r w:rsidR="00980A79">
        <w:rPr>
          <w:szCs w:val="24"/>
        </w:rPr>
        <w:t xml:space="preserve"> </w:t>
      </w:r>
      <w:r w:rsidR="00980A79">
        <w:rPr>
          <w:rStyle w:val="af5"/>
          <w:szCs w:val="24"/>
        </w:rPr>
        <w:footnoteReference w:id="103"/>
      </w:r>
      <w:r w:rsidR="003A6DD6">
        <w:rPr>
          <w:szCs w:val="24"/>
        </w:rPr>
        <w:t>. Даниил Пареньков в статье «Политические эффекты пандемии: рост спроса на консервативные ценности» пишет о резком росте одобрения национальных лидеров, растущем опоре на традиции, порядок, авторитет и морально-этические оценки</w:t>
      </w:r>
      <w:r w:rsidR="00980A79">
        <w:rPr>
          <w:szCs w:val="24"/>
        </w:rPr>
        <w:t xml:space="preserve"> </w:t>
      </w:r>
      <w:r w:rsidR="00980A79">
        <w:rPr>
          <w:rStyle w:val="af5"/>
          <w:szCs w:val="24"/>
        </w:rPr>
        <w:footnoteReference w:id="104"/>
      </w:r>
      <w:r w:rsidR="003A6DD6">
        <w:rPr>
          <w:szCs w:val="24"/>
        </w:rPr>
        <w:t xml:space="preserve">. Всю </w:t>
      </w:r>
      <w:r w:rsidR="003A6DD6">
        <w:rPr>
          <w:szCs w:val="24"/>
        </w:rPr>
        <w:lastRenderedPageBreak/>
        <w:t>серьезность ситуации отражает статья Генри Киссинджера под названием «Пандемия коронавируса навсегда изменит мировой порядок»</w:t>
      </w:r>
      <w:r w:rsidR="00100210" w:rsidRPr="00100210">
        <w:rPr>
          <w:szCs w:val="24"/>
        </w:rPr>
        <w:t xml:space="preserve"> </w:t>
      </w:r>
      <w:r w:rsidR="00980A79">
        <w:rPr>
          <w:rStyle w:val="af5"/>
          <w:szCs w:val="24"/>
        </w:rPr>
        <w:footnoteReference w:id="105"/>
      </w:r>
      <w:r w:rsidR="003A6DD6">
        <w:rPr>
          <w:szCs w:val="24"/>
        </w:rPr>
        <w:t xml:space="preserve">. Таким образом, первым глобальным фактором, который окажет влияние на развитие российско-германских отношений – кризис либерально демократических ценностей и </w:t>
      </w:r>
      <w:r w:rsidR="005C507F">
        <w:rPr>
          <w:szCs w:val="24"/>
        </w:rPr>
        <w:t>популяризация консервативных идей.</w:t>
      </w:r>
    </w:p>
    <w:p w14:paraId="5E809932" w14:textId="78933D59" w:rsidR="009816F9" w:rsidRDefault="00980A79" w:rsidP="00980A79">
      <w:pPr>
        <w:ind w:firstLine="708"/>
        <w:rPr>
          <w:szCs w:val="24"/>
        </w:rPr>
      </w:pPr>
      <w:r w:rsidRPr="00980A79">
        <w:rPr>
          <w:szCs w:val="24"/>
        </w:rPr>
        <w:t>Вторым фактором, который окажет прямое воздействие на торгово-экономическое сотрудничество России и Германии</w:t>
      </w:r>
      <w:r>
        <w:rPr>
          <w:szCs w:val="24"/>
        </w:rPr>
        <w:t xml:space="preserve">, </w:t>
      </w:r>
      <w:r w:rsidRPr="00980A79">
        <w:rPr>
          <w:szCs w:val="24"/>
        </w:rPr>
        <w:t xml:space="preserve">является </w:t>
      </w:r>
      <w:r w:rsidRPr="00980A79">
        <w:rPr>
          <w:i/>
          <w:iCs/>
          <w:szCs w:val="24"/>
        </w:rPr>
        <w:t>с</w:t>
      </w:r>
      <w:r w:rsidR="00842594" w:rsidRPr="00980A79">
        <w:rPr>
          <w:i/>
          <w:iCs/>
          <w:szCs w:val="24"/>
        </w:rPr>
        <w:t>пад мировой экономики и начало нового экономического кризиса</w:t>
      </w:r>
      <w:r w:rsidRPr="00980A79">
        <w:rPr>
          <w:szCs w:val="24"/>
        </w:rPr>
        <w:t>.</w:t>
      </w:r>
      <w:r>
        <w:rPr>
          <w:szCs w:val="24"/>
        </w:rPr>
        <w:t xml:space="preserve"> Следствием</w:t>
      </w:r>
      <w:r w:rsidR="00BE3305">
        <w:rPr>
          <w:szCs w:val="24"/>
        </w:rPr>
        <w:t xml:space="preserve"> </w:t>
      </w:r>
      <w:r w:rsidR="006F6AB4">
        <w:rPr>
          <w:szCs w:val="24"/>
        </w:rPr>
        <w:t xml:space="preserve">мер, принимаемых государствами для ограничения </w:t>
      </w:r>
      <w:r w:rsidR="00BE3305">
        <w:rPr>
          <w:szCs w:val="24"/>
        </w:rPr>
        <w:t>распространение коронавируса</w:t>
      </w:r>
      <w:r w:rsidR="006F6AB4">
        <w:rPr>
          <w:szCs w:val="24"/>
        </w:rPr>
        <w:t xml:space="preserve">, стало стремительно сокращение экономической активности население, а следовательно, переход национальных экономик из стадии роста в стадию рецессии. </w:t>
      </w:r>
      <w:r w:rsidR="00502BB1">
        <w:rPr>
          <w:szCs w:val="24"/>
        </w:rPr>
        <w:t>В</w:t>
      </w:r>
      <w:r w:rsidR="006F6AB4">
        <w:rPr>
          <w:szCs w:val="24"/>
        </w:rPr>
        <w:t>ыпушенн</w:t>
      </w:r>
      <w:r w:rsidR="00502BB1">
        <w:rPr>
          <w:szCs w:val="24"/>
        </w:rPr>
        <w:t>ый</w:t>
      </w:r>
      <w:r w:rsidR="006F6AB4">
        <w:rPr>
          <w:szCs w:val="24"/>
        </w:rPr>
        <w:t xml:space="preserve"> Международным валютным фондом прогноз</w:t>
      </w:r>
      <w:r w:rsidR="00502BB1">
        <w:rPr>
          <w:szCs w:val="24"/>
        </w:rPr>
        <w:t xml:space="preserve"> развития </w:t>
      </w:r>
      <w:r w:rsidR="006F6AB4">
        <w:rPr>
          <w:szCs w:val="24"/>
        </w:rPr>
        <w:t xml:space="preserve">мировой экономики на 2020 год </w:t>
      </w:r>
      <w:r w:rsidR="00502BB1">
        <w:rPr>
          <w:szCs w:val="24"/>
        </w:rPr>
        <w:t>сообщает</w:t>
      </w:r>
      <w:r w:rsidR="009816F9">
        <w:rPr>
          <w:szCs w:val="24"/>
        </w:rPr>
        <w:t>:</w:t>
      </w:r>
    </w:p>
    <w:p w14:paraId="1B185967" w14:textId="070748EE" w:rsidR="009816F9" w:rsidRDefault="009816F9" w:rsidP="009816F9">
      <w:pPr>
        <w:pStyle w:val="a7"/>
        <w:numPr>
          <w:ilvl w:val="0"/>
          <w:numId w:val="17"/>
        </w:numPr>
        <w:rPr>
          <w:szCs w:val="24"/>
        </w:rPr>
      </w:pPr>
      <w:r>
        <w:rPr>
          <w:szCs w:val="24"/>
        </w:rPr>
        <w:t>В</w:t>
      </w:r>
      <w:r w:rsidR="00502BB1" w:rsidRPr="009816F9">
        <w:rPr>
          <w:szCs w:val="24"/>
        </w:rPr>
        <w:t xml:space="preserve"> базовом сценарии мировой валовый внутренний продукт (далее, ВВП) снизится на 3% - наибольший спад со времен великой депрессии, однако уже в 2021 году прогнозируется восстановление с темпом роста 5,8%. Согласно этому же прогнозу, ВВП Германии снизится в 2020 году на 7%, а России – на 5,5%.</w:t>
      </w:r>
    </w:p>
    <w:p w14:paraId="1A2D72C9" w14:textId="5480A5F3" w:rsidR="009816F9" w:rsidRDefault="009816F9" w:rsidP="009816F9">
      <w:pPr>
        <w:pStyle w:val="a7"/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Объем мировой торговли (товары и услуги) сократится в 2020 году на 11%, при этом экспорт из развивающихся государств сократится на 9,6%, а импорт развитыми странами </w:t>
      </w:r>
      <w:r w:rsidR="00B1633A">
        <w:rPr>
          <w:szCs w:val="24"/>
        </w:rPr>
        <w:t>–</w:t>
      </w:r>
      <w:r>
        <w:rPr>
          <w:szCs w:val="24"/>
        </w:rPr>
        <w:t xml:space="preserve"> </w:t>
      </w:r>
      <w:r w:rsidR="00B1633A">
        <w:rPr>
          <w:szCs w:val="24"/>
        </w:rPr>
        <w:t xml:space="preserve">на 11,5% (пример, Россия – Германия). </w:t>
      </w:r>
    </w:p>
    <w:p w14:paraId="666B3E08" w14:textId="5D99FCA0" w:rsidR="00B1633A" w:rsidRDefault="00B1633A" w:rsidP="009816F9">
      <w:pPr>
        <w:pStyle w:val="a7"/>
        <w:numPr>
          <w:ilvl w:val="0"/>
          <w:numId w:val="17"/>
        </w:numPr>
        <w:rPr>
          <w:szCs w:val="24"/>
        </w:rPr>
      </w:pPr>
      <w:r>
        <w:rPr>
          <w:szCs w:val="24"/>
        </w:rPr>
        <w:t>Основываясь на рынке фьючерсов, среднегодовая цена на нефть</w:t>
      </w:r>
      <w:r w:rsidR="00980A79">
        <w:rPr>
          <w:szCs w:val="24"/>
        </w:rPr>
        <w:t xml:space="preserve"> </w:t>
      </w:r>
      <w:r>
        <w:rPr>
          <w:rStyle w:val="af5"/>
          <w:szCs w:val="24"/>
        </w:rPr>
        <w:footnoteReference w:id="106"/>
      </w:r>
      <w:r>
        <w:rPr>
          <w:szCs w:val="24"/>
        </w:rPr>
        <w:t xml:space="preserve"> в 2020 и 2021 гг. составят 35,61 и 37,87 долл. США за баррель соответственно</w:t>
      </w:r>
      <w:r w:rsidR="00980A79">
        <w:rPr>
          <w:szCs w:val="24"/>
        </w:rPr>
        <w:t xml:space="preserve"> </w:t>
      </w:r>
      <w:r w:rsidR="00980A79">
        <w:rPr>
          <w:rStyle w:val="af5"/>
          <w:szCs w:val="24"/>
        </w:rPr>
        <w:footnoteReference w:id="107"/>
      </w:r>
      <w:r>
        <w:rPr>
          <w:szCs w:val="24"/>
        </w:rPr>
        <w:t xml:space="preserve">. </w:t>
      </w:r>
    </w:p>
    <w:p w14:paraId="0F8F8A84" w14:textId="50037BD7" w:rsidR="00842594" w:rsidRPr="00B407AC" w:rsidRDefault="00B407AC" w:rsidP="00B407AC">
      <w:pPr>
        <w:ind w:firstLine="708"/>
        <w:rPr>
          <w:szCs w:val="24"/>
        </w:rPr>
      </w:pPr>
      <w:r w:rsidRPr="00B407AC">
        <w:rPr>
          <w:szCs w:val="24"/>
        </w:rPr>
        <w:t>Так как</w:t>
      </w:r>
      <w:r w:rsidR="00980A79" w:rsidRPr="00B407AC">
        <w:rPr>
          <w:szCs w:val="24"/>
        </w:rPr>
        <w:t xml:space="preserve"> </w:t>
      </w:r>
      <w:r w:rsidRPr="00B407AC">
        <w:rPr>
          <w:szCs w:val="24"/>
        </w:rPr>
        <w:t>в основе</w:t>
      </w:r>
      <w:r w:rsidR="00980A79" w:rsidRPr="00B407AC">
        <w:rPr>
          <w:szCs w:val="24"/>
        </w:rPr>
        <w:t xml:space="preserve"> российско-</w:t>
      </w:r>
      <w:r w:rsidRPr="00B407AC">
        <w:rPr>
          <w:szCs w:val="24"/>
        </w:rPr>
        <w:t>германских торгово-экономических отношений сегодня</w:t>
      </w:r>
      <w:r w:rsidR="00980A79" w:rsidRPr="00B407AC">
        <w:rPr>
          <w:szCs w:val="24"/>
        </w:rPr>
        <w:t xml:space="preserve"> </w:t>
      </w:r>
      <w:r>
        <w:rPr>
          <w:szCs w:val="24"/>
        </w:rPr>
        <w:t>лежит</w:t>
      </w:r>
      <w:r w:rsidR="00980A79" w:rsidRPr="00B407AC">
        <w:rPr>
          <w:szCs w:val="24"/>
        </w:rPr>
        <w:t xml:space="preserve"> нефтегазов</w:t>
      </w:r>
      <w:r w:rsidRPr="00B407AC">
        <w:rPr>
          <w:szCs w:val="24"/>
        </w:rPr>
        <w:t>ый аспект</w:t>
      </w:r>
      <w:r w:rsidR="00980A79" w:rsidRPr="00B407AC">
        <w:rPr>
          <w:szCs w:val="24"/>
        </w:rPr>
        <w:t xml:space="preserve">, </w:t>
      </w:r>
      <w:r>
        <w:rPr>
          <w:szCs w:val="24"/>
        </w:rPr>
        <w:t xml:space="preserve">то </w:t>
      </w:r>
      <w:r w:rsidR="00980A79" w:rsidRPr="00B407AC">
        <w:rPr>
          <w:i/>
          <w:iCs/>
          <w:szCs w:val="24"/>
        </w:rPr>
        <w:t>п</w:t>
      </w:r>
      <w:r w:rsidR="007A2A05" w:rsidRPr="00B407AC">
        <w:rPr>
          <w:i/>
          <w:iCs/>
          <w:szCs w:val="24"/>
        </w:rPr>
        <w:t>адение цен нефть</w:t>
      </w:r>
      <w:r w:rsidR="00980A79" w:rsidRPr="00B407AC">
        <w:rPr>
          <w:szCs w:val="24"/>
        </w:rPr>
        <w:t xml:space="preserve">, а </w:t>
      </w:r>
      <w:r w:rsidRPr="00B407AC">
        <w:rPr>
          <w:szCs w:val="24"/>
        </w:rPr>
        <w:t>следовательно</w:t>
      </w:r>
      <w:r w:rsidR="00980A79" w:rsidRPr="00B407AC">
        <w:rPr>
          <w:szCs w:val="24"/>
        </w:rPr>
        <w:t xml:space="preserve"> – и на газ</w:t>
      </w:r>
      <w:r>
        <w:rPr>
          <w:szCs w:val="24"/>
        </w:rPr>
        <w:t xml:space="preserve">, является третьим фундаментальным фактором, который </w:t>
      </w:r>
      <w:r w:rsidR="00980A79" w:rsidRPr="00B407AC">
        <w:rPr>
          <w:szCs w:val="24"/>
        </w:rPr>
        <w:t>окажет прямое воздействие на</w:t>
      </w:r>
      <w:r w:rsidRPr="00B407AC">
        <w:rPr>
          <w:szCs w:val="24"/>
        </w:rPr>
        <w:t xml:space="preserve"> качество двусторонних отношений. </w:t>
      </w:r>
    </w:p>
    <w:p w14:paraId="71256522" w14:textId="767C692F" w:rsidR="00B639BA" w:rsidRDefault="00EF1644" w:rsidP="00B407AC">
      <w:pPr>
        <w:ind w:firstLine="708"/>
        <w:rPr>
          <w:szCs w:val="24"/>
        </w:rPr>
      </w:pPr>
      <w:r>
        <w:rPr>
          <w:szCs w:val="24"/>
        </w:rPr>
        <w:t xml:space="preserve">Сокращение экономической активности бизнеса и населения привело к </w:t>
      </w:r>
      <w:r w:rsidR="00037D9B">
        <w:rPr>
          <w:szCs w:val="24"/>
        </w:rPr>
        <w:t>фактической остановке деятельност</w:t>
      </w:r>
      <w:r w:rsidR="00B407AC">
        <w:rPr>
          <w:szCs w:val="24"/>
        </w:rPr>
        <w:t xml:space="preserve">и </w:t>
      </w:r>
      <w:r w:rsidR="00037D9B">
        <w:rPr>
          <w:szCs w:val="24"/>
        </w:rPr>
        <w:t xml:space="preserve">воздушного и автомобильного транспорта </w:t>
      </w:r>
      <w:proofErr w:type="gramStart"/>
      <w:r w:rsidR="00037D9B">
        <w:rPr>
          <w:szCs w:val="24"/>
        </w:rPr>
        <w:t>–  главных</w:t>
      </w:r>
      <w:proofErr w:type="gramEnd"/>
      <w:r w:rsidR="00037D9B">
        <w:rPr>
          <w:szCs w:val="24"/>
        </w:rPr>
        <w:t xml:space="preserve"> потребителей нефти на сегодняшний день, что привело к колоссальному переизбытку предложения нефти </w:t>
      </w:r>
      <w:r w:rsidR="00037D9B">
        <w:rPr>
          <w:szCs w:val="24"/>
        </w:rPr>
        <w:lastRenderedPageBreak/>
        <w:t xml:space="preserve">на рынке и резкому снижению её цены. Помимо этого, ситуация радикально усугубилась в момент, когда 6 марта государства-участники формата ОПЕК+ не сумели договориться о снижении объема добычи нефти. С российской стороны данное решение объяснялось, по словам Игоря </w:t>
      </w:r>
      <w:proofErr w:type="spellStart"/>
      <w:r w:rsidR="00037D9B">
        <w:rPr>
          <w:szCs w:val="24"/>
        </w:rPr>
        <w:t>Сечина</w:t>
      </w:r>
      <w:proofErr w:type="spellEnd"/>
      <w:r w:rsidR="00037D9B">
        <w:rPr>
          <w:szCs w:val="24"/>
        </w:rPr>
        <w:t>, нежеланием терять долю на рынке</w:t>
      </w:r>
      <w:r w:rsidR="00B407AC">
        <w:rPr>
          <w:szCs w:val="24"/>
        </w:rPr>
        <w:t xml:space="preserve"> </w:t>
      </w:r>
      <w:r w:rsidR="00B407AC">
        <w:rPr>
          <w:rStyle w:val="af5"/>
          <w:szCs w:val="24"/>
        </w:rPr>
        <w:footnoteReference w:id="108"/>
      </w:r>
      <w:r w:rsidR="00037D9B">
        <w:rPr>
          <w:szCs w:val="24"/>
        </w:rPr>
        <w:t xml:space="preserve">. Последствия подобного провала не заставили себя долго ждать: уже 9-го марта (в понедельник) после открытия биржи цена на нефть марки </w:t>
      </w:r>
      <w:r w:rsidR="00037D9B">
        <w:rPr>
          <w:szCs w:val="24"/>
          <w:lang w:val="de-DE"/>
        </w:rPr>
        <w:t>Brent</w:t>
      </w:r>
      <w:r w:rsidR="00037D9B" w:rsidRPr="00037D9B">
        <w:rPr>
          <w:szCs w:val="24"/>
        </w:rPr>
        <w:t xml:space="preserve"> </w:t>
      </w:r>
      <w:r w:rsidR="00037D9B">
        <w:rPr>
          <w:szCs w:val="24"/>
        </w:rPr>
        <w:t>обвалилась на 35% и составила 33,5 долл. США за баррель</w:t>
      </w:r>
      <w:r w:rsidR="001E4640">
        <w:rPr>
          <w:szCs w:val="24"/>
        </w:rPr>
        <w:t xml:space="preserve">. </w:t>
      </w:r>
      <w:r w:rsidR="002B16CB">
        <w:rPr>
          <w:szCs w:val="24"/>
        </w:rPr>
        <w:t>Безусловно</w:t>
      </w:r>
      <w:r w:rsidR="00F17D8F">
        <w:rPr>
          <w:szCs w:val="24"/>
        </w:rPr>
        <w:t>, столь низкие цены на нефть не соответствуют интересам государств-экспортеров. Для России нефтегазовые доходы обеспечивают 50% бюджетных поступлений. Для США – низкие цены ведут к нерентабельности добычи, так как сланцевая нефть может добываться при цене 50-60 долл. США за баррель. Через месяц 12 апреля страны ОПЕК+ заключили соглашение о сокращении добычи нефти сроком на 2 года в объеме 9,7 млн. баррелей в день, из которых на долю России приходится 2,5 млн. баррелей в сутки</w:t>
      </w:r>
      <w:r w:rsidR="00C8118E">
        <w:rPr>
          <w:rStyle w:val="af5"/>
          <w:szCs w:val="24"/>
        </w:rPr>
        <w:footnoteReference w:id="109"/>
      </w:r>
      <w:r w:rsidR="00F17D8F">
        <w:rPr>
          <w:szCs w:val="24"/>
        </w:rPr>
        <w:t>.</w:t>
      </w:r>
      <w:r w:rsidR="008E1653">
        <w:rPr>
          <w:szCs w:val="24"/>
        </w:rPr>
        <w:t xml:space="preserve"> Данное соглашение было необходимым и выгодным для всех в сегодняшних условиях, когда предложение на рынке нефти превышает спрос на 20 млн. баррелей. Однако, </w:t>
      </w:r>
      <w:r w:rsidR="001E4640">
        <w:rPr>
          <w:szCs w:val="24"/>
        </w:rPr>
        <w:t>даже столь резкое сокращение добыч</w:t>
      </w:r>
      <w:r w:rsidR="00D56F95">
        <w:rPr>
          <w:szCs w:val="24"/>
        </w:rPr>
        <w:t>и</w:t>
      </w:r>
      <w:r w:rsidR="001E4640">
        <w:rPr>
          <w:szCs w:val="24"/>
        </w:rPr>
        <w:t xml:space="preserve"> нефти не смогло исправить дисбалансы на рынке энергоресурсов: майские фьючерсы на нефть марки </w:t>
      </w:r>
      <w:r w:rsidR="001E4640">
        <w:rPr>
          <w:szCs w:val="24"/>
          <w:lang w:val="en-US"/>
        </w:rPr>
        <w:t>WTI</w:t>
      </w:r>
      <w:r w:rsidR="001E4640">
        <w:rPr>
          <w:szCs w:val="24"/>
        </w:rPr>
        <w:t xml:space="preserve"> имели отрицательную цену -40 долл. США за баррель – избыточные объемы нефти негде хранить и производителям приходилось доплачивать за использование нефтехранилищ</w:t>
      </w:r>
      <w:r w:rsidR="00C8118E">
        <w:rPr>
          <w:szCs w:val="24"/>
        </w:rPr>
        <w:t xml:space="preserve"> </w:t>
      </w:r>
      <w:r w:rsidR="00C8118E">
        <w:rPr>
          <w:rStyle w:val="af5"/>
          <w:szCs w:val="24"/>
        </w:rPr>
        <w:footnoteReference w:id="110"/>
      </w:r>
      <w:r w:rsidR="001E4640">
        <w:rPr>
          <w:szCs w:val="24"/>
        </w:rPr>
        <w:t xml:space="preserve">. Несмотря на то, что к российской марке </w:t>
      </w:r>
      <w:r w:rsidR="001E4640">
        <w:rPr>
          <w:szCs w:val="24"/>
          <w:lang w:val="de-DE"/>
        </w:rPr>
        <w:t>Urals</w:t>
      </w:r>
      <w:r w:rsidR="001E4640" w:rsidRPr="001E4640">
        <w:rPr>
          <w:szCs w:val="24"/>
        </w:rPr>
        <w:t xml:space="preserve"> </w:t>
      </w:r>
      <w:r w:rsidR="001E4640">
        <w:rPr>
          <w:szCs w:val="24"/>
        </w:rPr>
        <w:t xml:space="preserve">данный инцидент имеет весьма отдаленное отношение, сама по себе ситуация достаточно показательна. </w:t>
      </w:r>
    </w:p>
    <w:p w14:paraId="1CF50FED" w14:textId="319026FF" w:rsidR="005F56F0" w:rsidRDefault="001E4640" w:rsidP="00BF65F8">
      <w:pPr>
        <w:ind w:firstLine="708"/>
        <w:rPr>
          <w:szCs w:val="24"/>
        </w:rPr>
      </w:pPr>
      <w:r>
        <w:rPr>
          <w:szCs w:val="24"/>
        </w:rPr>
        <w:t xml:space="preserve">Ключевой проблемой для России в этом вопросе является </w:t>
      </w:r>
      <w:r w:rsidR="008E1601">
        <w:rPr>
          <w:szCs w:val="24"/>
        </w:rPr>
        <w:t xml:space="preserve">не только сокращение бюджетных доходов, но и </w:t>
      </w:r>
      <w:r>
        <w:rPr>
          <w:szCs w:val="24"/>
        </w:rPr>
        <w:t xml:space="preserve">девальвация рубля, курс которого имеет </w:t>
      </w:r>
      <w:r w:rsidRPr="001E4640">
        <w:rPr>
          <w:szCs w:val="24"/>
        </w:rPr>
        <w:t xml:space="preserve">обратную корреляцию к цене на нефть, </w:t>
      </w:r>
      <w:r>
        <w:rPr>
          <w:szCs w:val="24"/>
        </w:rPr>
        <w:t>и снизился по</w:t>
      </w:r>
      <w:r w:rsidRPr="001E4640">
        <w:rPr>
          <w:szCs w:val="24"/>
        </w:rPr>
        <w:t xml:space="preserve"> отношению к доллару </w:t>
      </w:r>
      <w:r>
        <w:rPr>
          <w:szCs w:val="24"/>
        </w:rPr>
        <w:t>до</w:t>
      </w:r>
      <w:r w:rsidRPr="001E4640">
        <w:rPr>
          <w:szCs w:val="24"/>
        </w:rPr>
        <w:t xml:space="preserve"> 75 рублей</w:t>
      </w:r>
      <w:r>
        <w:rPr>
          <w:szCs w:val="24"/>
        </w:rPr>
        <w:t xml:space="preserve">. Снижение обменного курса будет способствовать росту инфляции и снижению реально располагаемых доходов населения, что в свою очередь приведет к снижению потреблению и еще большему сокращению импорта. Более того, российский бюджет на 2018-2020 гг. балансировался при цене на нефть в 40 долл. США, а при более низких ценах возникает дефицит бюджета и риск невыполнения государством своих социальных обязательств. Помимо снижения нефтегазовых доходов от экспорта, российское правительство ввело налоговые послабления и увеличило социальные расходы, что вместе с </w:t>
      </w:r>
      <w:r w:rsidR="00B639BA">
        <w:rPr>
          <w:szCs w:val="24"/>
        </w:rPr>
        <w:t xml:space="preserve">низкими ценами на сырье </w:t>
      </w:r>
      <w:r w:rsidR="00B639BA">
        <w:rPr>
          <w:szCs w:val="24"/>
        </w:rPr>
        <w:lastRenderedPageBreak/>
        <w:t xml:space="preserve">создает высокую бюджетную нагрузку, которая пока что нивелируется за счет использования средств фонда национального благосостояния (далее, ФНБ). </w:t>
      </w:r>
    </w:p>
    <w:p w14:paraId="42FF6917" w14:textId="02996E73" w:rsidR="00B639BA" w:rsidRDefault="00B639BA" w:rsidP="00BF65F8">
      <w:pPr>
        <w:ind w:firstLine="708"/>
        <w:rPr>
          <w:szCs w:val="24"/>
        </w:rPr>
      </w:pPr>
      <w:r>
        <w:rPr>
          <w:szCs w:val="24"/>
        </w:rPr>
        <w:t xml:space="preserve">На данный момент до конца не очевидно, как долго продлится текущий кризис и перерастет ли он в депрессию. Однако, по мнению ряда экспертов, подобного нефтяного суперцикла как в 2000-е годы и отчасти в 2010-2012 уже не будет. Среднегодовая цена нефти </w:t>
      </w:r>
      <w:r>
        <w:rPr>
          <w:szCs w:val="24"/>
          <w:lang w:val="de-DE"/>
        </w:rPr>
        <w:t>Urals</w:t>
      </w:r>
      <w:r w:rsidRPr="00B639BA">
        <w:rPr>
          <w:szCs w:val="24"/>
        </w:rPr>
        <w:t xml:space="preserve"> </w:t>
      </w:r>
      <w:r>
        <w:rPr>
          <w:szCs w:val="24"/>
        </w:rPr>
        <w:t xml:space="preserve">по прогнозу </w:t>
      </w:r>
      <w:r w:rsidRPr="00B639BA">
        <w:rPr>
          <w:szCs w:val="24"/>
        </w:rPr>
        <w:t>Национально</w:t>
      </w:r>
      <w:r>
        <w:rPr>
          <w:szCs w:val="24"/>
        </w:rPr>
        <w:t>го</w:t>
      </w:r>
      <w:r w:rsidRPr="00B639BA">
        <w:rPr>
          <w:szCs w:val="24"/>
        </w:rPr>
        <w:t xml:space="preserve"> </w:t>
      </w:r>
      <w:r>
        <w:rPr>
          <w:szCs w:val="24"/>
        </w:rPr>
        <w:t>а</w:t>
      </w:r>
      <w:r w:rsidRPr="00B639BA">
        <w:rPr>
          <w:szCs w:val="24"/>
        </w:rPr>
        <w:t>налитическо</w:t>
      </w:r>
      <w:r>
        <w:rPr>
          <w:szCs w:val="24"/>
        </w:rPr>
        <w:t>го</w:t>
      </w:r>
      <w:r w:rsidRPr="00B639BA">
        <w:rPr>
          <w:szCs w:val="24"/>
        </w:rPr>
        <w:t xml:space="preserve"> кредитно</w:t>
      </w:r>
      <w:r>
        <w:rPr>
          <w:szCs w:val="24"/>
        </w:rPr>
        <w:t>го</w:t>
      </w:r>
      <w:r w:rsidRPr="00B639BA">
        <w:rPr>
          <w:szCs w:val="24"/>
        </w:rPr>
        <w:t xml:space="preserve"> рейтингово</w:t>
      </w:r>
      <w:r>
        <w:rPr>
          <w:szCs w:val="24"/>
        </w:rPr>
        <w:t>го</w:t>
      </w:r>
      <w:r w:rsidRPr="00B639BA">
        <w:rPr>
          <w:szCs w:val="24"/>
        </w:rPr>
        <w:t xml:space="preserve"> агентств</w:t>
      </w:r>
      <w:r>
        <w:rPr>
          <w:szCs w:val="24"/>
        </w:rPr>
        <w:t>а АКРА в 2022 году будет на уровне 45 долл. США, а в 2023-2034 гг. – 60-65 долл. США за баррель</w:t>
      </w:r>
      <w:r w:rsidR="00044C0D">
        <w:rPr>
          <w:szCs w:val="24"/>
        </w:rPr>
        <w:t xml:space="preserve"> </w:t>
      </w:r>
      <w:r w:rsidR="00044C0D">
        <w:rPr>
          <w:rStyle w:val="af5"/>
          <w:szCs w:val="24"/>
        </w:rPr>
        <w:footnoteReference w:id="111"/>
      </w:r>
      <w:r>
        <w:rPr>
          <w:szCs w:val="24"/>
        </w:rPr>
        <w:t>. Данные цены являются комфортными для бюджета, однако, как описывалось ранее во второй главе, они являются недостаточными для стимулирования притока иностранных инвестиций.</w:t>
      </w:r>
      <w:r w:rsidR="00044C0D">
        <w:rPr>
          <w:szCs w:val="24"/>
        </w:rPr>
        <w:t xml:space="preserve"> Правдоподобность подобного сценария подтвердил и профессор СПбГУ – С. Л. Ткаченко. По его словам, период высоких цен на нефть прошел, однако, в этом видится и ценность – необходимость проведения значимых структурных реформ. Помимо этого, эксперт отметил, что в условиях внешних ограничений закономерным является стимулирование спроса внутри страны </w:t>
      </w:r>
      <w:r w:rsidR="00044C0D">
        <w:rPr>
          <w:rStyle w:val="af5"/>
          <w:szCs w:val="24"/>
        </w:rPr>
        <w:footnoteReference w:id="112"/>
      </w:r>
      <w:r w:rsidR="00044C0D">
        <w:rPr>
          <w:szCs w:val="24"/>
        </w:rPr>
        <w:t xml:space="preserve">. Иначе говоря – переход от опоры на иностранные инвестиции к внутренним рублевым инвестициям. </w:t>
      </w:r>
    </w:p>
    <w:p w14:paraId="531F5AD8" w14:textId="3C68E727" w:rsidR="00D72C7E" w:rsidRDefault="00E92D81" w:rsidP="00D72C7E">
      <w:pPr>
        <w:ind w:firstLine="708"/>
        <w:rPr>
          <w:szCs w:val="24"/>
        </w:rPr>
      </w:pPr>
      <w:r>
        <w:rPr>
          <w:szCs w:val="24"/>
        </w:rPr>
        <w:t>В качестве четвертого фактора необходимо выделить с</w:t>
      </w:r>
      <w:r w:rsidRPr="00E92D81">
        <w:rPr>
          <w:i/>
          <w:iCs/>
          <w:szCs w:val="24"/>
        </w:rPr>
        <w:t>мену тренда с глобализации на локализацию</w:t>
      </w:r>
      <w:r>
        <w:rPr>
          <w:szCs w:val="24"/>
        </w:rPr>
        <w:t xml:space="preserve">. </w:t>
      </w:r>
      <w:r w:rsidR="00842594">
        <w:rPr>
          <w:szCs w:val="24"/>
        </w:rPr>
        <w:t xml:space="preserve">Дискурс вокруг борьбы с коронавирусом и попыток стабилизировать рынок нефти оставил почти незамеченными разговоры экспертов о титанических сдвигах в принципах функционирования мировой экономики. До недавнего времени, мировая экономика зиждилась </w:t>
      </w:r>
      <w:r w:rsidR="00E63D95">
        <w:rPr>
          <w:szCs w:val="24"/>
        </w:rPr>
        <w:t xml:space="preserve">на </w:t>
      </w:r>
      <w:r w:rsidR="00D72C7E">
        <w:rPr>
          <w:szCs w:val="24"/>
        </w:rPr>
        <w:t xml:space="preserve">принципе, что </w:t>
      </w:r>
      <w:r w:rsidR="00842594">
        <w:rPr>
          <w:szCs w:val="24"/>
        </w:rPr>
        <w:t>мировая торговля, интеграция стран в мировую экономику и международное разделение труда явля</w:t>
      </w:r>
      <w:r w:rsidR="00D72C7E">
        <w:rPr>
          <w:szCs w:val="24"/>
        </w:rPr>
        <w:t>ю</w:t>
      </w:r>
      <w:r w:rsidR="00842594">
        <w:rPr>
          <w:szCs w:val="24"/>
        </w:rPr>
        <w:t xml:space="preserve">тся неотъемлемой частью </w:t>
      </w:r>
      <w:r w:rsidR="00332FB5">
        <w:rPr>
          <w:szCs w:val="24"/>
        </w:rPr>
        <w:t>развития мира в целом и каждой страны в частности – концепция</w:t>
      </w:r>
      <w:r w:rsidR="00D72C7E">
        <w:rPr>
          <w:szCs w:val="24"/>
        </w:rPr>
        <w:t xml:space="preserve">, </w:t>
      </w:r>
      <w:r w:rsidR="00332FB5">
        <w:rPr>
          <w:szCs w:val="24"/>
        </w:rPr>
        <w:t xml:space="preserve">которая берет свои истоки из идеи экономического </w:t>
      </w:r>
      <w:r w:rsidR="00D72C7E">
        <w:rPr>
          <w:szCs w:val="24"/>
        </w:rPr>
        <w:t>нео</w:t>
      </w:r>
      <w:r w:rsidR="00332FB5">
        <w:rPr>
          <w:szCs w:val="24"/>
        </w:rPr>
        <w:t xml:space="preserve">либерализма. </w:t>
      </w:r>
    </w:p>
    <w:p w14:paraId="0BB2B69A" w14:textId="73CA2CF7" w:rsidR="008F694F" w:rsidRDefault="00D72C7E" w:rsidP="008F694F">
      <w:pPr>
        <w:ind w:firstLine="708"/>
        <w:rPr>
          <w:szCs w:val="24"/>
        </w:rPr>
      </w:pPr>
      <w:r>
        <w:rPr>
          <w:szCs w:val="24"/>
        </w:rPr>
        <w:t xml:space="preserve">Экономический кризис, начавшийся в 2020 году из-за пандемии </w:t>
      </w:r>
      <w:r w:rsidR="005A1ABC">
        <w:rPr>
          <w:szCs w:val="24"/>
        </w:rPr>
        <w:t xml:space="preserve">коронавируса, стал спусковым крючком для ускоренного формирования новых экономических тенденций – на смену глобальным цепочкам добавленной стоимости приходит локализация производства. Российский экономист Владислав Иноземцев </w:t>
      </w:r>
      <w:r w:rsidR="00047745">
        <w:rPr>
          <w:szCs w:val="24"/>
        </w:rPr>
        <w:t>считает, что выявленная в ходе пандемии зависимость развитых стран от развивающихся (</w:t>
      </w:r>
      <w:r w:rsidR="008E1601">
        <w:rPr>
          <w:szCs w:val="24"/>
        </w:rPr>
        <w:t xml:space="preserve">например, </w:t>
      </w:r>
      <w:r w:rsidR="00047745">
        <w:rPr>
          <w:szCs w:val="24"/>
        </w:rPr>
        <w:t xml:space="preserve">30% масок и защитных средств </w:t>
      </w:r>
      <w:r w:rsidR="008E1601">
        <w:rPr>
          <w:szCs w:val="24"/>
        </w:rPr>
        <w:t xml:space="preserve">продаваемых </w:t>
      </w:r>
      <w:r w:rsidR="00047745">
        <w:rPr>
          <w:szCs w:val="24"/>
        </w:rPr>
        <w:t xml:space="preserve">в США производятся в Китае), будет способствовать локализации </w:t>
      </w:r>
      <w:r w:rsidR="008E1601">
        <w:rPr>
          <w:szCs w:val="24"/>
        </w:rPr>
        <w:t xml:space="preserve">системно </w:t>
      </w:r>
      <w:r w:rsidR="00047745">
        <w:rPr>
          <w:szCs w:val="24"/>
        </w:rPr>
        <w:lastRenderedPageBreak/>
        <w:t xml:space="preserve">значимых товаров, а упор будет делаться не на снижение издержек и более низкую стоимость, а </w:t>
      </w:r>
      <w:r w:rsidR="008E1601">
        <w:rPr>
          <w:szCs w:val="24"/>
        </w:rPr>
        <w:t xml:space="preserve">на </w:t>
      </w:r>
      <w:r w:rsidR="00047745">
        <w:rPr>
          <w:szCs w:val="24"/>
        </w:rPr>
        <w:t>безопасность и надежность через создание самодостаточного ядра экономики.</w:t>
      </w:r>
      <w:r w:rsidR="00047745" w:rsidRPr="00047745">
        <w:rPr>
          <w:szCs w:val="24"/>
        </w:rPr>
        <w:t xml:space="preserve"> </w:t>
      </w:r>
      <w:r w:rsidR="00047745">
        <w:rPr>
          <w:szCs w:val="24"/>
        </w:rPr>
        <w:t xml:space="preserve">Согласно его прогнозу, подобный переход к локализации производства нанесет значительный ущерб азиатским </w:t>
      </w:r>
      <w:proofErr w:type="spellStart"/>
      <w:r w:rsidR="00047745">
        <w:rPr>
          <w:szCs w:val="24"/>
        </w:rPr>
        <w:t>экспортоориентированным</w:t>
      </w:r>
      <w:proofErr w:type="spellEnd"/>
      <w:r w:rsidR="00047745">
        <w:rPr>
          <w:szCs w:val="24"/>
        </w:rPr>
        <w:t xml:space="preserve"> странам, и их доля снизится с текущих 32% до 25-27% к 2030 году</w:t>
      </w:r>
      <w:r w:rsidR="000F4047">
        <w:rPr>
          <w:szCs w:val="24"/>
        </w:rPr>
        <w:t xml:space="preserve"> </w:t>
      </w:r>
      <w:r w:rsidR="00E92D81">
        <w:rPr>
          <w:rStyle w:val="af5"/>
          <w:szCs w:val="24"/>
        </w:rPr>
        <w:footnoteReference w:id="113"/>
      </w:r>
      <w:r w:rsidR="00047745">
        <w:rPr>
          <w:szCs w:val="24"/>
        </w:rPr>
        <w:t>.</w:t>
      </w:r>
      <w:r w:rsidR="008F694F" w:rsidRPr="008F694F">
        <w:rPr>
          <w:szCs w:val="24"/>
        </w:rPr>
        <w:t xml:space="preserve"> </w:t>
      </w:r>
      <w:r w:rsidR="00677D49">
        <w:rPr>
          <w:szCs w:val="24"/>
        </w:rPr>
        <w:t xml:space="preserve">Тем не менее, российская экономическая мысль никогда не была всецело ориентирована строго на неолиберальную парадигму – большое количество экономистов исповедовали совсем иной путь – с опорой на собственные ресурсы, производство и усиление роли государства в экономике, иначе – антиглобалисты, например С. Глазьев, М. Хазин, М. Делягин и другие. </w:t>
      </w:r>
      <w:r w:rsidR="004038E5">
        <w:rPr>
          <w:szCs w:val="24"/>
        </w:rPr>
        <w:t>Иная картина вырисовывается на Западе, который до недавнего времени считал глобализацию столбовой дорогой развития. Так</w:t>
      </w:r>
      <w:r w:rsidR="004038E5" w:rsidRPr="004038E5">
        <w:rPr>
          <w:szCs w:val="24"/>
        </w:rPr>
        <w:t xml:space="preserve">, </w:t>
      </w:r>
      <w:r w:rsidR="004038E5">
        <w:rPr>
          <w:szCs w:val="24"/>
        </w:rPr>
        <w:t xml:space="preserve">прогнозируя последствия пандемии в интервью </w:t>
      </w:r>
      <w:r w:rsidR="004038E5">
        <w:rPr>
          <w:szCs w:val="24"/>
          <w:lang w:val="en-US"/>
        </w:rPr>
        <w:t>CNBC</w:t>
      </w:r>
      <w:r w:rsidR="004038E5">
        <w:rPr>
          <w:szCs w:val="24"/>
        </w:rPr>
        <w:t xml:space="preserve"> старший сотрудник Национального университета Сингапура сказал: «</w:t>
      </w:r>
      <w:r w:rsidR="00E0009A">
        <w:rPr>
          <w:szCs w:val="24"/>
        </w:rPr>
        <w:t>Мы увидим массовую трансформацию цепочек поставок</w:t>
      </w:r>
      <w:r w:rsidR="004038E5">
        <w:rPr>
          <w:szCs w:val="24"/>
        </w:rPr>
        <w:t>»</w:t>
      </w:r>
      <w:r w:rsidR="00E0009A">
        <w:rPr>
          <w:szCs w:val="24"/>
        </w:rPr>
        <w:t>, «Не думаю, что мир станет прежним, каким мы его знали последние пару десятилетий», «Сегодня мы находимся в совершенно новой эре и глобализация, которую мы знали, уже прошла»</w:t>
      </w:r>
      <w:r w:rsidR="00E0009A" w:rsidRPr="00E0009A">
        <w:rPr>
          <w:szCs w:val="24"/>
        </w:rPr>
        <w:t xml:space="preserve"> </w:t>
      </w:r>
      <w:r w:rsidR="002E4BBA">
        <w:rPr>
          <w:rStyle w:val="af5"/>
          <w:szCs w:val="24"/>
        </w:rPr>
        <w:footnoteReference w:id="114"/>
      </w:r>
      <w:r w:rsidR="00E0009A">
        <w:rPr>
          <w:szCs w:val="24"/>
        </w:rPr>
        <w:t xml:space="preserve">. </w:t>
      </w:r>
      <w:r w:rsidR="00DA2E9D">
        <w:rPr>
          <w:szCs w:val="24"/>
        </w:rPr>
        <w:t>Аналогичные статьи с названиями «Возможно глобальные цепочки поставок были плохой идеей»</w:t>
      </w:r>
      <w:r w:rsidR="002E4BBA">
        <w:rPr>
          <w:rStyle w:val="af5"/>
          <w:szCs w:val="24"/>
        </w:rPr>
        <w:footnoteReference w:id="115"/>
      </w:r>
      <w:r w:rsidR="00DA2E9D">
        <w:rPr>
          <w:szCs w:val="24"/>
        </w:rPr>
        <w:t>, или «Коронавирус убивает глобализацию какой мы её знаем»</w:t>
      </w:r>
      <w:r w:rsidR="002E4BBA">
        <w:rPr>
          <w:rStyle w:val="af5"/>
          <w:szCs w:val="24"/>
        </w:rPr>
        <w:footnoteReference w:id="116"/>
      </w:r>
      <w:r w:rsidR="002E4BBA">
        <w:rPr>
          <w:szCs w:val="24"/>
        </w:rPr>
        <w:t xml:space="preserve"> </w:t>
      </w:r>
      <w:r w:rsidR="00DA2E9D">
        <w:rPr>
          <w:szCs w:val="24"/>
        </w:rPr>
        <w:t>публикуются в передовых СМИ и широко обсуждаются экспертами.</w:t>
      </w:r>
    </w:p>
    <w:p w14:paraId="2E2BEA21" w14:textId="347BB21A" w:rsidR="00D944FB" w:rsidRPr="00D944FB" w:rsidRDefault="00D944FB" w:rsidP="008F694F">
      <w:pPr>
        <w:ind w:firstLine="708"/>
        <w:rPr>
          <w:szCs w:val="24"/>
        </w:rPr>
      </w:pPr>
      <w:r>
        <w:rPr>
          <w:szCs w:val="24"/>
        </w:rPr>
        <w:t>В качестве примера можно также привести принятую Еврокомиссией «Новую промышленную стратегию для Европы», в которой локализация прописана как возможность осуществить возврат производства в ЕС в ряде секторов</w:t>
      </w:r>
      <w:r>
        <w:rPr>
          <w:rStyle w:val="af5"/>
          <w:szCs w:val="24"/>
        </w:rPr>
        <w:footnoteReference w:id="117"/>
      </w:r>
      <w:r>
        <w:rPr>
          <w:szCs w:val="24"/>
        </w:rPr>
        <w:t xml:space="preserve">. </w:t>
      </w:r>
    </w:p>
    <w:p w14:paraId="5E32D82D" w14:textId="5D4586BC" w:rsidR="00DA2E9D" w:rsidRDefault="00DA2E9D" w:rsidP="008F694F">
      <w:pPr>
        <w:ind w:firstLine="708"/>
        <w:rPr>
          <w:szCs w:val="24"/>
        </w:rPr>
      </w:pPr>
      <w:r>
        <w:rPr>
          <w:szCs w:val="24"/>
        </w:rPr>
        <w:t>Таким образом, сегодняшний кризис показал, что безопасность и надежность производственных цепочек играет более важную роль, чем экономия на стоимости производства путем сохранения производств в развивающихся стран</w:t>
      </w:r>
      <w:r w:rsidR="000F4047">
        <w:rPr>
          <w:szCs w:val="24"/>
        </w:rPr>
        <w:t>ах</w:t>
      </w:r>
      <w:r>
        <w:rPr>
          <w:szCs w:val="24"/>
        </w:rPr>
        <w:t xml:space="preserve"> с дешевой рабочей силой. Иными словами, данн</w:t>
      </w:r>
      <w:r w:rsidR="000F4047">
        <w:rPr>
          <w:szCs w:val="24"/>
        </w:rPr>
        <w:t xml:space="preserve">ый принцип </w:t>
      </w:r>
      <w:r>
        <w:rPr>
          <w:szCs w:val="24"/>
        </w:rPr>
        <w:t xml:space="preserve">противоречит базовым </w:t>
      </w:r>
      <w:r w:rsidR="00FD18A3">
        <w:rPr>
          <w:szCs w:val="24"/>
        </w:rPr>
        <w:t>правилам</w:t>
      </w:r>
      <w:r>
        <w:rPr>
          <w:szCs w:val="24"/>
        </w:rPr>
        <w:t xml:space="preserve"> неолиберальной </w:t>
      </w:r>
      <w:r>
        <w:rPr>
          <w:szCs w:val="24"/>
        </w:rPr>
        <w:lastRenderedPageBreak/>
        <w:t>экономической парадигмы, которая доминировала в мировой экономике</w:t>
      </w:r>
      <w:r w:rsidR="00385701">
        <w:rPr>
          <w:szCs w:val="24"/>
        </w:rPr>
        <w:t xml:space="preserve"> на протяжении</w:t>
      </w:r>
      <w:r>
        <w:rPr>
          <w:szCs w:val="24"/>
        </w:rPr>
        <w:t xml:space="preserve"> </w:t>
      </w:r>
      <w:r w:rsidR="000F4047">
        <w:rPr>
          <w:szCs w:val="24"/>
        </w:rPr>
        <w:t>последни</w:t>
      </w:r>
      <w:r w:rsidR="00385701">
        <w:rPr>
          <w:szCs w:val="24"/>
        </w:rPr>
        <w:t>х</w:t>
      </w:r>
      <w:r w:rsidR="000F4047">
        <w:rPr>
          <w:szCs w:val="24"/>
        </w:rPr>
        <w:t xml:space="preserve"> десятилети</w:t>
      </w:r>
      <w:r w:rsidR="00385701">
        <w:rPr>
          <w:szCs w:val="24"/>
        </w:rPr>
        <w:t>й</w:t>
      </w:r>
      <w:r w:rsidR="000F4047">
        <w:rPr>
          <w:szCs w:val="24"/>
        </w:rPr>
        <w:t xml:space="preserve">. </w:t>
      </w:r>
    </w:p>
    <w:p w14:paraId="5246181D" w14:textId="43B7B163" w:rsidR="00047745" w:rsidRDefault="002E4BBA" w:rsidP="00D72C7E">
      <w:pPr>
        <w:ind w:firstLine="708"/>
        <w:rPr>
          <w:szCs w:val="24"/>
        </w:rPr>
      </w:pPr>
      <w:r>
        <w:rPr>
          <w:szCs w:val="24"/>
        </w:rPr>
        <w:t xml:space="preserve">Пятым и одним из наиболее значимых факторов является </w:t>
      </w:r>
      <w:r w:rsidRPr="00D944FB">
        <w:rPr>
          <w:i/>
          <w:iCs/>
          <w:szCs w:val="24"/>
        </w:rPr>
        <w:t>реализация энергетического поворота Германии</w:t>
      </w:r>
      <w:r>
        <w:rPr>
          <w:szCs w:val="24"/>
        </w:rPr>
        <w:t>. Э</w:t>
      </w:r>
      <w:r w:rsidR="002D6B96">
        <w:rPr>
          <w:szCs w:val="24"/>
        </w:rPr>
        <w:t>нергетическая стратегия Германии, которая получила название «энергетический поворот» (</w:t>
      </w:r>
      <w:r w:rsidRPr="002E4BBA">
        <w:rPr>
          <w:i/>
          <w:iCs/>
          <w:szCs w:val="24"/>
        </w:rPr>
        <w:t>нем.</w:t>
      </w:r>
      <w:r>
        <w:rPr>
          <w:szCs w:val="24"/>
        </w:rPr>
        <w:t xml:space="preserve"> - </w:t>
      </w:r>
      <w:r w:rsidR="002D6B96">
        <w:rPr>
          <w:szCs w:val="24"/>
        </w:rPr>
        <w:t>«</w:t>
      </w:r>
      <w:r w:rsidR="002D6B96">
        <w:rPr>
          <w:szCs w:val="24"/>
          <w:lang w:val="de-DE"/>
        </w:rPr>
        <w:t>Energiewende</w:t>
      </w:r>
      <w:r w:rsidR="002D6B96">
        <w:rPr>
          <w:szCs w:val="24"/>
        </w:rPr>
        <w:t>») сегодня находится под давлением</w:t>
      </w:r>
      <w:r>
        <w:rPr>
          <w:szCs w:val="24"/>
        </w:rPr>
        <w:t xml:space="preserve"> со стороны</w:t>
      </w:r>
      <w:r w:rsidR="002D6B96">
        <w:rPr>
          <w:szCs w:val="24"/>
        </w:rPr>
        <w:t xml:space="preserve"> экономического кризиса, а возможность её реализации ставится экспертами под угрозу. </w:t>
      </w:r>
    </w:p>
    <w:p w14:paraId="11359656" w14:textId="32E36042" w:rsidR="002D6B96" w:rsidRDefault="002D6B96" w:rsidP="00D72C7E">
      <w:pPr>
        <w:ind w:firstLine="708"/>
        <w:rPr>
          <w:szCs w:val="24"/>
        </w:rPr>
      </w:pPr>
      <w:r>
        <w:rPr>
          <w:szCs w:val="24"/>
        </w:rPr>
        <w:t xml:space="preserve">Формирование «зеленой» повестки дня в Германии началось еще в 60-70-х гг. в качестве общественного движения. Стремительное развитие промышленности </w:t>
      </w:r>
      <w:r w:rsidR="002F17B4">
        <w:rPr>
          <w:szCs w:val="24"/>
        </w:rPr>
        <w:t>в Германии в послевоенный период и актуализация вопросов о загрязнении окружающей среды заложили фундамент для будущего энергетического поворота. Уже в 1977 году был создан Институт прикладной экологии, ученые которого доказывали возможность обеспечения потребностей экономики за счет возобновляемых источников энергии (далее, ВИЭ) – работа получила название «Энергетический поворот. Рост и благосостояние без нефти и урана». В 1979 году произошел переход экологического дискурса от формы общественных движений к политической партии – «Зеленые», популярность которых стала стремительно возрастать. Вскоре стала формироваться и законодательная база</w:t>
      </w:r>
      <w:r w:rsidR="00EF6302">
        <w:rPr>
          <w:szCs w:val="24"/>
        </w:rPr>
        <w:t>: в 1990 году был принят закон «О подаче электроэнергии из возобновляемых источников энергии», в соответствии с которым компания-поставщик электроэнергии обязана была покупать её из возобновляемых источников по установленным тарифам</w:t>
      </w:r>
      <w:r w:rsidR="00B010AF">
        <w:rPr>
          <w:szCs w:val="24"/>
        </w:rPr>
        <w:t xml:space="preserve"> </w:t>
      </w:r>
      <w:r w:rsidR="00B010AF">
        <w:rPr>
          <w:rStyle w:val="af5"/>
          <w:szCs w:val="24"/>
        </w:rPr>
        <w:footnoteReference w:id="118"/>
      </w:r>
      <w:r w:rsidR="00EF6302">
        <w:rPr>
          <w:szCs w:val="24"/>
        </w:rPr>
        <w:t>. В 2000-м году вступает в силу закон «О возобновляемых источниках». Именно он лежит в основе энергетической концепции до 2050-го года, поскольку закрепляет приоритеты ВИЭ над ископаемыми источниками.</w:t>
      </w:r>
      <w:r w:rsidR="00FD6DED">
        <w:rPr>
          <w:szCs w:val="24"/>
        </w:rPr>
        <w:t xml:space="preserve"> Принцип работы закона продуман таким образом, чтобы обеспечить фактическое субсидирование производителей возобновляемой энергии и стимулировать технические разработки и инновации, таким образом именно в 2000-м году </w:t>
      </w:r>
      <w:r w:rsidR="001B0761">
        <w:rPr>
          <w:szCs w:val="24"/>
        </w:rPr>
        <w:t xml:space="preserve">будущая </w:t>
      </w:r>
      <w:r w:rsidR="00FD6DED">
        <w:rPr>
          <w:szCs w:val="24"/>
        </w:rPr>
        <w:t>стратегия «энергетического поворота» была фактически выбрана в качестве государственной политики</w:t>
      </w:r>
      <w:r w:rsidR="00B010AF">
        <w:rPr>
          <w:rStyle w:val="af5"/>
          <w:szCs w:val="24"/>
        </w:rPr>
        <w:footnoteReference w:id="119"/>
      </w:r>
      <w:r w:rsidR="00FD6DED">
        <w:rPr>
          <w:szCs w:val="24"/>
        </w:rPr>
        <w:t xml:space="preserve">. </w:t>
      </w:r>
    </w:p>
    <w:p w14:paraId="290048EE" w14:textId="258D21C4" w:rsidR="00190E9F" w:rsidRDefault="001B0761" w:rsidP="00190E9F">
      <w:pPr>
        <w:rPr>
          <w:szCs w:val="24"/>
        </w:rPr>
      </w:pPr>
      <w:r>
        <w:rPr>
          <w:szCs w:val="24"/>
        </w:rPr>
        <w:tab/>
        <w:t xml:space="preserve">Финальное оформление «энергетического поворота» произошло 28 сентября 2010 года, когда после длительных и напряженных переговоров по срокам отхода Германии от </w:t>
      </w:r>
      <w:r>
        <w:rPr>
          <w:szCs w:val="24"/>
        </w:rPr>
        <w:lastRenderedPageBreak/>
        <w:t xml:space="preserve">использования атомной энергии, была принята долгожданная стратегия развития национальной энергетики до 2050 года. </w:t>
      </w:r>
      <w:r w:rsidR="00F14B2D">
        <w:rPr>
          <w:szCs w:val="24"/>
        </w:rPr>
        <w:t>Тремя ключевыми направлениями в этой стратегии являются надежность снабжения электроэнергией, экономичность (энергоэффективность) и охрана окружающей среды. Фактически, целью энергетического поворота является стремительное увеличение доли ВИЭ в общем энергобалансе страны: так, в первичном потреблении она должна составлять 18% - к 2020 г.,30% - 2030 г., 45% - 2040 г. и 60% к 2050 г. В это же время доля ВИЭ в электрогенерации должна к аналогичным датам увеличиться до 35%, 50%, 65% и 80% соответственно. Ориентирами для уменьшения энергоемкости страны является сокращение на 20% к 2020 г. (в сравнение с 2008 г.) и на 50% к 2050 г.</w:t>
      </w:r>
      <w:r w:rsidR="00DC2176">
        <w:rPr>
          <w:szCs w:val="24"/>
        </w:rPr>
        <w:t xml:space="preserve"> Также в данной стратегии особое внимание уделяется защите климата, которое планируется достигаться за счет снижения выбросов углекислого газа </w:t>
      </w:r>
      <w:r w:rsidR="00DC2176">
        <w:rPr>
          <w:szCs w:val="24"/>
          <w:lang w:val="de-DE"/>
        </w:rPr>
        <w:t>CO</w:t>
      </w:r>
      <w:r w:rsidR="00DC2176" w:rsidRPr="00DC2176">
        <w:rPr>
          <w:szCs w:val="24"/>
          <w:vertAlign w:val="subscript"/>
        </w:rPr>
        <w:t>2</w:t>
      </w:r>
      <w:r w:rsidR="004A771C">
        <w:rPr>
          <w:szCs w:val="24"/>
        </w:rPr>
        <w:t xml:space="preserve">: на 40% к 2020 году (по сравнению с 1990-м г.), а также на 55,70,80-95% к 2030, 2040 и 2050 году </w:t>
      </w:r>
      <w:r w:rsidR="00453C46">
        <w:rPr>
          <w:rStyle w:val="af5"/>
          <w:szCs w:val="24"/>
        </w:rPr>
        <w:footnoteReference w:id="120"/>
      </w:r>
      <w:r w:rsidR="004A771C">
        <w:rPr>
          <w:szCs w:val="24"/>
        </w:rPr>
        <w:t>. Представленная в 2010 году Германией программа энергетического поворота действительно была революционной и чрезвычайно амбициозной – по оценкам правительства для достижения данных показателей ежегодные инвестиции должны составлять 20 млрд. евро</w:t>
      </w:r>
      <w:r w:rsidR="004A771C" w:rsidRPr="004A771C">
        <w:rPr>
          <w:szCs w:val="24"/>
        </w:rPr>
        <w:t xml:space="preserve"> </w:t>
      </w:r>
      <w:r w:rsidR="00453C46">
        <w:rPr>
          <w:rStyle w:val="af5"/>
          <w:szCs w:val="24"/>
        </w:rPr>
        <w:footnoteReference w:id="121"/>
      </w:r>
      <w:r w:rsidR="004A771C">
        <w:rPr>
          <w:szCs w:val="24"/>
        </w:rPr>
        <w:t>.</w:t>
      </w:r>
      <w:r w:rsidR="00190E9F">
        <w:rPr>
          <w:szCs w:val="24"/>
        </w:rPr>
        <w:t xml:space="preserve"> С самого начала, противники данной программы критиковали её за дороговизну ВИЭ и предупреждали о росте стоимости электроэнергии, что в свою очередь приведет к увеличению издержек населения и промышленности и сделает экономику Германии менее конкурентоспособной.  </w:t>
      </w:r>
    </w:p>
    <w:p w14:paraId="2F14DD29" w14:textId="4F9A6427" w:rsidR="00190E9F" w:rsidRDefault="00190E9F" w:rsidP="00190E9F">
      <w:pPr>
        <w:ind w:firstLine="708"/>
        <w:rPr>
          <w:szCs w:val="24"/>
        </w:rPr>
      </w:pPr>
      <w:r>
        <w:rPr>
          <w:szCs w:val="24"/>
        </w:rPr>
        <w:t>Тем не менее, спустя 10 лет реализации данной программы результаты энергетического поворота оказались не столь однозначными.</w:t>
      </w:r>
      <w:r w:rsidR="00C100B0">
        <w:rPr>
          <w:szCs w:val="24"/>
        </w:rPr>
        <w:t xml:space="preserve"> В конце 2019-го года международная консалтинговая компания </w:t>
      </w:r>
      <w:proofErr w:type="spellStart"/>
      <w:r w:rsidR="00C100B0" w:rsidRPr="00C100B0">
        <w:rPr>
          <w:szCs w:val="24"/>
        </w:rPr>
        <w:t>McKinsey</w:t>
      </w:r>
      <w:proofErr w:type="spellEnd"/>
      <w:r w:rsidR="00C100B0" w:rsidRPr="00C100B0">
        <w:rPr>
          <w:szCs w:val="24"/>
        </w:rPr>
        <w:t xml:space="preserve"> &amp; Company </w:t>
      </w:r>
      <w:r w:rsidR="00C100B0">
        <w:rPr>
          <w:szCs w:val="24"/>
        </w:rPr>
        <w:t>опубликовала доклад под названием «Энергетический поворот Германии на перепутье»</w:t>
      </w:r>
      <w:r w:rsidR="001409A0">
        <w:rPr>
          <w:rStyle w:val="af5"/>
          <w:szCs w:val="24"/>
        </w:rPr>
        <w:footnoteReference w:id="122"/>
      </w:r>
      <w:r w:rsidR="00C100B0">
        <w:rPr>
          <w:szCs w:val="24"/>
        </w:rPr>
        <w:t>. В рамках исследования был разработан соответствующий индекс «</w:t>
      </w:r>
      <w:r w:rsidR="00C100B0">
        <w:rPr>
          <w:szCs w:val="24"/>
          <w:lang w:val="de-DE"/>
        </w:rPr>
        <w:t>The</w:t>
      </w:r>
      <w:r w:rsidR="00C100B0" w:rsidRPr="00C100B0">
        <w:rPr>
          <w:szCs w:val="24"/>
        </w:rPr>
        <w:t xml:space="preserve"> </w:t>
      </w:r>
      <w:r w:rsidR="00C100B0">
        <w:rPr>
          <w:szCs w:val="24"/>
          <w:lang w:val="en-US"/>
        </w:rPr>
        <w:t>German</w:t>
      </w:r>
      <w:r w:rsidR="00C100B0" w:rsidRPr="00C100B0">
        <w:rPr>
          <w:szCs w:val="24"/>
        </w:rPr>
        <w:t xml:space="preserve"> </w:t>
      </w:r>
      <w:r w:rsidR="00C100B0">
        <w:rPr>
          <w:szCs w:val="24"/>
          <w:lang w:val="en-US"/>
        </w:rPr>
        <w:t>Energy</w:t>
      </w:r>
      <w:r w:rsidR="00C100B0" w:rsidRPr="00C100B0">
        <w:rPr>
          <w:szCs w:val="24"/>
        </w:rPr>
        <w:t xml:space="preserve"> </w:t>
      </w:r>
      <w:r w:rsidR="00C100B0">
        <w:rPr>
          <w:szCs w:val="24"/>
          <w:lang w:val="en-US"/>
        </w:rPr>
        <w:t>Transition</w:t>
      </w:r>
      <w:r w:rsidR="00C100B0" w:rsidRPr="00C100B0">
        <w:rPr>
          <w:szCs w:val="24"/>
        </w:rPr>
        <w:t xml:space="preserve"> </w:t>
      </w:r>
      <w:r w:rsidR="00C100B0">
        <w:rPr>
          <w:szCs w:val="24"/>
          <w:lang w:val="en-US"/>
        </w:rPr>
        <w:t>Index</w:t>
      </w:r>
      <w:r w:rsidR="00C100B0">
        <w:rPr>
          <w:szCs w:val="24"/>
        </w:rPr>
        <w:t>»</w:t>
      </w:r>
      <w:r w:rsidR="00C100B0" w:rsidRPr="00C100B0">
        <w:rPr>
          <w:szCs w:val="24"/>
        </w:rPr>
        <w:t xml:space="preserve">, </w:t>
      </w:r>
      <w:r w:rsidR="00C100B0">
        <w:rPr>
          <w:szCs w:val="24"/>
        </w:rPr>
        <w:t xml:space="preserve">который рассчитывался на основании 15 показателей, разделенных на три направления и определенных в рамках стратегии. Результаты исследования показали, что по направлению защиты климата достижения оказались сильно ниже запланированных: по итогам 2018 года </w:t>
      </w:r>
      <w:r w:rsidR="00105F2F">
        <w:rPr>
          <w:szCs w:val="24"/>
        </w:rPr>
        <w:t xml:space="preserve">объем выбросов составил 866 млн. тонн эквивалента </w:t>
      </w:r>
      <w:r w:rsidR="00105F2F">
        <w:rPr>
          <w:szCs w:val="24"/>
          <w:lang w:val="en-US"/>
        </w:rPr>
        <w:t>CO</w:t>
      </w:r>
      <w:r w:rsidR="00105F2F" w:rsidRPr="00105F2F">
        <w:rPr>
          <w:szCs w:val="24"/>
          <w:vertAlign w:val="subscript"/>
        </w:rPr>
        <w:t>2</w:t>
      </w:r>
      <w:r w:rsidR="00105F2F">
        <w:rPr>
          <w:rStyle w:val="af5"/>
          <w:szCs w:val="24"/>
        </w:rPr>
        <w:footnoteReference w:id="123"/>
      </w:r>
      <w:r w:rsidR="00105F2F">
        <w:rPr>
          <w:szCs w:val="24"/>
        </w:rPr>
        <w:t xml:space="preserve">. Несмотря на снижение на 4,5% к предыдущему году, этот объем сильно выше установленной планки в 750 млн. тонн к 2020 </w:t>
      </w:r>
      <w:r w:rsidR="00105F2F">
        <w:rPr>
          <w:szCs w:val="24"/>
        </w:rPr>
        <w:lastRenderedPageBreak/>
        <w:t>году. Это означает, что при нынешних темпах цель 2020 года будет достигнуты лишь к 2028 году, а цель 2030 г. – к 2046 году. Индикатор достижения цели (100%) составляет по данному направлению на данный момент 61%. Аналогичная ситуация происходит и с другими направлениями: индикаторы первичного энергопотребления и потребления электроэнергии находятся на уровне 57% и 39% от поставленной цели</w:t>
      </w:r>
      <w:r w:rsidR="00C56A73">
        <w:rPr>
          <w:szCs w:val="24"/>
        </w:rPr>
        <w:t xml:space="preserve"> </w:t>
      </w:r>
      <w:r w:rsidR="00C56A73">
        <w:rPr>
          <w:rStyle w:val="af5"/>
          <w:szCs w:val="24"/>
        </w:rPr>
        <w:footnoteReference w:id="124"/>
      </w:r>
      <w:r w:rsidR="00105F2F">
        <w:rPr>
          <w:szCs w:val="24"/>
        </w:rPr>
        <w:t xml:space="preserve">. Большим успехом в данном направлении можно считать достижение и перевыполнение плана по доле ВИЭ в общей электрогенерации – уровень 2020 года был достигнут уже к 2016-му, однако с оговоркой, что данное достижение </w:t>
      </w:r>
      <w:r w:rsidR="00D8676A">
        <w:rPr>
          <w:szCs w:val="24"/>
        </w:rPr>
        <w:t>слабо</w:t>
      </w:r>
      <w:r w:rsidR="00105F2F">
        <w:rPr>
          <w:szCs w:val="24"/>
        </w:rPr>
        <w:t xml:space="preserve"> затронуло</w:t>
      </w:r>
      <w:r w:rsidR="00D8676A">
        <w:rPr>
          <w:szCs w:val="24"/>
        </w:rPr>
        <w:t xml:space="preserve"> сектор</w:t>
      </w:r>
      <w:r w:rsidR="00105F2F">
        <w:rPr>
          <w:szCs w:val="24"/>
        </w:rPr>
        <w:t xml:space="preserve"> транспорт</w:t>
      </w:r>
      <w:r w:rsidR="00D8676A">
        <w:rPr>
          <w:szCs w:val="24"/>
        </w:rPr>
        <w:t>а, строительства и промышленности в целом.</w:t>
      </w:r>
    </w:p>
    <w:p w14:paraId="0E3E834C" w14:textId="60F9D848" w:rsidR="00D8676A" w:rsidRPr="00D8676A" w:rsidRDefault="00D8676A" w:rsidP="00190E9F">
      <w:pPr>
        <w:ind w:firstLine="708"/>
        <w:rPr>
          <w:szCs w:val="24"/>
        </w:rPr>
      </w:pPr>
      <w:r>
        <w:rPr>
          <w:szCs w:val="24"/>
        </w:rPr>
        <w:t>Выполнение целей по направлению безопасности поставок также находится под угрозой: в отдельных случаях наблюдалась нехватка электроэнергии на определённых направлениях, что прив</w:t>
      </w:r>
      <w:r w:rsidR="00E51078">
        <w:rPr>
          <w:szCs w:val="24"/>
        </w:rPr>
        <w:t xml:space="preserve">одило </w:t>
      </w:r>
      <w:r>
        <w:rPr>
          <w:szCs w:val="24"/>
        </w:rPr>
        <w:t xml:space="preserve">к резким скачкам цен на корректировку отклонений и восстановление баланса. Невыполненным также оказался план по расширению сети электропередач – из запланированных к 2019-му году 3 тысяч 600 км. Сетей было проложено 1 087 км. – коэффициент выполнения составил 30% </w:t>
      </w:r>
      <w:r w:rsidR="00C56A73">
        <w:rPr>
          <w:rStyle w:val="af5"/>
          <w:szCs w:val="24"/>
        </w:rPr>
        <w:footnoteReference w:id="125"/>
      </w:r>
      <w:r>
        <w:rPr>
          <w:szCs w:val="24"/>
        </w:rPr>
        <w:t>.</w:t>
      </w:r>
      <w:r w:rsidRPr="00D8676A">
        <w:rPr>
          <w:szCs w:val="24"/>
        </w:rPr>
        <w:t xml:space="preserve"> </w:t>
      </w:r>
    </w:p>
    <w:p w14:paraId="48FB8585" w14:textId="147B4D69" w:rsidR="00D8676A" w:rsidRDefault="00D8676A" w:rsidP="00190E9F">
      <w:pPr>
        <w:ind w:firstLine="708"/>
        <w:rPr>
          <w:szCs w:val="24"/>
        </w:rPr>
      </w:pPr>
      <w:r>
        <w:rPr>
          <w:szCs w:val="24"/>
        </w:rPr>
        <w:t xml:space="preserve">Таким образом, в соответствии с данным исследованием Германия, которая стала одной из первых стран, закрепивших энергетический поворот в качестве национальной стратегии, не сумела достичь большей части поставленных к 2020-му году задач. При этом, необходимо учитывать, что на протяжении последних 10 лет наблюдался экономический рост и рост благосостояния населения, что является критически важным для столь капиталоемкой отрасли как альтернативная энергетика. Начавшийся </w:t>
      </w:r>
      <w:r w:rsidR="001B5200">
        <w:rPr>
          <w:szCs w:val="24"/>
        </w:rPr>
        <w:t>в 2020 году экономический кризис будет, вне всякого сомнения, тормозить процесс энергетического поворот, а субсидирование производителей энергии из альтернативных источников уступит в новых реалиях приоритетное значение поддержке населения и домохозяйств</w:t>
      </w:r>
      <w:r w:rsidR="00353865">
        <w:rPr>
          <w:szCs w:val="24"/>
        </w:rPr>
        <w:t xml:space="preserve">. В период с 2000 по 2011 год траты на поддержание еще законодательно не закрепленного энергетического поворота составили 63,4 млрд. евро, а за один </w:t>
      </w:r>
      <w:r w:rsidR="00E51078">
        <w:rPr>
          <w:szCs w:val="24"/>
        </w:rPr>
        <w:t xml:space="preserve">лишь </w:t>
      </w:r>
      <w:r w:rsidR="00353865">
        <w:rPr>
          <w:szCs w:val="24"/>
        </w:rPr>
        <w:t xml:space="preserve">2017 год </w:t>
      </w:r>
      <w:r w:rsidR="00E51078">
        <w:rPr>
          <w:szCs w:val="24"/>
        </w:rPr>
        <w:t>этот объем</w:t>
      </w:r>
      <w:r w:rsidR="00353865">
        <w:rPr>
          <w:szCs w:val="24"/>
        </w:rPr>
        <w:t xml:space="preserve"> составил 26,3 млрд. евро</w:t>
      </w:r>
      <w:r w:rsidR="00C56A73">
        <w:rPr>
          <w:szCs w:val="24"/>
        </w:rPr>
        <w:t xml:space="preserve"> </w:t>
      </w:r>
      <w:r w:rsidR="00C56A73">
        <w:rPr>
          <w:rStyle w:val="af5"/>
          <w:szCs w:val="24"/>
        </w:rPr>
        <w:footnoteReference w:id="126"/>
      </w:r>
      <w:r w:rsidR="00353865">
        <w:rPr>
          <w:szCs w:val="24"/>
        </w:rPr>
        <w:t>.</w:t>
      </w:r>
      <w:r w:rsidR="001B44E6">
        <w:rPr>
          <w:szCs w:val="24"/>
        </w:rPr>
        <w:t xml:space="preserve"> </w:t>
      </w:r>
    </w:p>
    <w:p w14:paraId="41C6234C" w14:textId="77777777" w:rsidR="00D944FB" w:rsidRDefault="0047368A" w:rsidP="00190E9F">
      <w:pPr>
        <w:ind w:firstLine="708"/>
        <w:rPr>
          <w:szCs w:val="24"/>
        </w:rPr>
      </w:pPr>
      <w:r>
        <w:rPr>
          <w:szCs w:val="24"/>
        </w:rPr>
        <w:t>Несмотря на отставание Германии от намеченного плана по переходу к использованию ВИЭ в качестве основного источника энергии, в декабре 2019 года Европейская комиссия приняла «Европейское зеленое соглашение» (</w:t>
      </w:r>
      <w:r w:rsidRPr="0047368A">
        <w:rPr>
          <w:i/>
          <w:iCs/>
          <w:szCs w:val="24"/>
        </w:rPr>
        <w:t>англ</w:t>
      </w:r>
      <w:r>
        <w:rPr>
          <w:szCs w:val="24"/>
        </w:rPr>
        <w:t xml:space="preserve">. – </w:t>
      </w:r>
      <w:proofErr w:type="spellStart"/>
      <w:r w:rsidRPr="0047368A">
        <w:rPr>
          <w:szCs w:val="24"/>
        </w:rPr>
        <w:t>The</w:t>
      </w:r>
      <w:proofErr w:type="spellEnd"/>
      <w:r w:rsidRPr="0047368A">
        <w:rPr>
          <w:szCs w:val="24"/>
        </w:rPr>
        <w:t xml:space="preserve"> </w:t>
      </w:r>
      <w:proofErr w:type="spellStart"/>
      <w:r w:rsidRPr="0047368A">
        <w:rPr>
          <w:szCs w:val="24"/>
        </w:rPr>
        <w:t>European</w:t>
      </w:r>
      <w:proofErr w:type="spellEnd"/>
      <w:r w:rsidRPr="0047368A">
        <w:rPr>
          <w:szCs w:val="24"/>
        </w:rPr>
        <w:t xml:space="preserve"> </w:t>
      </w:r>
      <w:proofErr w:type="spellStart"/>
      <w:r w:rsidRPr="0047368A">
        <w:rPr>
          <w:szCs w:val="24"/>
        </w:rPr>
        <w:lastRenderedPageBreak/>
        <w:t>Green</w:t>
      </w:r>
      <w:proofErr w:type="spellEnd"/>
      <w:r w:rsidRPr="0047368A">
        <w:rPr>
          <w:szCs w:val="24"/>
        </w:rPr>
        <w:t xml:space="preserve"> </w:t>
      </w:r>
      <w:proofErr w:type="spellStart"/>
      <w:r w:rsidRPr="0047368A">
        <w:rPr>
          <w:szCs w:val="24"/>
        </w:rPr>
        <w:t>Deal</w:t>
      </w:r>
      <w:proofErr w:type="spellEnd"/>
      <w:r>
        <w:rPr>
          <w:szCs w:val="24"/>
        </w:rPr>
        <w:t xml:space="preserve">), в соответствии с которым к 2050-му году Европа должна стать первым «климатически нейтральным регионом» - невероятно амбициозная цель для наднационального масштаба, затраты на реализацию которой составят в ближайшие десять лет 1 </w:t>
      </w:r>
      <w:proofErr w:type="spellStart"/>
      <w:r>
        <w:rPr>
          <w:szCs w:val="24"/>
        </w:rPr>
        <w:t>трнл</w:t>
      </w:r>
      <w:proofErr w:type="spellEnd"/>
      <w:r>
        <w:rPr>
          <w:szCs w:val="24"/>
        </w:rPr>
        <w:t xml:space="preserve">. евро </w:t>
      </w:r>
      <w:r>
        <w:rPr>
          <w:rStyle w:val="af5"/>
          <w:szCs w:val="24"/>
        </w:rPr>
        <w:footnoteReference w:id="127"/>
      </w:r>
      <w:r>
        <w:rPr>
          <w:szCs w:val="24"/>
        </w:rPr>
        <w:t xml:space="preserve">. </w:t>
      </w:r>
      <w:r w:rsidR="001219AC">
        <w:rPr>
          <w:szCs w:val="24"/>
        </w:rPr>
        <w:t xml:space="preserve">Фактически, принятый документ представляет из себя дорожную карту и всецело соответствует Целям устойчивого развития ООН до 2030 года </w:t>
      </w:r>
      <w:r w:rsidR="001219AC">
        <w:rPr>
          <w:rStyle w:val="af5"/>
          <w:szCs w:val="24"/>
        </w:rPr>
        <w:footnoteReference w:id="128"/>
      </w:r>
      <w:r w:rsidR="001219AC">
        <w:rPr>
          <w:szCs w:val="24"/>
        </w:rPr>
        <w:t>. В</w:t>
      </w:r>
      <w:r w:rsidR="001219AC" w:rsidRPr="00197DBA">
        <w:rPr>
          <w:szCs w:val="24"/>
        </w:rPr>
        <w:t xml:space="preserve"> </w:t>
      </w:r>
      <w:r w:rsidR="001219AC">
        <w:rPr>
          <w:szCs w:val="24"/>
        </w:rPr>
        <w:t>соответствии с основным</w:t>
      </w:r>
      <w:r w:rsidR="001219AC" w:rsidRPr="00197DBA">
        <w:rPr>
          <w:szCs w:val="24"/>
        </w:rPr>
        <w:t xml:space="preserve"> </w:t>
      </w:r>
      <w:r w:rsidR="001219AC">
        <w:rPr>
          <w:szCs w:val="24"/>
        </w:rPr>
        <w:t>принципом</w:t>
      </w:r>
      <w:r w:rsidR="001219AC" w:rsidRPr="00197DBA">
        <w:rPr>
          <w:szCs w:val="24"/>
        </w:rPr>
        <w:t xml:space="preserve"> </w:t>
      </w:r>
      <w:r w:rsidR="001219AC">
        <w:rPr>
          <w:szCs w:val="24"/>
        </w:rPr>
        <w:t>документа</w:t>
      </w:r>
      <w:r w:rsidR="001219AC" w:rsidRPr="00197DBA">
        <w:rPr>
          <w:szCs w:val="24"/>
        </w:rPr>
        <w:t xml:space="preserve"> </w:t>
      </w:r>
      <w:r w:rsidR="001219AC">
        <w:rPr>
          <w:szCs w:val="24"/>
        </w:rPr>
        <w:t xml:space="preserve">– </w:t>
      </w:r>
      <w:r w:rsidR="001219AC" w:rsidRPr="00197DBA">
        <w:rPr>
          <w:szCs w:val="24"/>
        </w:rPr>
        <w:t>«</w:t>
      </w:r>
      <w:r w:rsidR="001219AC" w:rsidRPr="001219AC">
        <w:rPr>
          <w:szCs w:val="24"/>
          <w:lang w:val="en-US"/>
        </w:rPr>
        <w:t>Europe</w:t>
      </w:r>
      <w:r w:rsidR="001219AC" w:rsidRPr="00197DBA">
        <w:rPr>
          <w:szCs w:val="24"/>
        </w:rPr>
        <w:t xml:space="preserve"> </w:t>
      </w:r>
      <w:r w:rsidR="001219AC" w:rsidRPr="001219AC">
        <w:rPr>
          <w:szCs w:val="24"/>
          <w:lang w:val="en-US"/>
        </w:rPr>
        <w:t>must</w:t>
      </w:r>
      <w:r w:rsidR="001219AC" w:rsidRPr="00197DBA">
        <w:rPr>
          <w:szCs w:val="24"/>
        </w:rPr>
        <w:t xml:space="preserve"> </w:t>
      </w:r>
      <w:r w:rsidR="001219AC" w:rsidRPr="001219AC">
        <w:rPr>
          <w:szCs w:val="24"/>
          <w:lang w:val="en-US"/>
        </w:rPr>
        <w:t>ensure</w:t>
      </w:r>
      <w:r w:rsidR="001219AC" w:rsidRPr="00197DBA">
        <w:rPr>
          <w:szCs w:val="24"/>
        </w:rPr>
        <w:t xml:space="preserve"> </w:t>
      </w:r>
      <w:r w:rsidR="001219AC" w:rsidRPr="001219AC">
        <w:rPr>
          <w:szCs w:val="24"/>
          <w:lang w:val="en-US"/>
        </w:rPr>
        <w:t>that</w:t>
      </w:r>
      <w:r w:rsidR="001219AC" w:rsidRPr="00197DBA">
        <w:rPr>
          <w:szCs w:val="24"/>
        </w:rPr>
        <w:t xml:space="preserve"> </w:t>
      </w:r>
      <w:r w:rsidR="001219AC" w:rsidRPr="001219AC">
        <w:rPr>
          <w:szCs w:val="24"/>
          <w:lang w:val="en-US"/>
        </w:rPr>
        <w:t>no</w:t>
      </w:r>
      <w:r w:rsidR="001219AC" w:rsidRPr="00197DBA">
        <w:rPr>
          <w:szCs w:val="24"/>
        </w:rPr>
        <w:t xml:space="preserve"> </w:t>
      </w:r>
      <w:r w:rsidR="001219AC" w:rsidRPr="001219AC">
        <w:rPr>
          <w:szCs w:val="24"/>
          <w:lang w:val="en-US"/>
        </w:rPr>
        <w:t>one</w:t>
      </w:r>
      <w:r w:rsidR="001219AC" w:rsidRPr="00197DBA">
        <w:rPr>
          <w:szCs w:val="24"/>
        </w:rPr>
        <w:t xml:space="preserve"> </w:t>
      </w:r>
      <w:r w:rsidR="001219AC" w:rsidRPr="001219AC">
        <w:rPr>
          <w:szCs w:val="24"/>
          <w:lang w:val="en-US"/>
        </w:rPr>
        <w:t>is</w:t>
      </w:r>
      <w:r w:rsidR="001219AC" w:rsidRPr="00197DBA">
        <w:rPr>
          <w:szCs w:val="24"/>
        </w:rPr>
        <w:t xml:space="preserve"> </w:t>
      </w:r>
      <w:r w:rsidR="001219AC" w:rsidRPr="001219AC">
        <w:rPr>
          <w:szCs w:val="24"/>
          <w:lang w:val="en-US"/>
        </w:rPr>
        <w:t>left</w:t>
      </w:r>
      <w:r w:rsidR="001219AC" w:rsidRPr="00197DBA">
        <w:rPr>
          <w:szCs w:val="24"/>
        </w:rPr>
        <w:t xml:space="preserve"> </w:t>
      </w:r>
      <w:r w:rsidR="001219AC" w:rsidRPr="001219AC">
        <w:rPr>
          <w:szCs w:val="24"/>
          <w:lang w:val="en-US"/>
        </w:rPr>
        <w:t>behind</w:t>
      </w:r>
      <w:r w:rsidR="001219AC" w:rsidRPr="00197DBA">
        <w:rPr>
          <w:szCs w:val="24"/>
        </w:rPr>
        <w:t>»</w:t>
      </w:r>
      <w:r w:rsidR="001219AC">
        <w:rPr>
          <w:szCs w:val="24"/>
        </w:rPr>
        <w:t xml:space="preserve">, </w:t>
      </w:r>
      <w:r w:rsidR="00197DBA">
        <w:rPr>
          <w:szCs w:val="24"/>
        </w:rPr>
        <w:t>формируется специальный механизм помощи странам, наиболее затронутых декарбонизацией, объем которого в 2021-2027 гг. составит 100 млрд. евро. Данный механизм получил название «</w:t>
      </w:r>
      <w:proofErr w:type="spellStart"/>
      <w:r w:rsidR="00197DBA" w:rsidRPr="00197DBA">
        <w:rPr>
          <w:szCs w:val="24"/>
        </w:rPr>
        <w:t>Just</w:t>
      </w:r>
      <w:proofErr w:type="spellEnd"/>
      <w:r w:rsidR="00197DBA" w:rsidRPr="00197DBA">
        <w:rPr>
          <w:szCs w:val="24"/>
        </w:rPr>
        <w:t xml:space="preserve"> </w:t>
      </w:r>
      <w:proofErr w:type="spellStart"/>
      <w:r w:rsidR="00197DBA" w:rsidRPr="00197DBA">
        <w:rPr>
          <w:szCs w:val="24"/>
        </w:rPr>
        <w:t>Transition</w:t>
      </w:r>
      <w:proofErr w:type="spellEnd"/>
      <w:r w:rsidR="00197DBA" w:rsidRPr="00197DBA">
        <w:rPr>
          <w:szCs w:val="24"/>
        </w:rPr>
        <w:t xml:space="preserve"> </w:t>
      </w:r>
      <w:proofErr w:type="spellStart"/>
      <w:r w:rsidR="00197DBA" w:rsidRPr="00197DBA">
        <w:rPr>
          <w:szCs w:val="24"/>
        </w:rPr>
        <w:t>Mechanism</w:t>
      </w:r>
      <w:proofErr w:type="spellEnd"/>
      <w:r w:rsidR="00197DBA">
        <w:rPr>
          <w:szCs w:val="24"/>
        </w:rPr>
        <w:t>», иначе – «Механизм справедливого перехода». Помимо этого, в марте 2020 года в качестве продолжения «зеленой сделки», была принята «Новая промышленная стратегия для Европы»</w:t>
      </w:r>
      <w:r w:rsidR="00D24DDF">
        <w:rPr>
          <w:szCs w:val="24"/>
        </w:rPr>
        <w:t xml:space="preserve">, которая помимо всесторонней трансформации и развития промышленности предполагает помощь наиболее энергоемким предприятиям в их переходе к </w:t>
      </w:r>
      <w:proofErr w:type="spellStart"/>
      <w:r w:rsidR="00D24DDF">
        <w:rPr>
          <w:szCs w:val="24"/>
        </w:rPr>
        <w:t>низкоуглеродному</w:t>
      </w:r>
      <w:proofErr w:type="spellEnd"/>
      <w:r w:rsidR="00D24DDF">
        <w:rPr>
          <w:szCs w:val="24"/>
        </w:rPr>
        <w:t xml:space="preserve"> производству</w:t>
      </w:r>
      <w:r w:rsidR="00197DBA">
        <w:rPr>
          <w:rStyle w:val="af5"/>
          <w:szCs w:val="24"/>
        </w:rPr>
        <w:footnoteReference w:id="129"/>
      </w:r>
      <w:r w:rsidR="00D24DDF">
        <w:rPr>
          <w:szCs w:val="24"/>
        </w:rPr>
        <w:t>.</w:t>
      </w:r>
      <w:r w:rsidR="00D944FB">
        <w:rPr>
          <w:szCs w:val="24"/>
        </w:rPr>
        <w:t xml:space="preserve"> </w:t>
      </w:r>
    </w:p>
    <w:p w14:paraId="59557309" w14:textId="371E1A52" w:rsidR="0047368A" w:rsidRPr="00D24DDF" w:rsidRDefault="00D944FB" w:rsidP="00190E9F">
      <w:pPr>
        <w:ind w:firstLine="708"/>
        <w:rPr>
          <w:szCs w:val="24"/>
        </w:rPr>
      </w:pPr>
      <w:r>
        <w:rPr>
          <w:szCs w:val="24"/>
        </w:rPr>
        <w:t xml:space="preserve">Несмотря на столь амбициозные цели как на национальном уровне, так и на региональном, все вышеперечисленные документы были приняты до начала пандемии коронавируса, а потому есть вероятность того, что их реализация в новых </w:t>
      </w:r>
      <w:r w:rsidR="00C420EE">
        <w:rPr>
          <w:szCs w:val="24"/>
        </w:rPr>
        <w:t>условиях</w:t>
      </w:r>
      <w:r>
        <w:rPr>
          <w:szCs w:val="24"/>
        </w:rPr>
        <w:t xml:space="preserve"> находится под угрозой. </w:t>
      </w:r>
    </w:p>
    <w:p w14:paraId="15776FCD" w14:textId="1A479089" w:rsidR="001B7F1C" w:rsidRPr="00D944FB" w:rsidRDefault="00C420EE" w:rsidP="00D944FB">
      <w:pPr>
        <w:ind w:firstLine="708"/>
        <w:rPr>
          <w:szCs w:val="24"/>
        </w:rPr>
      </w:pPr>
      <w:r>
        <w:rPr>
          <w:szCs w:val="24"/>
        </w:rPr>
        <w:t xml:space="preserve">Закономерным следствием является выход </w:t>
      </w:r>
      <w:r w:rsidR="00353865">
        <w:rPr>
          <w:szCs w:val="24"/>
        </w:rPr>
        <w:t>российско-германски</w:t>
      </w:r>
      <w:r>
        <w:rPr>
          <w:szCs w:val="24"/>
        </w:rPr>
        <w:t>х</w:t>
      </w:r>
      <w:r w:rsidR="00353865">
        <w:rPr>
          <w:szCs w:val="24"/>
        </w:rPr>
        <w:t xml:space="preserve"> газовы</w:t>
      </w:r>
      <w:r>
        <w:rPr>
          <w:szCs w:val="24"/>
        </w:rPr>
        <w:t>х</w:t>
      </w:r>
      <w:r w:rsidR="00353865">
        <w:rPr>
          <w:szCs w:val="24"/>
        </w:rPr>
        <w:t xml:space="preserve"> отношени</w:t>
      </w:r>
      <w:r>
        <w:rPr>
          <w:szCs w:val="24"/>
        </w:rPr>
        <w:t>й</w:t>
      </w:r>
      <w:r w:rsidR="00353865">
        <w:rPr>
          <w:szCs w:val="24"/>
        </w:rPr>
        <w:t xml:space="preserve"> на новый уровень: в соответствии с энергетической стратегией, при достижении всех указанных в ней целей в срок, объем импорта природного газа должен был бы сократиться на 60%, при этом была бы серьезно снижена газовая зависимость Германии от России, которая является главным поставщиком. С другой стороны, по заявлению А. Меркель «</w:t>
      </w:r>
      <w:r w:rsidR="00353865" w:rsidRPr="00353865">
        <w:rPr>
          <w:szCs w:val="24"/>
        </w:rPr>
        <w:t>Если мы хотим отказаться от угля, то должны будем использовать больше газа в переходное время</w:t>
      </w:r>
      <w:r w:rsidR="00353865">
        <w:rPr>
          <w:szCs w:val="24"/>
        </w:rPr>
        <w:t>» становится очевидным, что спрос на российский газ в среднесрочной перспективе будет расти</w:t>
      </w:r>
      <w:r w:rsidR="00FB63FA" w:rsidRPr="00FB63FA">
        <w:rPr>
          <w:szCs w:val="24"/>
        </w:rPr>
        <w:t xml:space="preserve"> </w:t>
      </w:r>
      <w:r w:rsidR="001B44E6">
        <w:rPr>
          <w:rStyle w:val="af5"/>
          <w:szCs w:val="24"/>
        </w:rPr>
        <w:footnoteReference w:id="130"/>
      </w:r>
      <w:r w:rsidR="00353865">
        <w:rPr>
          <w:szCs w:val="24"/>
        </w:rPr>
        <w:t xml:space="preserve">. </w:t>
      </w:r>
    </w:p>
    <w:p w14:paraId="0554B98F" w14:textId="5F4623DE" w:rsidR="001B7F1C" w:rsidRPr="001B7F1C" w:rsidRDefault="001B7F1C" w:rsidP="00D944FB">
      <w:pPr>
        <w:pStyle w:val="2"/>
        <w:numPr>
          <w:ilvl w:val="1"/>
          <w:numId w:val="17"/>
        </w:numPr>
      </w:pPr>
      <w:bookmarkStart w:id="44" w:name="_Toc41500788"/>
      <w:bookmarkStart w:id="45" w:name="_Toc41513183"/>
      <w:r w:rsidRPr="001B7F1C">
        <w:t>Сценарии развития российско-германских отношений</w:t>
      </w:r>
      <w:bookmarkEnd w:id="44"/>
      <w:bookmarkEnd w:id="45"/>
    </w:p>
    <w:p w14:paraId="169BDC68" w14:textId="4DA72B41" w:rsidR="00E51078" w:rsidRDefault="00A857BD" w:rsidP="003E0534">
      <w:pPr>
        <w:ind w:firstLine="708"/>
        <w:rPr>
          <w:szCs w:val="24"/>
        </w:rPr>
      </w:pPr>
      <w:r>
        <w:rPr>
          <w:szCs w:val="24"/>
        </w:rPr>
        <w:t xml:space="preserve">Приведенные выше факторы будут оказывать прямое </w:t>
      </w:r>
      <w:r w:rsidR="00461CC2">
        <w:rPr>
          <w:szCs w:val="24"/>
        </w:rPr>
        <w:t>воздействие</w:t>
      </w:r>
      <w:r>
        <w:rPr>
          <w:szCs w:val="24"/>
        </w:rPr>
        <w:t xml:space="preserve"> на дальнейшее развитие</w:t>
      </w:r>
      <w:r w:rsidR="00461CC2">
        <w:rPr>
          <w:szCs w:val="24"/>
        </w:rPr>
        <w:t xml:space="preserve"> и/или трансформацию</w:t>
      </w:r>
      <w:r>
        <w:rPr>
          <w:szCs w:val="24"/>
        </w:rPr>
        <w:t xml:space="preserve"> российско-германских отношений, при </w:t>
      </w:r>
      <w:proofErr w:type="gramStart"/>
      <w:r>
        <w:rPr>
          <w:szCs w:val="24"/>
        </w:rPr>
        <w:t>это</w:t>
      </w:r>
      <w:r w:rsidR="00E63D95">
        <w:rPr>
          <w:szCs w:val="24"/>
        </w:rPr>
        <w:t>м</w:t>
      </w:r>
      <w:r w:rsidR="001B44E6">
        <w:rPr>
          <w:szCs w:val="24"/>
        </w:rPr>
        <w:t xml:space="preserve"> ,несмотря</w:t>
      </w:r>
      <w:proofErr w:type="gramEnd"/>
      <w:r w:rsidR="001B44E6">
        <w:rPr>
          <w:szCs w:val="24"/>
        </w:rPr>
        <w:t xml:space="preserve"> на </w:t>
      </w:r>
      <w:r w:rsidR="001B44E6">
        <w:rPr>
          <w:szCs w:val="24"/>
        </w:rPr>
        <w:lastRenderedPageBreak/>
        <w:t xml:space="preserve">то, что сотрудничество двух стран, безусловно, будет продолжаться, </w:t>
      </w:r>
      <w:r>
        <w:rPr>
          <w:szCs w:val="24"/>
        </w:rPr>
        <w:t>вектор их развити</w:t>
      </w:r>
      <w:r w:rsidR="00461CC2">
        <w:rPr>
          <w:szCs w:val="24"/>
        </w:rPr>
        <w:t>я</w:t>
      </w:r>
      <w:r w:rsidR="001B44E6">
        <w:rPr>
          <w:szCs w:val="24"/>
        </w:rPr>
        <w:t xml:space="preserve"> в современных реалиях </w:t>
      </w:r>
      <w:r>
        <w:rPr>
          <w:szCs w:val="24"/>
        </w:rPr>
        <w:t>остается</w:t>
      </w:r>
      <w:r w:rsidR="001B44E6">
        <w:rPr>
          <w:szCs w:val="24"/>
        </w:rPr>
        <w:t xml:space="preserve"> не до конца неопределенным</w:t>
      </w:r>
      <w:r w:rsidR="00130C13">
        <w:rPr>
          <w:szCs w:val="24"/>
        </w:rPr>
        <w:t xml:space="preserve">. Исторические тенденции показывают, что начавшееся в конце </w:t>
      </w:r>
      <w:r w:rsidR="00130C13">
        <w:rPr>
          <w:szCs w:val="24"/>
          <w:lang w:val="en-US"/>
        </w:rPr>
        <w:t>X</w:t>
      </w:r>
      <w:r w:rsidR="00130C13">
        <w:rPr>
          <w:szCs w:val="24"/>
          <w:lang w:val="de-DE"/>
        </w:rPr>
        <w:t>VII</w:t>
      </w:r>
      <w:r w:rsidR="00130C13" w:rsidRPr="00130C13">
        <w:rPr>
          <w:szCs w:val="24"/>
        </w:rPr>
        <w:t xml:space="preserve"> </w:t>
      </w:r>
      <w:r w:rsidR="00130C13">
        <w:rPr>
          <w:szCs w:val="24"/>
        </w:rPr>
        <w:t xml:space="preserve">века торговое сотрудничество России с Германией сделало последнюю главным торговым партнером России уже в конце </w:t>
      </w:r>
      <w:r w:rsidR="00130C13">
        <w:rPr>
          <w:szCs w:val="24"/>
          <w:lang w:val="en-US"/>
        </w:rPr>
        <w:t>XIX</w:t>
      </w:r>
      <w:r w:rsidR="00130C13" w:rsidRPr="003E0534">
        <w:rPr>
          <w:szCs w:val="24"/>
        </w:rPr>
        <w:t xml:space="preserve"> </w:t>
      </w:r>
      <w:r w:rsidR="00130C13">
        <w:rPr>
          <w:szCs w:val="24"/>
        </w:rPr>
        <w:t>века</w:t>
      </w:r>
      <w:r w:rsidR="003E0534">
        <w:rPr>
          <w:szCs w:val="24"/>
        </w:rPr>
        <w:t xml:space="preserve"> и сохраняло свою позицию вплоть до недавнего времени, когда в лидеры вырвался Китай. По итогам 2019 года объем российско-китайской торговли составил 110,9 млрд. долл. США, в то время как Германии – 53,2 млрд. долл. США</w:t>
      </w:r>
      <w:r w:rsidR="001B44E6">
        <w:rPr>
          <w:rStyle w:val="af5"/>
          <w:szCs w:val="24"/>
        </w:rPr>
        <w:footnoteReference w:id="131"/>
      </w:r>
      <w:r w:rsidR="003E0534">
        <w:rPr>
          <w:szCs w:val="24"/>
        </w:rPr>
        <w:t>. Великобритания, которая некогда занимала 1-е место в списке торговых партнеров сегодня не входит даже в первую десятку. Безусловно, данный тезис нельзя проецировать на Германию, которая без сомнения является главным торговым партнером России на Западе - в Европе. Тем не менее, тенденция показывает, что некогда модернизационный вектор российско-германского сотрудничества находится сегодня под давлением со стороны Китая. Сегодня, в структуре российско-китайского торговли, по аналогии с Германией, более 70% экспорта приходится на минеральные продукты, иначе – сырье; в структуре импорта 57% занимают м</w:t>
      </w:r>
      <w:r w:rsidR="003E0534" w:rsidRPr="003E0534">
        <w:rPr>
          <w:szCs w:val="24"/>
        </w:rPr>
        <w:t>ашины, оборудование и транспортные средства</w:t>
      </w:r>
      <w:r w:rsidR="003E0534">
        <w:rPr>
          <w:szCs w:val="24"/>
        </w:rPr>
        <w:t>. Фактически в режиме реального времени происходит замещение Германии Китаем</w:t>
      </w:r>
      <w:r w:rsidR="001B44E6">
        <w:rPr>
          <w:rStyle w:val="af5"/>
          <w:szCs w:val="24"/>
        </w:rPr>
        <w:footnoteReference w:id="132"/>
      </w:r>
      <w:r w:rsidR="003E0534">
        <w:rPr>
          <w:szCs w:val="24"/>
        </w:rPr>
        <w:t xml:space="preserve">. Причины происходящего достаточно прозрачны: </w:t>
      </w:r>
    </w:p>
    <w:p w14:paraId="1E25A652" w14:textId="0E7D377D" w:rsidR="00DA44B4" w:rsidRDefault="003E0534" w:rsidP="000C024C">
      <w:pPr>
        <w:pStyle w:val="a7"/>
        <w:numPr>
          <w:ilvl w:val="0"/>
          <w:numId w:val="21"/>
        </w:numPr>
        <w:rPr>
          <w:szCs w:val="24"/>
        </w:rPr>
      </w:pPr>
      <w:r w:rsidRPr="002751B2">
        <w:rPr>
          <w:szCs w:val="24"/>
        </w:rPr>
        <w:t xml:space="preserve">Политический аспект: </w:t>
      </w:r>
      <w:r w:rsidRPr="003E0534">
        <w:rPr>
          <w:szCs w:val="24"/>
        </w:rPr>
        <w:t>российско-китайские отношения на современном этапе находятся на вершине своего развития.  Этому способству</w:t>
      </w:r>
      <w:r>
        <w:rPr>
          <w:szCs w:val="24"/>
        </w:rPr>
        <w:t>ют регулярные встречи двух лидеров, единый подход к формированию многополярной системы международных отношений, всевозрастающая роль формата БРИКС, отсутствие поддержки западных санкций в отношении России со стороны Китая, и, наоборот, поддержка Россией Китайского проекта «Один пояс – один путь»</w:t>
      </w:r>
      <w:r w:rsidR="00615AB4">
        <w:rPr>
          <w:szCs w:val="24"/>
        </w:rPr>
        <w:t xml:space="preserve">, а также ряд других причин. С другой стороны, российско-германские отношения определяются во многом политической, экономической, культурной и военной интеграцией Германии в «западный мир». </w:t>
      </w:r>
      <w:r w:rsidR="002751B2">
        <w:rPr>
          <w:szCs w:val="24"/>
        </w:rPr>
        <w:t xml:space="preserve">Под давлением европейских и трансатлантических партнеров Германия принимает решения, препятствующие развития отношений - например, поддержка антироссийских санкций. </w:t>
      </w:r>
      <w:r w:rsidR="000C024C">
        <w:rPr>
          <w:szCs w:val="24"/>
        </w:rPr>
        <w:t>О</w:t>
      </w:r>
      <w:r w:rsidR="002751B2">
        <w:rPr>
          <w:szCs w:val="24"/>
        </w:rPr>
        <w:t>собую роль играет близость политических режимов в России и в Китае – авторитарные, в то время как Германия исповедует либерально-демократические принципы</w:t>
      </w:r>
      <w:r w:rsidR="00DA44B4">
        <w:rPr>
          <w:szCs w:val="24"/>
        </w:rPr>
        <w:t>.</w:t>
      </w:r>
      <w:r w:rsidR="000C024C">
        <w:rPr>
          <w:szCs w:val="24"/>
        </w:rPr>
        <w:t xml:space="preserve"> Более того, с</w:t>
      </w:r>
      <w:r w:rsidR="000C024C" w:rsidRPr="000C024C">
        <w:rPr>
          <w:szCs w:val="24"/>
        </w:rPr>
        <w:t xml:space="preserve">формировавшийся </w:t>
      </w:r>
      <w:r w:rsidR="000C024C" w:rsidRPr="000C024C">
        <w:rPr>
          <w:szCs w:val="24"/>
        </w:rPr>
        <w:lastRenderedPageBreak/>
        <w:t>после событий 2014 года консенсус западных стран в отношении России как к стране «агрессору» вызвал ответную реакцию в России, которая отразилась в идее «Поворот на Восток».</w:t>
      </w:r>
      <w:r w:rsidR="000C024C">
        <w:rPr>
          <w:szCs w:val="24"/>
        </w:rPr>
        <w:t xml:space="preserve"> Обе тенденции имеют большую внутреннюю инерцию, а потому движение в заданном направлении – к противостоянию России и Запада при параллельным сближении с Востоком будет продолжаться.</w:t>
      </w:r>
    </w:p>
    <w:p w14:paraId="77356630" w14:textId="63DB8ADB" w:rsidR="009E0CE5" w:rsidRDefault="000C024C" w:rsidP="00473FFB">
      <w:pPr>
        <w:pStyle w:val="a7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Экономический аспект: </w:t>
      </w:r>
      <w:r w:rsidR="00F148BE">
        <w:rPr>
          <w:szCs w:val="24"/>
        </w:rPr>
        <w:t xml:space="preserve">издавна Германия представляла из себя крупнейший промышленный центр, однако тренд на перенос производства в Китай не обошел её стороной и в конечном счете изменил баланс сил – именно Китай сегодня является мировым промышленным центром, технологические и инновационное достижения которого при прочих равных не уступают развитым странам. </w:t>
      </w:r>
    </w:p>
    <w:p w14:paraId="4F4FE10F" w14:textId="69F40C8B" w:rsidR="002E1A4A" w:rsidRDefault="00FB178E" w:rsidP="00FB178E">
      <w:pPr>
        <w:ind w:firstLine="708"/>
        <w:rPr>
          <w:szCs w:val="24"/>
        </w:rPr>
      </w:pPr>
      <w:r>
        <w:rPr>
          <w:szCs w:val="24"/>
        </w:rPr>
        <w:t xml:space="preserve">Исходя из перечисленных выше причин </w:t>
      </w:r>
      <w:r w:rsidR="00080FFA">
        <w:rPr>
          <w:szCs w:val="24"/>
        </w:rPr>
        <w:t xml:space="preserve">проистекает следующий вывод: </w:t>
      </w:r>
      <w:r w:rsidR="00080FFA" w:rsidRPr="004B2609">
        <w:rPr>
          <w:bCs/>
          <w:i/>
          <w:szCs w:val="24"/>
        </w:rPr>
        <w:t>утвержденная историей многовекового сотрудничества концепция «союз ресурсов и технологий» на сегодняшний день переживает свой закат.</w:t>
      </w:r>
      <w:r w:rsidR="00080FFA">
        <w:rPr>
          <w:b/>
          <w:i/>
          <w:szCs w:val="24"/>
        </w:rPr>
        <w:t xml:space="preserve"> </w:t>
      </w:r>
      <w:r w:rsidR="00080FFA" w:rsidRPr="00080FFA">
        <w:rPr>
          <w:szCs w:val="24"/>
        </w:rPr>
        <w:t>Важно отметить, что</w:t>
      </w:r>
      <w:r w:rsidR="00080FFA">
        <w:rPr>
          <w:szCs w:val="24"/>
        </w:rPr>
        <w:t xml:space="preserve"> данное утверждение не предполагает прекращение развития российско-германских отношений в будущем, но ведет его к трансформации. </w:t>
      </w:r>
      <w:r w:rsidR="00F44002">
        <w:rPr>
          <w:szCs w:val="24"/>
        </w:rPr>
        <w:t>Детально рассмотренные во второй главе два аспекта российско-германского сотрудничества в пост</w:t>
      </w:r>
      <w:r w:rsidR="004B2609">
        <w:rPr>
          <w:szCs w:val="24"/>
        </w:rPr>
        <w:t xml:space="preserve"> </w:t>
      </w:r>
      <w:r w:rsidR="00F44002">
        <w:rPr>
          <w:szCs w:val="24"/>
        </w:rPr>
        <w:t xml:space="preserve">биполярный период следовали историческому принципу: «экспорт сырья в обмен на импорт технологии», но каждый из них привел к совершенно разным стратегическим результатам: Германия нашла в лице России надежного поставщика энергоресурсов, который сумел обеспечить всевозрастающие потребности её экономики, тем самым сделав из России энергетическую сверхдержаву, способную использовать вопросы энергобезопасности для продвижения национальных интересов. Россия, в свою очередь, попыталась использовать растущие </w:t>
      </w:r>
      <w:r w:rsidR="00BE3189">
        <w:rPr>
          <w:szCs w:val="24"/>
        </w:rPr>
        <w:t xml:space="preserve">доходы от экспорта </w:t>
      </w:r>
      <w:r w:rsidR="00F44002">
        <w:rPr>
          <w:szCs w:val="24"/>
        </w:rPr>
        <w:t xml:space="preserve">нефти и газа для модернизации своей экономики и получению наиболее современных технологий.  </w:t>
      </w:r>
      <w:r w:rsidR="00BE3189">
        <w:rPr>
          <w:szCs w:val="24"/>
        </w:rPr>
        <w:t>Оценивая последствия</w:t>
      </w:r>
      <w:r w:rsidR="00F44002">
        <w:rPr>
          <w:szCs w:val="24"/>
        </w:rPr>
        <w:t xml:space="preserve"> экономической и промышленной модернизации </w:t>
      </w:r>
      <w:r w:rsidR="00BE3189">
        <w:rPr>
          <w:szCs w:val="24"/>
        </w:rPr>
        <w:t xml:space="preserve">спустя два десятилетия видно, что заложенные некогда ожидания </w:t>
      </w:r>
      <w:r w:rsidR="00F44002">
        <w:rPr>
          <w:szCs w:val="24"/>
        </w:rPr>
        <w:t xml:space="preserve">не соответствовали </w:t>
      </w:r>
      <w:r w:rsidR="00BE3189">
        <w:rPr>
          <w:szCs w:val="24"/>
        </w:rPr>
        <w:t>полученным</w:t>
      </w:r>
      <w:r w:rsidR="00F44002">
        <w:rPr>
          <w:szCs w:val="24"/>
        </w:rPr>
        <w:t xml:space="preserve"> </w:t>
      </w:r>
      <w:r w:rsidR="00BE3189">
        <w:rPr>
          <w:szCs w:val="24"/>
        </w:rPr>
        <w:t>результатам</w:t>
      </w:r>
      <w:r w:rsidR="00F44002">
        <w:rPr>
          <w:szCs w:val="24"/>
        </w:rPr>
        <w:t xml:space="preserve">, подтверждением чего является статистика </w:t>
      </w:r>
      <w:r w:rsidR="00BE3189">
        <w:rPr>
          <w:szCs w:val="24"/>
        </w:rPr>
        <w:t xml:space="preserve">износа </w:t>
      </w:r>
      <w:r w:rsidR="00F44002">
        <w:rPr>
          <w:szCs w:val="24"/>
        </w:rPr>
        <w:t>основных фондов российской промышленности.</w:t>
      </w:r>
      <w:r w:rsidR="00BE3189">
        <w:rPr>
          <w:szCs w:val="24"/>
        </w:rPr>
        <w:t xml:space="preserve"> Реальный рост российской экономики с 2008 года составлял 1% в год (с учетом кризисов), в связи с чем некоторые эксперты называют этот период «потерянным десятилетием». Подобные результаты нельзя назвать необычными. Что более вероятно, ошибка заключалась в исходной гипотезе «партнерства для модернизации»: встраивание России в 1991 году в систему международного разделения труда предопределило её роль в качестве поставщика сырья, а высокие цены на нефть привели к тому, что всевозрастающая доля импортных товаров в потреблении снижал</w:t>
      </w:r>
      <w:r w:rsidR="00A17F6C">
        <w:rPr>
          <w:szCs w:val="24"/>
        </w:rPr>
        <w:t>а</w:t>
      </w:r>
      <w:r w:rsidR="00BE3189">
        <w:rPr>
          <w:szCs w:val="24"/>
        </w:rPr>
        <w:t xml:space="preserve"> необходимость модернизации промышленности для производства </w:t>
      </w:r>
      <w:r w:rsidR="00BE3189">
        <w:rPr>
          <w:szCs w:val="24"/>
        </w:rPr>
        <w:lastRenderedPageBreak/>
        <w:t>отечественных товаров.</w:t>
      </w:r>
      <w:r>
        <w:rPr>
          <w:szCs w:val="24"/>
        </w:rPr>
        <w:t xml:space="preserve"> Таким образом некогда двусторонний принцип</w:t>
      </w:r>
      <w:r w:rsidR="00331A5E">
        <w:rPr>
          <w:szCs w:val="24"/>
        </w:rPr>
        <w:t xml:space="preserve"> развития российско-германских отношений</w:t>
      </w:r>
      <w:r>
        <w:rPr>
          <w:szCs w:val="24"/>
        </w:rPr>
        <w:t xml:space="preserve"> отныне приобретает односторонн</w:t>
      </w:r>
      <w:r w:rsidR="00331A5E">
        <w:rPr>
          <w:szCs w:val="24"/>
        </w:rPr>
        <w:t>юю</w:t>
      </w:r>
      <w:r>
        <w:rPr>
          <w:szCs w:val="24"/>
        </w:rPr>
        <w:t xml:space="preserve"> направле</w:t>
      </w:r>
      <w:r w:rsidR="00331A5E">
        <w:rPr>
          <w:szCs w:val="24"/>
        </w:rPr>
        <w:t xml:space="preserve">нность – </w:t>
      </w:r>
      <w:r w:rsidR="00F44002">
        <w:rPr>
          <w:szCs w:val="24"/>
        </w:rPr>
        <w:t>«экспорт сырья».</w:t>
      </w:r>
      <w:r w:rsidR="00BC0CDD">
        <w:rPr>
          <w:szCs w:val="24"/>
        </w:rPr>
        <w:t xml:space="preserve"> Данная концепция развития российско-германских отношений соответствует объективным реалиям: </w:t>
      </w:r>
    </w:p>
    <w:p w14:paraId="53C2BA31" w14:textId="4F3C03BA" w:rsidR="004A771C" w:rsidRDefault="002E1A4A" w:rsidP="002E1A4A">
      <w:pPr>
        <w:pStyle w:val="a7"/>
        <w:numPr>
          <w:ilvl w:val="0"/>
          <w:numId w:val="22"/>
        </w:numPr>
        <w:rPr>
          <w:szCs w:val="24"/>
        </w:rPr>
      </w:pPr>
      <w:r>
        <w:rPr>
          <w:szCs w:val="24"/>
        </w:rPr>
        <w:t>В</w:t>
      </w:r>
      <w:r w:rsidR="00BC0CDD" w:rsidRPr="002E1A4A">
        <w:rPr>
          <w:szCs w:val="24"/>
        </w:rPr>
        <w:t xml:space="preserve">о-первых, на сегодняшний день аналога российскому газу в Европе не существует. Несмотря на заявления США, Великобритании и ряда других проатлантических стран о способности предоставить альтернативу российскому газу, де-факто ни один из вариантов не выступает реальным конкурентом. Например, поставки газа из Азербайджана по Южному газовому коридору имеют проектную мощность </w:t>
      </w:r>
      <w:r w:rsidR="00DA660D" w:rsidRPr="002E1A4A">
        <w:rPr>
          <w:szCs w:val="24"/>
        </w:rPr>
        <w:t>16 млрд. м</w:t>
      </w:r>
      <w:r w:rsidR="00DA660D" w:rsidRPr="002E1A4A">
        <w:rPr>
          <w:szCs w:val="24"/>
          <w:vertAlign w:val="superscript"/>
        </w:rPr>
        <w:t>3</w:t>
      </w:r>
      <w:r w:rsidR="00DA660D" w:rsidRPr="002E1A4A">
        <w:rPr>
          <w:szCs w:val="24"/>
        </w:rPr>
        <w:t>, при том, что поставки газа «Газпромом» в Европу превышают 200 млрд. м</w:t>
      </w:r>
      <w:r w:rsidR="00DA660D" w:rsidRPr="002E1A4A">
        <w:rPr>
          <w:szCs w:val="24"/>
          <w:vertAlign w:val="superscript"/>
        </w:rPr>
        <w:t>3</w:t>
      </w:r>
      <w:r w:rsidR="008B7D83">
        <w:rPr>
          <w:szCs w:val="24"/>
          <w:vertAlign w:val="superscript"/>
        </w:rPr>
        <w:t xml:space="preserve"> </w:t>
      </w:r>
      <w:r w:rsidR="008B7D83">
        <w:rPr>
          <w:rStyle w:val="af5"/>
          <w:szCs w:val="24"/>
        </w:rPr>
        <w:footnoteReference w:id="133"/>
      </w:r>
      <w:r w:rsidR="00DA660D" w:rsidRPr="002E1A4A">
        <w:rPr>
          <w:szCs w:val="24"/>
        </w:rPr>
        <w:t>. Альтернатива в виде американского сланцевого газа также выглядит необоснованной ввиду более дорогой себестоимости добычи, необходимости строить СПГ-терминалы, производить сжижение, транспортировку и регазификацию, что в сумме делает его дороже российского трубопроводного газа на 25-30%.</w:t>
      </w:r>
      <w:r w:rsidRPr="002E1A4A">
        <w:rPr>
          <w:szCs w:val="24"/>
        </w:rPr>
        <w:t xml:space="preserve"> </w:t>
      </w:r>
      <w:r>
        <w:rPr>
          <w:szCs w:val="24"/>
        </w:rPr>
        <w:t>Таким образом в средне и долгосрочной перспективы реальных конкурентов у российского газа в Европе нет, а так как Германия была и остается основным импортером, российско-германские газовые отношения не будут претерпевать изменений.</w:t>
      </w:r>
    </w:p>
    <w:p w14:paraId="0E28D3B5" w14:textId="2B1554F7" w:rsidR="00AC4BE4" w:rsidRDefault="002E1A4A" w:rsidP="00AC4BE4">
      <w:pPr>
        <w:pStyle w:val="a7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Во-вторых, </w:t>
      </w:r>
      <w:r w:rsidR="00F5003D">
        <w:rPr>
          <w:szCs w:val="24"/>
        </w:rPr>
        <w:t xml:space="preserve">импорт технологий из Германии на протяжении многих десятилетий осуществлялся с одной стороны – из-за изолированности и отчужденности стран Азии, а с другой – из-за их технологической отсталости. На сегодняшний день восприятие Германии (как в прочем и Европы в целом) как центра инновационной деятельности и технологического развития </w:t>
      </w:r>
      <w:proofErr w:type="gramStart"/>
      <w:r w:rsidR="00F5003D">
        <w:rPr>
          <w:szCs w:val="24"/>
        </w:rPr>
        <w:t>верно</w:t>
      </w:r>
      <w:r w:rsidR="00AC4BE4">
        <w:rPr>
          <w:szCs w:val="24"/>
        </w:rPr>
        <w:t xml:space="preserve"> </w:t>
      </w:r>
      <w:r w:rsidR="00F5003D">
        <w:rPr>
          <w:szCs w:val="24"/>
        </w:rPr>
        <w:t>по сути</w:t>
      </w:r>
      <w:proofErr w:type="gramEnd"/>
      <w:r w:rsidR="00F5003D">
        <w:rPr>
          <w:szCs w:val="24"/>
        </w:rPr>
        <w:t xml:space="preserve">, но не учитывает альтернативы – сложившиеся технологические зоны в других странах и регионах, например – в Китае. Это, в совокупности с факторами политической отчужденности создает предпосылки смены Россией поставщика технологий в пользу Китая. </w:t>
      </w:r>
    </w:p>
    <w:p w14:paraId="6C694744" w14:textId="674CCFFB" w:rsidR="00E961A2" w:rsidRDefault="00C965BE" w:rsidP="009A280B">
      <w:pPr>
        <w:ind w:firstLine="708"/>
        <w:rPr>
          <w:szCs w:val="24"/>
        </w:rPr>
      </w:pPr>
      <w:r>
        <w:rPr>
          <w:szCs w:val="24"/>
        </w:rPr>
        <w:t xml:space="preserve">На основании </w:t>
      </w:r>
      <w:r w:rsidR="00C070F3">
        <w:rPr>
          <w:szCs w:val="24"/>
        </w:rPr>
        <w:t xml:space="preserve">перечисленных выше фактов и трендов формируются </w:t>
      </w:r>
      <w:r w:rsidR="009A280B">
        <w:rPr>
          <w:szCs w:val="24"/>
        </w:rPr>
        <w:t>2</w:t>
      </w:r>
      <w:r w:rsidR="00C070F3">
        <w:rPr>
          <w:szCs w:val="24"/>
        </w:rPr>
        <w:t xml:space="preserve"> сценария развития российско-германских отношений в средне и долгосрочной перспективе</w:t>
      </w:r>
      <w:r w:rsidR="00571274">
        <w:rPr>
          <w:szCs w:val="24"/>
        </w:rPr>
        <w:t>, которые будут формироваться на основе противоречащих друг с другом трендов.</w:t>
      </w:r>
      <w:r w:rsidR="00C070F3">
        <w:rPr>
          <w:szCs w:val="24"/>
        </w:rPr>
        <w:t xml:space="preserve"> </w:t>
      </w:r>
      <w:r w:rsidR="00C070F3" w:rsidRPr="00AD5D22">
        <w:rPr>
          <w:szCs w:val="24"/>
        </w:rPr>
        <w:t>В качестве постоянны</w:t>
      </w:r>
      <w:r w:rsidR="00AD5D22" w:rsidRPr="00AD5D22">
        <w:rPr>
          <w:szCs w:val="24"/>
        </w:rPr>
        <w:t>х</w:t>
      </w:r>
      <w:r w:rsidR="00C070F3" w:rsidRPr="00E63D95">
        <w:rPr>
          <w:b/>
          <w:bCs/>
          <w:i/>
          <w:iCs/>
          <w:szCs w:val="24"/>
        </w:rPr>
        <w:t xml:space="preserve"> </w:t>
      </w:r>
      <w:r w:rsidR="00C070F3">
        <w:rPr>
          <w:szCs w:val="24"/>
        </w:rPr>
        <w:t>необходимо взять следующие утверждения:</w:t>
      </w:r>
    </w:p>
    <w:p w14:paraId="14AB8CCC" w14:textId="138D8CFE" w:rsidR="00C070F3" w:rsidRDefault="00C070F3" w:rsidP="00C070F3">
      <w:pPr>
        <w:pStyle w:val="a7"/>
        <w:numPr>
          <w:ilvl w:val="0"/>
          <w:numId w:val="23"/>
        </w:numPr>
        <w:rPr>
          <w:szCs w:val="24"/>
        </w:rPr>
      </w:pPr>
      <w:r>
        <w:rPr>
          <w:szCs w:val="24"/>
        </w:rPr>
        <w:lastRenderedPageBreak/>
        <w:t>Стоимость нефти</w:t>
      </w:r>
      <w:r>
        <w:rPr>
          <w:rStyle w:val="af5"/>
          <w:szCs w:val="24"/>
        </w:rPr>
        <w:footnoteReference w:id="134"/>
      </w:r>
      <w:r>
        <w:rPr>
          <w:szCs w:val="24"/>
        </w:rPr>
        <w:t xml:space="preserve"> будет в краткосрочной перспективе (2020-2021 гг.) после восстановления спроса в мировой экономике будет колебаться в диапазоне 35-40 долл. США за баррель, таким образом стремительного восстановления цен на нефть ожидать не стоит. В долгосрочной перспективе стоимость нефти может подняться до 50-60 долл. США за баррель, однако повторение суперцикла 2000-х гг. маловероятно.</w:t>
      </w:r>
    </w:p>
    <w:p w14:paraId="16E0E9AE" w14:textId="3CD391AD" w:rsidR="00C070F3" w:rsidRDefault="0047131B" w:rsidP="00C070F3">
      <w:pPr>
        <w:pStyle w:val="a7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Альтернативы российскому газу в Европе на сегодняшний день не существует, а потому российско-германские газовые отношения будут </w:t>
      </w:r>
      <w:r w:rsidR="00E63D95">
        <w:rPr>
          <w:szCs w:val="24"/>
        </w:rPr>
        <w:t>развиваться</w:t>
      </w:r>
      <w:r>
        <w:rPr>
          <w:szCs w:val="24"/>
        </w:rPr>
        <w:t xml:space="preserve"> несмотря на политическую турбулентность.</w:t>
      </w:r>
    </w:p>
    <w:p w14:paraId="07C9F9EF" w14:textId="5FC56A36" w:rsidR="002470C6" w:rsidRDefault="00650F3D" w:rsidP="00C070F3">
      <w:pPr>
        <w:pStyle w:val="a7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В соответствии с консенсус прогнозом крупнейших ТНК и международных энергетических организаций о трансформации структуры энергобаланса, к 2040 году доля нефти снизится с 31% до 27% при одновременном росте потребления газа с 21% до 27%, подтверждая сценарий того, что </w:t>
      </w:r>
      <w:r>
        <w:rPr>
          <w:szCs w:val="24"/>
          <w:lang w:val="en-US"/>
        </w:rPr>
        <w:t>XXI</w:t>
      </w:r>
      <w:r w:rsidRPr="00650F3D">
        <w:rPr>
          <w:szCs w:val="24"/>
        </w:rPr>
        <w:t xml:space="preserve"> </w:t>
      </w:r>
      <w:r>
        <w:rPr>
          <w:szCs w:val="24"/>
        </w:rPr>
        <w:t xml:space="preserve">век – век природного газа. </w:t>
      </w:r>
    </w:p>
    <w:p w14:paraId="33887FE5" w14:textId="3D0C592E" w:rsidR="00DA53F2" w:rsidRDefault="00DA53F2" w:rsidP="00C070F3">
      <w:pPr>
        <w:pStyle w:val="a7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Исследования показывают, что задачи в рамках стратегии энергетического поворота Германии в пользу ВИЭ к 2020-му году не были реализованы. Это не отменяет стратегию в целом, однако сроки её реализации будут, вероятнее всего, сдвинуты вперед. </w:t>
      </w:r>
    </w:p>
    <w:p w14:paraId="1DC60564" w14:textId="08D3AE5F" w:rsidR="00DA53F2" w:rsidRDefault="00DA53F2" w:rsidP="00C070F3">
      <w:pPr>
        <w:pStyle w:val="a7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В краткосрочном периоде поставки российского газа и нефти в Европу сильно сократятся. </w:t>
      </w:r>
    </w:p>
    <w:p w14:paraId="3BD5325A" w14:textId="62A4A1FE" w:rsidR="00AD5D22" w:rsidRPr="00AD5D22" w:rsidRDefault="009A03BA" w:rsidP="009A03BA">
      <w:pPr>
        <w:ind w:firstLine="708"/>
        <w:rPr>
          <w:szCs w:val="24"/>
        </w:rPr>
      </w:pPr>
      <w:r w:rsidRPr="0025665F">
        <w:rPr>
          <w:szCs w:val="24"/>
        </w:rPr>
        <w:t>О</w:t>
      </w:r>
      <w:r w:rsidR="00A17F6C" w:rsidRPr="0025665F">
        <w:rPr>
          <w:szCs w:val="24"/>
        </w:rPr>
        <w:t>писанные выше «константы» будущего российско-германских отношений (за исключением пункта 5)</w:t>
      </w:r>
      <w:r w:rsidRPr="0025665F">
        <w:rPr>
          <w:szCs w:val="24"/>
        </w:rPr>
        <w:t xml:space="preserve"> представляют из себя долгосрочные тенденции, которые охватывают в первую очередь сотрудничество в сфере поставок энергоресурсов, тем самым подтверждая справедливость утверждения «экспорт сырья». Вторая же половина утверждения – «импорт технологий и партнерство для модернизации» оставляет пространство для маневра в будущем двухсторонних отношений и представляет из себя набор «переменных»</w:t>
      </w:r>
      <w:r w:rsidR="00C420EE" w:rsidRPr="0025665F">
        <w:rPr>
          <w:szCs w:val="24"/>
        </w:rPr>
        <w:t>, которые и стали основой двух сценариев дальнейшего развития российско-германских отношений.</w:t>
      </w:r>
    </w:p>
    <w:p w14:paraId="1079DE7D" w14:textId="4B537B2E" w:rsidR="0047131B" w:rsidRPr="006D6668" w:rsidRDefault="002470C6" w:rsidP="002470C6">
      <w:pPr>
        <w:jc w:val="center"/>
        <w:rPr>
          <w:b/>
          <w:i/>
        </w:rPr>
      </w:pPr>
      <w:r w:rsidRPr="006D6668">
        <w:rPr>
          <w:b/>
          <w:i/>
        </w:rPr>
        <w:t>Сценарий 1</w:t>
      </w:r>
      <w:r w:rsidR="00F533B8" w:rsidRPr="006D6668">
        <w:rPr>
          <w:b/>
          <w:i/>
        </w:rPr>
        <w:t xml:space="preserve">. Россия и Германия: </w:t>
      </w:r>
      <w:r w:rsidRPr="006D6668">
        <w:rPr>
          <w:b/>
          <w:i/>
        </w:rPr>
        <w:t>от отчуждения к новому сотрудничеству</w:t>
      </w:r>
      <w:r w:rsidR="003A64F1" w:rsidRPr="006D6668">
        <w:rPr>
          <w:b/>
          <w:i/>
        </w:rPr>
        <w:t xml:space="preserve"> (оптимистичный)</w:t>
      </w:r>
    </w:p>
    <w:p w14:paraId="412089B1" w14:textId="57D9728A" w:rsidR="002E1A4A" w:rsidRDefault="002470C6" w:rsidP="002470C6">
      <w:pPr>
        <w:ind w:firstLine="708"/>
        <w:rPr>
          <w:szCs w:val="24"/>
        </w:rPr>
      </w:pPr>
      <w:r>
        <w:rPr>
          <w:szCs w:val="24"/>
        </w:rPr>
        <w:t xml:space="preserve">Данный сценарий берет за основу утверждение, что </w:t>
      </w:r>
      <w:r w:rsidR="00650F3D">
        <w:rPr>
          <w:szCs w:val="24"/>
        </w:rPr>
        <w:t>кризис,</w:t>
      </w:r>
      <w:r>
        <w:rPr>
          <w:szCs w:val="24"/>
        </w:rPr>
        <w:t xml:space="preserve"> вызванный пандемией коронавируса, выявил значительные недостатки неолиберальной модели экономического </w:t>
      </w:r>
      <w:r>
        <w:rPr>
          <w:szCs w:val="24"/>
        </w:rPr>
        <w:lastRenderedPageBreak/>
        <w:t xml:space="preserve">хозяйствования с использованием глобальных цепочек добавленной стоимости и дешевой рабочей силы, в результате чего будет происходить постепенная </w:t>
      </w:r>
      <w:r w:rsidR="00650F3D">
        <w:rPr>
          <w:szCs w:val="24"/>
        </w:rPr>
        <w:t xml:space="preserve">возврат </w:t>
      </w:r>
      <w:r>
        <w:rPr>
          <w:szCs w:val="24"/>
        </w:rPr>
        <w:t>производств</w:t>
      </w:r>
      <w:r w:rsidR="00DA53F2">
        <w:rPr>
          <w:szCs w:val="24"/>
        </w:rPr>
        <w:t xml:space="preserve"> </w:t>
      </w:r>
      <w:r>
        <w:rPr>
          <w:szCs w:val="24"/>
        </w:rPr>
        <w:t>из стран Азии. В этом случае:</w:t>
      </w:r>
    </w:p>
    <w:p w14:paraId="04CCBD0A" w14:textId="744F9986" w:rsidR="00DA53F2" w:rsidRDefault="002470C6" w:rsidP="00DA53F2">
      <w:pPr>
        <w:pStyle w:val="a7"/>
        <w:numPr>
          <w:ilvl w:val="0"/>
          <w:numId w:val="24"/>
        </w:numPr>
        <w:rPr>
          <w:szCs w:val="24"/>
        </w:rPr>
      </w:pPr>
      <w:r>
        <w:rPr>
          <w:szCs w:val="24"/>
        </w:rPr>
        <w:t>В</w:t>
      </w:r>
      <w:r w:rsidR="00DA53F2">
        <w:rPr>
          <w:szCs w:val="24"/>
        </w:rPr>
        <w:t xml:space="preserve">озврат промышленных мощностей </w:t>
      </w:r>
      <w:r w:rsidR="00E37328">
        <w:rPr>
          <w:szCs w:val="24"/>
        </w:rPr>
        <w:t xml:space="preserve">в Германию </w:t>
      </w:r>
      <w:r w:rsidR="00DA53F2">
        <w:rPr>
          <w:szCs w:val="24"/>
        </w:rPr>
        <w:t>потребует дополнительных</w:t>
      </w:r>
      <w:r>
        <w:rPr>
          <w:szCs w:val="24"/>
        </w:rPr>
        <w:t xml:space="preserve"> </w:t>
      </w:r>
      <w:r w:rsidR="00DA53F2">
        <w:rPr>
          <w:szCs w:val="24"/>
        </w:rPr>
        <w:t xml:space="preserve">объемов сырья, что приведет к росту </w:t>
      </w:r>
      <w:r>
        <w:rPr>
          <w:szCs w:val="24"/>
        </w:rPr>
        <w:t>спрос</w:t>
      </w:r>
      <w:r w:rsidR="00DA53F2">
        <w:rPr>
          <w:szCs w:val="24"/>
        </w:rPr>
        <w:t>а</w:t>
      </w:r>
      <w:r>
        <w:rPr>
          <w:szCs w:val="24"/>
        </w:rPr>
        <w:t xml:space="preserve"> на энергоносители</w:t>
      </w:r>
      <w:r w:rsidR="00E37328">
        <w:rPr>
          <w:szCs w:val="24"/>
        </w:rPr>
        <w:t>. Исследования показывают, что требуемые объемы производители альтернативной энергетики предоставить не смогут, а потому нефть и газ являются единственными кандидатами на эту роль.</w:t>
      </w:r>
    </w:p>
    <w:p w14:paraId="418D3037" w14:textId="09042A66" w:rsidR="00DA53F2" w:rsidRDefault="00DA53F2" w:rsidP="00F533B8">
      <w:pPr>
        <w:pStyle w:val="a7"/>
        <w:numPr>
          <w:ilvl w:val="0"/>
          <w:numId w:val="24"/>
        </w:numPr>
        <w:rPr>
          <w:szCs w:val="24"/>
        </w:rPr>
      </w:pPr>
      <w:r>
        <w:rPr>
          <w:szCs w:val="24"/>
        </w:rPr>
        <w:t>Мировой экономический кризис, начавшийся в 2020-м году, приведет к сокращению инвестиций в сектор альтернативной энергетики</w:t>
      </w:r>
      <w:r w:rsidR="00E37328">
        <w:rPr>
          <w:szCs w:val="24"/>
        </w:rPr>
        <w:t xml:space="preserve"> и создаст проблемы с субсидированием производителей,</w:t>
      </w:r>
      <w:r>
        <w:rPr>
          <w:szCs w:val="24"/>
        </w:rPr>
        <w:t xml:space="preserve"> что дополнительно повысит спрос на газ в будущем.</w:t>
      </w:r>
    </w:p>
    <w:p w14:paraId="34C6F15D" w14:textId="77777777" w:rsidR="00F533B8" w:rsidRDefault="00F533B8" w:rsidP="00F533B8">
      <w:pPr>
        <w:pStyle w:val="a7"/>
        <w:numPr>
          <w:ilvl w:val="0"/>
          <w:numId w:val="24"/>
        </w:numPr>
        <w:rPr>
          <w:szCs w:val="24"/>
        </w:rPr>
      </w:pPr>
      <w:r>
        <w:rPr>
          <w:szCs w:val="24"/>
        </w:rPr>
        <w:t xml:space="preserve">В России локализация производства будет происходить не за счет вывоза промышленных мощностей из стран Азии, а за счет новой «индустриализации». </w:t>
      </w:r>
    </w:p>
    <w:p w14:paraId="69BA97E5" w14:textId="209DBDF9" w:rsidR="00F533B8" w:rsidRDefault="00F533B8" w:rsidP="00B44396">
      <w:pPr>
        <w:ind w:firstLine="708"/>
        <w:rPr>
          <w:szCs w:val="24"/>
        </w:rPr>
      </w:pPr>
      <w:r w:rsidRPr="00F533B8">
        <w:rPr>
          <w:szCs w:val="24"/>
        </w:rPr>
        <w:t xml:space="preserve">В этом случае, </w:t>
      </w:r>
      <w:r>
        <w:rPr>
          <w:szCs w:val="24"/>
        </w:rPr>
        <w:t>концепция союза «ресурсов и технологий»</w:t>
      </w:r>
      <w:r w:rsidRPr="00F533B8">
        <w:rPr>
          <w:szCs w:val="24"/>
        </w:rPr>
        <w:t xml:space="preserve"> </w:t>
      </w:r>
      <w:r>
        <w:rPr>
          <w:szCs w:val="24"/>
        </w:rPr>
        <w:t>может получить второе дыхание, которое будет усилено в случае снятия санкций и политической оттепели.</w:t>
      </w:r>
      <w:r w:rsidR="00B44396">
        <w:rPr>
          <w:szCs w:val="24"/>
        </w:rPr>
        <w:t xml:space="preserve"> По аналогии со сценариями развития двухсторонних отношений до 2030 года, предложенными Фондом Фридриха </w:t>
      </w:r>
      <w:proofErr w:type="spellStart"/>
      <w:r w:rsidR="00B44396">
        <w:rPr>
          <w:szCs w:val="24"/>
        </w:rPr>
        <w:t>Эберта</w:t>
      </w:r>
      <w:proofErr w:type="spellEnd"/>
      <w:r w:rsidR="00B44396">
        <w:rPr>
          <w:szCs w:val="24"/>
        </w:rPr>
        <w:t xml:space="preserve"> в 2013 году, описанный выше прогноз является позитивной версией сценария «Парусник», который предполагает, что российско-германские</w:t>
      </w:r>
      <w:r w:rsidR="00B44396" w:rsidRPr="00B44396">
        <w:rPr>
          <w:szCs w:val="24"/>
        </w:rPr>
        <w:t xml:space="preserve"> отношения в один момент</w:t>
      </w:r>
      <w:r w:rsidR="00B44396">
        <w:rPr>
          <w:szCs w:val="24"/>
        </w:rPr>
        <w:t xml:space="preserve"> </w:t>
      </w:r>
      <w:r w:rsidR="00B44396" w:rsidRPr="00B44396">
        <w:rPr>
          <w:szCs w:val="24"/>
        </w:rPr>
        <w:t>могут поймать попутный ветер, в другой – попасть в штиль,</w:t>
      </w:r>
      <w:r w:rsidR="00B44396">
        <w:rPr>
          <w:szCs w:val="24"/>
        </w:rPr>
        <w:t xml:space="preserve"> </w:t>
      </w:r>
      <w:r w:rsidR="00B44396" w:rsidRPr="00B44396">
        <w:rPr>
          <w:szCs w:val="24"/>
        </w:rPr>
        <w:t>а иногда даже откатиться назад</w:t>
      </w:r>
      <w:r w:rsidR="004B2609">
        <w:rPr>
          <w:rStyle w:val="af5"/>
          <w:szCs w:val="24"/>
        </w:rPr>
        <w:footnoteReference w:id="135"/>
      </w:r>
      <w:r w:rsidR="00B44396">
        <w:rPr>
          <w:szCs w:val="24"/>
        </w:rPr>
        <w:t>. В отличие от представленной в нем зависимости отношений от политического фактора, по мнению автора, последние события будут способствовать движению двухсторонних отношений в положительную сторону.</w:t>
      </w:r>
    </w:p>
    <w:p w14:paraId="746A7810" w14:textId="273099BA" w:rsidR="003A64F1" w:rsidRPr="006D6668" w:rsidRDefault="00F533B8" w:rsidP="003A64F1">
      <w:pPr>
        <w:jc w:val="center"/>
        <w:rPr>
          <w:b/>
          <w:i/>
        </w:rPr>
      </w:pPr>
      <w:r w:rsidRPr="006D6668">
        <w:rPr>
          <w:b/>
          <w:i/>
        </w:rPr>
        <w:t>Сценарий 2. Россия и Германия: движение по инерции</w:t>
      </w:r>
      <w:r w:rsidR="004E2AC6" w:rsidRPr="006D6668">
        <w:rPr>
          <w:b/>
          <w:i/>
        </w:rPr>
        <w:t xml:space="preserve"> (консервативный)</w:t>
      </w:r>
    </w:p>
    <w:p w14:paraId="4694625F" w14:textId="32259EF2" w:rsidR="009A280B" w:rsidRDefault="003A64F1" w:rsidP="009A280B">
      <w:pPr>
        <w:ind w:firstLine="708"/>
        <w:rPr>
          <w:szCs w:val="24"/>
        </w:rPr>
      </w:pPr>
      <w:r>
        <w:rPr>
          <w:szCs w:val="24"/>
        </w:rPr>
        <w:t>Данный сценарий принимает за основу утверждение, что кризис 2020-го года сохранит принципы неолиберальной концепции управления мировой экономикой</w:t>
      </w:r>
      <w:r w:rsidR="00477B3B">
        <w:rPr>
          <w:szCs w:val="24"/>
        </w:rPr>
        <w:t xml:space="preserve"> с сохранением либерализации торговли и потоков капитала, международного разделения труд</w:t>
      </w:r>
      <w:r w:rsidR="009A280B">
        <w:rPr>
          <w:szCs w:val="24"/>
        </w:rPr>
        <w:t>а. В этом случае, логика развития российско-германских отношений будет иметь следующие черты:</w:t>
      </w:r>
    </w:p>
    <w:p w14:paraId="769F9ACF" w14:textId="3B154F10" w:rsidR="009A280B" w:rsidRDefault="009A280B" w:rsidP="009A280B">
      <w:pPr>
        <w:pStyle w:val="a7"/>
        <w:numPr>
          <w:ilvl w:val="0"/>
          <w:numId w:val="26"/>
        </w:numPr>
        <w:rPr>
          <w:szCs w:val="24"/>
        </w:rPr>
      </w:pPr>
      <w:r>
        <w:rPr>
          <w:szCs w:val="24"/>
        </w:rPr>
        <w:t>Нефтегазовый фактор продолжит играть определяющую роль в развитии межгосударственных отношений</w:t>
      </w:r>
      <w:r w:rsidR="00737593">
        <w:rPr>
          <w:szCs w:val="24"/>
        </w:rPr>
        <w:t>, однако, по мере реализации энергетического поворота его влияние будет снижаться.</w:t>
      </w:r>
    </w:p>
    <w:p w14:paraId="0EC114CF" w14:textId="68E0F1C7" w:rsidR="009A280B" w:rsidRDefault="009A280B" w:rsidP="009A280B">
      <w:pPr>
        <w:pStyle w:val="a7"/>
        <w:numPr>
          <w:ilvl w:val="0"/>
          <w:numId w:val="26"/>
        </w:numPr>
        <w:rPr>
          <w:szCs w:val="24"/>
        </w:rPr>
      </w:pPr>
      <w:r>
        <w:rPr>
          <w:szCs w:val="24"/>
        </w:rPr>
        <w:lastRenderedPageBreak/>
        <w:t>Согласно прогнозам ТНК и МО, долгосрочный тренд на постепенное смещение потребления в страны Азии и Африки предполагает рост потребления газа в Европе до 2030 года, после чего будет происходить его сокращение за счет внедрения новых технологий. Как результат будет происходить постепенная переориентация российской энергетической промышленности на Восток и нефтегазовый фактор будет со временем утрачивать свою силу.</w:t>
      </w:r>
    </w:p>
    <w:p w14:paraId="4AC0F457" w14:textId="730D1ED1" w:rsidR="004F6124" w:rsidRDefault="004F6124" w:rsidP="00737593">
      <w:pPr>
        <w:ind w:firstLine="708"/>
        <w:rPr>
          <w:szCs w:val="24"/>
        </w:rPr>
      </w:pPr>
      <w:r>
        <w:rPr>
          <w:szCs w:val="24"/>
        </w:rPr>
        <w:t xml:space="preserve">Данный сценарий имеет определенные сходства со сценарием двухсторонних отношений до 2030 года, составленный Фондом Фридриха </w:t>
      </w:r>
      <w:proofErr w:type="spellStart"/>
      <w:r>
        <w:rPr>
          <w:szCs w:val="24"/>
        </w:rPr>
        <w:t>Эберта</w:t>
      </w:r>
      <w:proofErr w:type="spellEnd"/>
      <w:r>
        <w:rPr>
          <w:szCs w:val="24"/>
        </w:rPr>
        <w:t xml:space="preserve"> </w:t>
      </w:r>
      <w:r w:rsidR="00B44396">
        <w:rPr>
          <w:szCs w:val="24"/>
        </w:rPr>
        <w:t>под названием</w:t>
      </w:r>
      <w:r>
        <w:rPr>
          <w:szCs w:val="24"/>
        </w:rPr>
        <w:t xml:space="preserve"> «Береговая охрана: новый ледниковый период». Его суть сводится к тому, что экономическая и торговая связь двух государств под давлением политической конъюнктуры и разной системы ценностей будет усиливаться, а противостояние «Восток-Запад» выйдет на новый уровень</w:t>
      </w:r>
      <w:r w:rsidR="004B2609">
        <w:rPr>
          <w:rStyle w:val="af5"/>
          <w:szCs w:val="24"/>
        </w:rPr>
        <w:footnoteReference w:id="136"/>
      </w:r>
      <w:r>
        <w:rPr>
          <w:szCs w:val="24"/>
        </w:rPr>
        <w:t>.</w:t>
      </w:r>
    </w:p>
    <w:p w14:paraId="7EA9E9D1" w14:textId="49F5D0D4" w:rsidR="00463F37" w:rsidRPr="004B2609" w:rsidRDefault="002630F5" w:rsidP="004B2609">
      <w:pPr>
        <w:ind w:firstLine="708"/>
        <w:rPr>
          <w:szCs w:val="24"/>
        </w:rPr>
      </w:pPr>
      <w:r>
        <w:rPr>
          <w:szCs w:val="24"/>
        </w:rPr>
        <w:t>С точки зрения вероятности,</w:t>
      </w:r>
      <w:r w:rsidR="002A289A">
        <w:rPr>
          <w:szCs w:val="24"/>
        </w:rPr>
        <w:t xml:space="preserve"> </w:t>
      </w:r>
      <w:r>
        <w:rPr>
          <w:szCs w:val="24"/>
        </w:rPr>
        <w:t>оптимистичный сценарий выглядит более реалистичным</w:t>
      </w:r>
      <w:r w:rsidR="00737593">
        <w:rPr>
          <w:szCs w:val="24"/>
        </w:rPr>
        <w:t>. Н</w:t>
      </w:r>
      <w:r>
        <w:rPr>
          <w:szCs w:val="24"/>
        </w:rPr>
        <w:t>есмотря на стремительн</w:t>
      </w:r>
      <w:r w:rsidR="007740A5">
        <w:rPr>
          <w:szCs w:val="24"/>
        </w:rPr>
        <w:t>ое</w:t>
      </w:r>
      <w:r>
        <w:rPr>
          <w:szCs w:val="24"/>
        </w:rPr>
        <w:t xml:space="preserve"> развитие политических и экономических отношений с Китаем, многовековая история отношений России с Германией, которые сумели преодолеть на своем пути страшнейшие препятствия и выйти на путь долгосрочного сотрудничества нельзя отбрасывать.</w:t>
      </w:r>
      <w:r w:rsidR="00737593">
        <w:rPr>
          <w:szCs w:val="24"/>
        </w:rPr>
        <w:t xml:space="preserve"> Существующие сегодня обширные связи между народами в виде городов-побратимов, студенческого обмена и площадок для общественных дискуссий в виде «Петербургского диалога» или «Потсдамских встреч», реализация проектов «перекрестные» годы в культурно-гуманитарной сфере – все это является неотъемлем</w:t>
      </w:r>
      <w:r w:rsidR="00D32024">
        <w:rPr>
          <w:szCs w:val="24"/>
        </w:rPr>
        <w:t>ым</w:t>
      </w:r>
      <w:r w:rsidR="00737593">
        <w:rPr>
          <w:szCs w:val="24"/>
        </w:rPr>
        <w:t xml:space="preserve"> наследием столь неоднозначной и местами противоречивой истории двух великих народов, каждый из которых сегодня стоит перед масштабными вызовами. Для Германии это все та же проблема энергообеспечения в ходе реализации энергетического поворота, </w:t>
      </w:r>
      <w:r w:rsidR="00F533B8">
        <w:rPr>
          <w:szCs w:val="24"/>
        </w:rPr>
        <w:tab/>
      </w:r>
      <w:r w:rsidR="00737593">
        <w:rPr>
          <w:szCs w:val="24"/>
        </w:rPr>
        <w:t>для России – так и не проведенная модернизация всех сфер жизнедеятельности</w:t>
      </w:r>
      <w:r w:rsidR="002A289A">
        <w:rPr>
          <w:szCs w:val="24"/>
        </w:rPr>
        <w:t>. Несмотря на политическую конъюнктуру обе страны убеждены, что являются надежными партнерами друг для друга в реализации поставленных целей, а потому, выверенный историей союз ресурсов и технологий</w:t>
      </w:r>
      <w:r w:rsidR="001B2BCD">
        <w:rPr>
          <w:szCs w:val="24"/>
        </w:rPr>
        <w:t xml:space="preserve"> вкупе с культурными связями двух стран создают прочный фундамент для дальнейшего развития российско-германских отношений. </w:t>
      </w:r>
      <w:r w:rsidR="00463F37">
        <w:rPr>
          <w:b/>
          <w:szCs w:val="24"/>
        </w:rPr>
        <w:br w:type="page"/>
      </w:r>
    </w:p>
    <w:p w14:paraId="18DBE944" w14:textId="6107ADF8" w:rsidR="00923241" w:rsidRDefault="00437B4B" w:rsidP="00961B7C">
      <w:pPr>
        <w:pStyle w:val="1"/>
      </w:pPr>
      <w:bookmarkStart w:id="47" w:name="_Toc41500789"/>
      <w:bookmarkStart w:id="48" w:name="_Toc41513184"/>
      <w:r w:rsidRPr="00437B4B">
        <w:lastRenderedPageBreak/>
        <w:t>Заключение</w:t>
      </w:r>
      <w:bookmarkEnd w:id="47"/>
      <w:bookmarkEnd w:id="48"/>
    </w:p>
    <w:p w14:paraId="3363D47B" w14:textId="77777777" w:rsidR="007A2F61" w:rsidRDefault="001F0EDE" w:rsidP="001F0EDE">
      <w:pPr>
        <w:ind w:firstLine="708"/>
        <w:rPr>
          <w:szCs w:val="24"/>
        </w:rPr>
      </w:pPr>
      <w:r>
        <w:rPr>
          <w:szCs w:val="24"/>
        </w:rPr>
        <w:t>В результате проведенного исследования поставленная цел</w:t>
      </w:r>
      <w:r w:rsidR="00CF712E">
        <w:rPr>
          <w:szCs w:val="24"/>
        </w:rPr>
        <w:t>ь</w:t>
      </w:r>
      <w:r>
        <w:rPr>
          <w:szCs w:val="24"/>
        </w:rPr>
        <w:t xml:space="preserve"> и все сопутствующие задачи были выполнены.</w:t>
      </w:r>
      <w:r w:rsidR="00CF712E">
        <w:rPr>
          <w:szCs w:val="24"/>
        </w:rPr>
        <w:t xml:space="preserve"> </w:t>
      </w:r>
    </w:p>
    <w:p w14:paraId="0B5B4088" w14:textId="0BB0C4CF" w:rsidR="00437B4B" w:rsidRDefault="00944823" w:rsidP="001F0EDE">
      <w:pPr>
        <w:ind w:firstLine="708"/>
        <w:rPr>
          <w:szCs w:val="24"/>
        </w:rPr>
      </w:pPr>
      <w:r>
        <w:rPr>
          <w:szCs w:val="24"/>
        </w:rPr>
        <w:t xml:space="preserve">Нефтегазовая промышленность сумела пройти огромный путь развития за достаточно короткий срок и сегодня представляет из себя фундамент для функционирования мировой экономики. </w:t>
      </w:r>
      <w:r w:rsidR="007A2F61">
        <w:rPr>
          <w:szCs w:val="24"/>
        </w:rPr>
        <w:t xml:space="preserve">Ключевыми акторами в данной отрасли выступают крупные государственные компании, транснациональные компании и международные организации, которые способствуют координации усилий и устранению противоречий между участниками рынка. Процесс эволюции энергетического баланса пришел к тому, что нефть, безоговорочно доминировавшая в структуре потребления в </w:t>
      </w:r>
      <w:r w:rsidR="007A2F61">
        <w:rPr>
          <w:szCs w:val="24"/>
          <w:lang w:val="de-DE"/>
        </w:rPr>
        <w:t>XX</w:t>
      </w:r>
      <w:r w:rsidR="007A2F61" w:rsidRPr="007A2F61">
        <w:rPr>
          <w:szCs w:val="24"/>
        </w:rPr>
        <w:t xml:space="preserve"> </w:t>
      </w:r>
      <w:r w:rsidR="007A2F61">
        <w:rPr>
          <w:szCs w:val="24"/>
        </w:rPr>
        <w:t xml:space="preserve">веке, сегодня сокращает свои позиции перед стремительно наступающим природным газом. В соответствии со сводным-прогнозом трансформации структуры энергобаланса, основанном на отчетах ТНК и МО, </w:t>
      </w:r>
      <w:r w:rsidR="007A2F61" w:rsidRPr="007A2F61">
        <w:rPr>
          <w:szCs w:val="24"/>
        </w:rPr>
        <w:t>к 2040 году доля нефти снизится с 31% до 27% при одновременном росте потребления газа с 21% до 27%</w:t>
      </w:r>
      <w:r w:rsidR="007A2F61">
        <w:rPr>
          <w:szCs w:val="24"/>
        </w:rPr>
        <w:t>.</w:t>
      </w:r>
    </w:p>
    <w:p w14:paraId="3A8450F3" w14:textId="57C049B6" w:rsidR="00ED245F" w:rsidRDefault="007A2F61" w:rsidP="001F0EDE">
      <w:pPr>
        <w:ind w:firstLine="708"/>
        <w:rPr>
          <w:szCs w:val="24"/>
        </w:rPr>
      </w:pPr>
      <w:r>
        <w:rPr>
          <w:szCs w:val="24"/>
        </w:rPr>
        <w:t>Российско-германские</w:t>
      </w:r>
      <w:r w:rsidR="00C12502">
        <w:rPr>
          <w:szCs w:val="24"/>
        </w:rPr>
        <w:t xml:space="preserve"> торгово-экономические</w:t>
      </w:r>
      <w:r>
        <w:rPr>
          <w:szCs w:val="24"/>
        </w:rPr>
        <w:t xml:space="preserve"> отношения на протяжении всей своей истории развивались по принципу экспорт сырья в обмен на импорт технологий. Три проведенных в России модернизации (начало </w:t>
      </w:r>
      <w:r>
        <w:rPr>
          <w:szCs w:val="24"/>
          <w:lang w:val="en-US"/>
        </w:rPr>
        <w:t>XVIII</w:t>
      </w:r>
      <w:r w:rsidRPr="007A2F61">
        <w:rPr>
          <w:szCs w:val="24"/>
        </w:rPr>
        <w:t xml:space="preserve"> </w:t>
      </w:r>
      <w:r>
        <w:rPr>
          <w:szCs w:val="24"/>
        </w:rPr>
        <w:t xml:space="preserve">века при Петре </w:t>
      </w:r>
      <w:r>
        <w:rPr>
          <w:szCs w:val="24"/>
          <w:lang w:val="de-DE"/>
        </w:rPr>
        <w:t>I</w:t>
      </w:r>
      <w:r w:rsidRPr="007A2F61">
        <w:rPr>
          <w:szCs w:val="24"/>
        </w:rPr>
        <w:t xml:space="preserve">, </w:t>
      </w:r>
      <w:r>
        <w:rPr>
          <w:szCs w:val="24"/>
        </w:rPr>
        <w:t xml:space="preserve">вторая половина </w:t>
      </w:r>
      <w:r>
        <w:rPr>
          <w:szCs w:val="24"/>
          <w:lang w:val="en-US"/>
        </w:rPr>
        <w:t>XIX</w:t>
      </w:r>
      <w:r w:rsidRPr="007A2F61">
        <w:rPr>
          <w:szCs w:val="24"/>
        </w:rPr>
        <w:t xml:space="preserve"> </w:t>
      </w:r>
      <w:r>
        <w:rPr>
          <w:szCs w:val="24"/>
        </w:rPr>
        <w:t>–</w:t>
      </w:r>
      <w:r w:rsidRPr="007A2F61">
        <w:rPr>
          <w:szCs w:val="24"/>
        </w:rPr>
        <w:t xml:space="preserve"> </w:t>
      </w:r>
      <w:r>
        <w:rPr>
          <w:szCs w:val="24"/>
        </w:rPr>
        <w:t xml:space="preserve">начало </w:t>
      </w:r>
      <w:r>
        <w:rPr>
          <w:szCs w:val="24"/>
          <w:lang w:val="de-DE"/>
        </w:rPr>
        <w:t>XX</w:t>
      </w:r>
      <w:r w:rsidRPr="007A2F61">
        <w:rPr>
          <w:szCs w:val="24"/>
        </w:rPr>
        <w:t xml:space="preserve"> </w:t>
      </w:r>
      <w:r>
        <w:rPr>
          <w:szCs w:val="24"/>
        </w:rPr>
        <w:t xml:space="preserve">вв., сталинская модернизация 1930-х гг.) проводились при активном привлечении немецких специалистов и немецких технологий, поскольку Германия всегда была в авангарде научно-технического прогресса.  </w:t>
      </w:r>
      <w:r w:rsidR="00E36A7B">
        <w:rPr>
          <w:szCs w:val="24"/>
        </w:rPr>
        <w:t xml:space="preserve">Нефтегазовый фактор в исторической перспективе не занимал определяющую часть структуры российско-германской торговли, а в 1930-х гг., когда спрос на нефть был </w:t>
      </w:r>
      <w:r w:rsidR="00C12502">
        <w:rPr>
          <w:szCs w:val="24"/>
        </w:rPr>
        <w:t>стремительно возрос</w:t>
      </w:r>
      <w:r w:rsidR="00E36A7B">
        <w:rPr>
          <w:szCs w:val="24"/>
        </w:rPr>
        <w:t>, её большая часть шла на внутренние преобразования</w:t>
      </w:r>
      <w:r w:rsidR="00C12502">
        <w:rPr>
          <w:szCs w:val="24"/>
        </w:rPr>
        <w:t xml:space="preserve"> в рамках индустриализации</w:t>
      </w:r>
      <w:r w:rsidR="00E36A7B">
        <w:rPr>
          <w:szCs w:val="24"/>
        </w:rPr>
        <w:t>. Значительную роль нефтегазовый фактор начинает играть в 1960-70-х гг., когда была заключена сделка века «газ в обмен на трубы»</w:t>
      </w:r>
      <w:r w:rsidR="00400FD7">
        <w:rPr>
          <w:szCs w:val="24"/>
        </w:rPr>
        <w:t>, однако определяющую роль он стал занимать после разрушения биполярной системы международных отношений. Встраивание Росси</w:t>
      </w:r>
      <w:r w:rsidR="004B2609">
        <w:rPr>
          <w:szCs w:val="24"/>
        </w:rPr>
        <w:t>и</w:t>
      </w:r>
      <w:r w:rsidR="00400FD7">
        <w:rPr>
          <w:szCs w:val="24"/>
        </w:rPr>
        <w:t xml:space="preserve"> в систему международного разделения труда, либерализация её денежно-кредитной и торгово-экономической политики привели к тому, что единственным реальным источником доходов государства стал экспорт нефти и газа. Принятая концепция догоняющего развития не оправдала себ</w:t>
      </w:r>
      <w:r w:rsidR="00C12502">
        <w:rPr>
          <w:szCs w:val="24"/>
        </w:rPr>
        <w:t>я</w:t>
      </w:r>
      <w:r w:rsidR="00400FD7">
        <w:rPr>
          <w:szCs w:val="24"/>
        </w:rPr>
        <w:t xml:space="preserve"> на протяжении 1990-х годов в виду политической и экономической турбулентности внутри страны, а также низких цен на нефть. В 2000-е годы, с приходом к власти нового президента, положительной внешней конъюнктуры – росте цен на нефть, эта концепция получила новое дыхание. Однако, спустя 20 лет её претворения в жизнь статистика показывает, что период высоких цен на нефть не способствовал модернизации реального </w:t>
      </w:r>
      <w:r w:rsidR="00400FD7">
        <w:rPr>
          <w:szCs w:val="24"/>
        </w:rPr>
        <w:lastRenderedPageBreak/>
        <w:t xml:space="preserve">сектора российской экономики и сегодня, каждый второй станок изношен и требует замены. Причина этого, по мнению автора, кроется в изначально ложном убеждении, что в условиях доминирования неолиберальной парадигмы России нужна модернизация реального сектора. Таким образом, нефтегазовый фактор, который создал все условия для реализации российско-германского проекта «партнерство для модернизации» был нивелирован </w:t>
      </w:r>
      <w:r w:rsidR="00860037">
        <w:rPr>
          <w:szCs w:val="24"/>
        </w:rPr>
        <w:t xml:space="preserve">отсутствием </w:t>
      </w:r>
      <w:r w:rsidR="00400FD7">
        <w:rPr>
          <w:szCs w:val="24"/>
        </w:rPr>
        <w:t>целесообразност</w:t>
      </w:r>
      <w:r w:rsidR="00860037">
        <w:rPr>
          <w:szCs w:val="24"/>
        </w:rPr>
        <w:t xml:space="preserve">и </w:t>
      </w:r>
      <w:r w:rsidR="00400FD7">
        <w:rPr>
          <w:szCs w:val="24"/>
        </w:rPr>
        <w:t>его реализации в рамках</w:t>
      </w:r>
      <w:r w:rsidR="00860037">
        <w:rPr>
          <w:szCs w:val="24"/>
        </w:rPr>
        <w:t xml:space="preserve"> существующей</w:t>
      </w:r>
      <w:r w:rsidR="00400FD7">
        <w:rPr>
          <w:szCs w:val="24"/>
        </w:rPr>
        <w:t xml:space="preserve"> </w:t>
      </w:r>
      <w:r w:rsidR="00860037">
        <w:rPr>
          <w:szCs w:val="24"/>
        </w:rPr>
        <w:t xml:space="preserve">структуры </w:t>
      </w:r>
      <w:r w:rsidR="00400FD7">
        <w:rPr>
          <w:szCs w:val="24"/>
        </w:rPr>
        <w:t xml:space="preserve">мировой экономики. </w:t>
      </w:r>
      <w:r w:rsidR="00892F89">
        <w:rPr>
          <w:szCs w:val="24"/>
        </w:rPr>
        <w:t xml:space="preserve">После присоединения Крыма и начала украинского кризиса, нефтегазовый фактор в рамках модернизации потерял не только свой экономический смысл, но и политическую поддержку, а последующие за низкими ценами на нефть девальвация рубля и сокращение импорта развело Россию и Германию по разные стороны баррикады. Другая стратегическая роль нефтегазового фактора – обеспечение потребностей Германии в энергоснабжении была, в отличие от модернизационного проекта, выполнена сверх плана, а реализация масштабных газовых проектов Северный поток 1 и 2 лишь подтверждает, что сформированный антироссийский политический консенсус не в силах противостоять прагматичной реализации немецких национальных интересов. </w:t>
      </w:r>
    </w:p>
    <w:p w14:paraId="5AC84674" w14:textId="049249A2" w:rsidR="007A2F61" w:rsidRDefault="00E05303" w:rsidP="001F0EDE">
      <w:pPr>
        <w:ind w:firstLine="708"/>
        <w:rPr>
          <w:szCs w:val="24"/>
        </w:rPr>
      </w:pPr>
      <w:r>
        <w:rPr>
          <w:szCs w:val="24"/>
        </w:rPr>
        <w:t>В рамках построения прогноза развитии российско-германских отношений был выявлен ряд стратегических факторов, которые в условиях начавшегося в 2020-м году экономического кризиса приобретают новый оттенок. Сред</w:t>
      </w:r>
      <w:r w:rsidR="00816410">
        <w:rPr>
          <w:szCs w:val="24"/>
        </w:rPr>
        <w:t>и</w:t>
      </w:r>
      <w:r>
        <w:rPr>
          <w:szCs w:val="24"/>
        </w:rPr>
        <w:t xml:space="preserve"> них кризис либерально-демократических ценностей, спад мировой экономики и начало мирового экономического кризиса, падание цен на нефть и сохранение низких цен в среднесрочной перспективе, появление нового тренда на отказ от глобальных цепочек добавленной стоимости и локализацию производства, а также трудности с реализацией программы энергетического поворота в Германии. В совокупности, эти факторы позволили сформировать сценарии развития российско-германских отношений в средне и долгосрочной перспективе.</w:t>
      </w:r>
    </w:p>
    <w:p w14:paraId="48C331B5" w14:textId="56FFFFD7" w:rsidR="00E05303" w:rsidRDefault="00E05303" w:rsidP="00E05303">
      <w:pPr>
        <w:pStyle w:val="a7"/>
        <w:numPr>
          <w:ilvl w:val="0"/>
          <w:numId w:val="31"/>
        </w:numPr>
        <w:rPr>
          <w:szCs w:val="24"/>
        </w:rPr>
      </w:pPr>
      <w:r>
        <w:rPr>
          <w:szCs w:val="24"/>
        </w:rPr>
        <w:t xml:space="preserve">Сценарий 1 (оптимистичный): </w:t>
      </w:r>
      <w:r w:rsidRPr="00860037">
        <w:rPr>
          <w:i/>
          <w:szCs w:val="24"/>
        </w:rPr>
        <w:t>от отчуждения к новому сотрудничеству</w:t>
      </w:r>
      <w:r>
        <w:rPr>
          <w:szCs w:val="24"/>
        </w:rPr>
        <w:t>. Он предполагает, что трансформация мировой экономики будет способствовать восстановлению торгово-экономических отношений России и Германии по мере того, как противостояние России с Западом в новых реалиях будет сходить на нет. Нефтегазовый фактор будет по-прежнему играть основную роль в развитии торгово-экономических отношений, а модернизационный проект, который в 2000-е годы из-за высоких цен на нефть был потребностью, сейчас вышел на уровень необходимости.</w:t>
      </w:r>
    </w:p>
    <w:p w14:paraId="5CC34A0D" w14:textId="69254BCE" w:rsidR="00E05303" w:rsidRDefault="00E05303" w:rsidP="00E05303">
      <w:pPr>
        <w:pStyle w:val="a7"/>
        <w:numPr>
          <w:ilvl w:val="0"/>
          <w:numId w:val="31"/>
        </w:numPr>
        <w:rPr>
          <w:szCs w:val="24"/>
        </w:rPr>
      </w:pPr>
      <w:r>
        <w:rPr>
          <w:szCs w:val="24"/>
        </w:rPr>
        <w:lastRenderedPageBreak/>
        <w:t xml:space="preserve"> Сценарий 2 (консервативный): </w:t>
      </w:r>
      <w:r w:rsidRPr="00860037">
        <w:rPr>
          <w:i/>
          <w:szCs w:val="24"/>
        </w:rPr>
        <w:t>движение по инерции</w:t>
      </w:r>
      <w:r>
        <w:rPr>
          <w:szCs w:val="24"/>
        </w:rPr>
        <w:t xml:space="preserve">. Согласно данному сценарию, далеко идущих преобразований в мировой экономике после текущего кризиса не произойдет, и неолиберальная парадигма продолжит свое существование. В этом случае, российско-германские отношения будут постепенно отдаляться при переориентации России в страны Азии. При этом, поставки газа и нефти в Германию остаются </w:t>
      </w:r>
      <w:r w:rsidR="00CA3F86">
        <w:rPr>
          <w:szCs w:val="24"/>
        </w:rPr>
        <w:t xml:space="preserve">стратегически </w:t>
      </w:r>
      <w:r>
        <w:rPr>
          <w:szCs w:val="24"/>
        </w:rPr>
        <w:t xml:space="preserve">важным для России направлением </w:t>
      </w:r>
      <w:r w:rsidR="00CA3F86">
        <w:rPr>
          <w:szCs w:val="24"/>
        </w:rPr>
        <w:t>деятельности.</w:t>
      </w:r>
    </w:p>
    <w:p w14:paraId="74A41232" w14:textId="20BBAB8E" w:rsidR="0016756A" w:rsidRDefault="00217663" w:rsidP="0016756A">
      <w:pPr>
        <w:ind w:left="360" w:firstLine="348"/>
        <w:rPr>
          <w:szCs w:val="24"/>
        </w:rPr>
      </w:pPr>
      <w:r>
        <w:rPr>
          <w:szCs w:val="24"/>
        </w:rPr>
        <w:t>С точки зрения вероятности, реализация первого сценария гораздо более правдоподобна.  Объективная реальность свидетельствует, что доминировавшая в мировой экономике неолиберальная парадигма накопила в себе слишком много противоречий</w:t>
      </w:r>
      <w:r w:rsidR="001205A9">
        <w:rPr>
          <w:szCs w:val="24"/>
        </w:rPr>
        <w:t xml:space="preserve">, инструментов для преодоления или консервирования которых становится с каждым кризисом все меньше и меньше. В </w:t>
      </w:r>
      <w:r w:rsidR="00860037">
        <w:rPr>
          <w:szCs w:val="24"/>
        </w:rPr>
        <w:t>этом</w:t>
      </w:r>
      <w:r w:rsidR="001205A9">
        <w:rPr>
          <w:szCs w:val="24"/>
        </w:rPr>
        <w:t xml:space="preserve"> случае, российско-германские отношения, несмотря на существующие политические противоречия имеют под собой нерушимый фундамент, основанный на прагматичных интересах двух держав, который и будет двигать их сотрудничество вперед не взирая ни на что. </w:t>
      </w:r>
    </w:p>
    <w:p w14:paraId="5AB12B12" w14:textId="77777777" w:rsidR="0016756A" w:rsidRPr="00E0009A" w:rsidRDefault="0016756A" w:rsidP="0016756A">
      <w:pPr>
        <w:rPr>
          <w:szCs w:val="24"/>
        </w:rPr>
      </w:pPr>
    </w:p>
    <w:p w14:paraId="62EC46D5" w14:textId="54DF315B" w:rsidR="00AD64A2" w:rsidRDefault="00FA051D" w:rsidP="00C37A8D">
      <w:pPr>
        <w:pStyle w:val="1"/>
      </w:pPr>
      <w:r>
        <w:br w:type="page"/>
      </w:r>
      <w:bookmarkStart w:id="49" w:name="_Toc41513185"/>
      <w:r w:rsidR="00AD64A2" w:rsidRPr="009618E5">
        <w:lastRenderedPageBreak/>
        <w:t xml:space="preserve">Список </w:t>
      </w:r>
      <w:r w:rsidR="003501C9">
        <w:t>источников и литературы</w:t>
      </w:r>
      <w:bookmarkEnd w:id="49"/>
    </w:p>
    <w:p w14:paraId="639A8037" w14:textId="3AFFB477" w:rsidR="0057750A" w:rsidRPr="00912699" w:rsidRDefault="00912699" w:rsidP="00C37A8D">
      <w:pPr>
        <w:spacing w:after="160" w:line="259" w:lineRule="auto"/>
        <w:jc w:val="center"/>
        <w:rPr>
          <w:b/>
          <w:szCs w:val="24"/>
        </w:rPr>
      </w:pPr>
      <w:r w:rsidRPr="00912699">
        <w:rPr>
          <w:b/>
          <w:szCs w:val="24"/>
        </w:rPr>
        <w:t>Статистика</w:t>
      </w:r>
    </w:p>
    <w:p w14:paraId="40E9A92A" w14:textId="77777777" w:rsidR="000B26DA" w:rsidRPr="0025665F" w:rsidRDefault="000B26DA" w:rsidP="0057750A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eastAsia="en-US"/>
        </w:rPr>
      </w:pPr>
      <w:commentRangeStart w:id="50"/>
      <w:r w:rsidRPr="0025665F">
        <w:rPr>
          <w:rFonts w:eastAsiaTheme="minorHAnsi" w:cs="Times New Roman"/>
          <w:szCs w:val="24"/>
          <w:lang w:eastAsia="en-US"/>
        </w:rPr>
        <w:t>Внешние экономические связи СССР в 1990 г.: статистический сборник. // Министерство внешних экономических связей СССР, Госкомстат СССР. – 1991. М.: Финансы и статистика, - 288 стр.</w:t>
      </w:r>
    </w:p>
    <w:p w14:paraId="5F0B745E" w14:textId="77777777" w:rsidR="000B26DA" w:rsidRPr="0025665F" w:rsidRDefault="000B26DA" w:rsidP="0057750A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eastAsia="en-US"/>
        </w:rPr>
      </w:pPr>
      <w:r w:rsidRPr="0025665F">
        <w:rPr>
          <w:rFonts w:eastAsiaTheme="minorHAnsi" w:cs="Times New Roman"/>
          <w:szCs w:val="24"/>
          <w:lang w:eastAsia="en-US"/>
        </w:rPr>
        <w:t xml:space="preserve">Внешняя торговля СССР за 1918-1940 гг.: статистический обзор. // Министерство внешней торговли СССР. Главное таможенное управление. – 1960. М.: </w:t>
      </w:r>
      <w:proofErr w:type="spellStart"/>
      <w:r w:rsidRPr="0025665F">
        <w:rPr>
          <w:rFonts w:eastAsiaTheme="minorHAnsi" w:cs="Times New Roman"/>
          <w:szCs w:val="24"/>
          <w:lang w:eastAsia="en-US"/>
        </w:rPr>
        <w:t>Внешторгиздат</w:t>
      </w:r>
      <w:proofErr w:type="spellEnd"/>
      <w:r w:rsidRPr="0025665F">
        <w:rPr>
          <w:rFonts w:eastAsiaTheme="minorHAnsi" w:cs="Times New Roman"/>
          <w:szCs w:val="24"/>
          <w:lang w:eastAsia="en-US"/>
        </w:rPr>
        <w:t xml:space="preserve">, - 1137 стр. </w:t>
      </w:r>
    </w:p>
    <w:p w14:paraId="557C1842" w14:textId="77777777" w:rsidR="000B26DA" w:rsidRPr="0025665F" w:rsidRDefault="000B26DA" w:rsidP="0057750A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eastAsia="en-US"/>
        </w:rPr>
      </w:pPr>
      <w:r w:rsidRPr="0025665F">
        <w:rPr>
          <w:rFonts w:eastAsiaTheme="minorHAnsi" w:cs="Times New Roman"/>
          <w:szCs w:val="24"/>
          <w:lang w:eastAsia="en-US"/>
        </w:rPr>
        <w:t xml:space="preserve">Внешняя торговля СССР за 1960 г.: статистический обзор. // Министерство внешней торговли СССР. Планово-экономическое управление. – 1961. М.: </w:t>
      </w:r>
      <w:proofErr w:type="spellStart"/>
      <w:r w:rsidRPr="0025665F">
        <w:rPr>
          <w:rFonts w:eastAsiaTheme="minorHAnsi" w:cs="Times New Roman"/>
          <w:szCs w:val="24"/>
          <w:lang w:eastAsia="en-US"/>
        </w:rPr>
        <w:t>Внешторгиздат</w:t>
      </w:r>
      <w:proofErr w:type="spellEnd"/>
      <w:r w:rsidRPr="0025665F">
        <w:rPr>
          <w:rFonts w:eastAsiaTheme="minorHAnsi" w:cs="Times New Roman"/>
          <w:szCs w:val="24"/>
          <w:lang w:eastAsia="en-US"/>
        </w:rPr>
        <w:t>, - с. 83-92, - 212 стр.</w:t>
      </w:r>
    </w:p>
    <w:p w14:paraId="14BB7B37" w14:textId="77777777" w:rsidR="000B26DA" w:rsidRDefault="000B26DA" w:rsidP="0057750A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eastAsia="en-US"/>
        </w:rPr>
      </w:pPr>
      <w:r w:rsidRPr="0025665F">
        <w:rPr>
          <w:rFonts w:eastAsiaTheme="minorHAnsi" w:cs="Times New Roman"/>
          <w:szCs w:val="24"/>
          <w:lang w:eastAsia="en-US"/>
        </w:rPr>
        <w:t>Внешняя торговля СССР за 1980 г.: статистический сборник. // Министерство внешней торговли СССР. Главное планово-экономическое управление. – 1981. М.: Финансы и статистика, - 279 стр.</w:t>
      </w:r>
      <w:commentRangeEnd w:id="50"/>
      <w:r w:rsidRPr="0025665F">
        <w:rPr>
          <w:rStyle w:val="aa"/>
        </w:rPr>
        <w:commentReference w:id="50"/>
      </w:r>
    </w:p>
    <w:p w14:paraId="77729B48" w14:textId="77777777" w:rsidR="000B26DA" w:rsidRPr="00C37A8D" w:rsidRDefault="000B26DA" w:rsidP="0057750A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Официальный сайт Мирового банка </w:t>
      </w:r>
      <w:r w:rsidRPr="000B26DA">
        <w:rPr>
          <w:rFonts w:eastAsiaTheme="minorHAnsi" w:cs="Times New Roman"/>
          <w:szCs w:val="24"/>
          <w:lang w:eastAsia="en-US"/>
        </w:rPr>
        <w:t>[</w:t>
      </w:r>
      <w:r>
        <w:rPr>
          <w:rFonts w:eastAsiaTheme="minorHAnsi" w:cs="Times New Roman"/>
          <w:szCs w:val="24"/>
          <w:lang w:eastAsia="en-US"/>
        </w:rPr>
        <w:t>Электронный ресурс</w:t>
      </w:r>
      <w:r w:rsidRPr="000B26DA">
        <w:rPr>
          <w:rFonts w:eastAsiaTheme="minorHAnsi" w:cs="Times New Roman"/>
          <w:szCs w:val="24"/>
          <w:lang w:eastAsia="en-US"/>
        </w:rPr>
        <w:t>]</w:t>
      </w:r>
      <w:r>
        <w:rPr>
          <w:rFonts w:eastAsiaTheme="minorHAnsi" w:cs="Times New Roman"/>
          <w:szCs w:val="24"/>
          <w:lang w:eastAsia="en-US"/>
        </w:rPr>
        <w:t xml:space="preserve">. Режим доступа: </w:t>
      </w:r>
      <w:hyperlink r:id="rId11" w:history="1">
        <w:r w:rsidRPr="000703E4">
          <w:rPr>
            <w:rStyle w:val="a8"/>
            <w:rFonts w:eastAsiaTheme="minorHAnsi" w:cs="Times New Roman"/>
            <w:szCs w:val="24"/>
            <w:lang w:eastAsia="en-US"/>
          </w:rPr>
          <w:t>https://www.worldbank.org/</w:t>
        </w:r>
      </w:hyperlink>
      <w:r>
        <w:rPr>
          <w:rFonts w:eastAsiaTheme="minorHAnsi" w:cs="Times New Roman"/>
          <w:szCs w:val="24"/>
          <w:lang w:eastAsia="en-US"/>
        </w:rPr>
        <w:t xml:space="preserve"> (дата обращения: 05.04.2020)</w:t>
      </w:r>
    </w:p>
    <w:p w14:paraId="02BC231A" w14:textId="04B55B70" w:rsidR="000B26DA" w:rsidRDefault="000B26DA" w:rsidP="0057750A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Официальный сайт </w:t>
      </w:r>
      <w:r w:rsidRPr="000B26DA">
        <w:rPr>
          <w:rFonts w:eastAsiaTheme="minorHAnsi" w:cs="Times New Roman"/>
          <w:szCs w:val="24"/>
          <w:lang w:eastAsia="en-US"/>
        </w:rPr>
        <w:t>Федеральн</w:t>
      </w:r>
      <w:r>
        <w:rPr>
          <w:rFonts w:eastAsiaTheme="minorHAnsi" w:cs="Times New Roman"/>
          <w:szCs w:val="24"/>
          <w:lang w:eastAsia="en-US"/>
        </w:rPr>
        <w:t>ой</w:t>
      </w:r>
      <w:r w:rsidRPr="000B26DA">
        <w:rPr>
          <w:rFonts w:eastAsiaTheme="minorHAnsi" w:cs="Times New Roman"/>
          <w:szCs w:val="24"/>
          <w:lang w:eastAsia="en-US"/>
        </w:rPr>
        <w:t xml:space="preserve"> служб</w:t>
      </w:r>
      <w:r>
        <w:rPr>
          <w:rFonts w:eastAsiaTheme="minorHAnsi" w:cs="Times New Roman"/>
          <w:szCs w:val="24"/>
          <w:lang w:eastAsia="en-US"/>
        </w:rPr>
        <w:t>ы</w:t>
      </w:r>
      <w:r w:rsidRPr="000B26DA">
        <w:rPr>
          <w:rFonts w:eastAsiaTheme="minorHAnsi" w:cs="Times New Roman"/>
          <w:szCs w:val="24"/>
          <w:lang w:eastAsia="en-US"/>
        </w:rPr>
        <w:t xml:space="preserve"> государственной статистики</w:t>
      </w:r>
      <w:r>
        <w:rPr>
          <w:rFonts w:eastAsiaTheme="minorHAnsi" w:cs="Times New Roman"/>
          <w:szCs w:val="24"/>
          <w:lang w:eastAsia="en-US"/>
        </w:rPr>
        <w:t xml:space="preserve"> РФ </w:t>
      </w:r>
      <w:r w:rsidRPr="000B26DA">
        <w:rPr>
          <w:rFonts w:eastAsiaTheme="minorHAnsi" w:cs="Times New Roman"/>
          <w:szCs w:val="24"/>
          <w:lang w:eastAsia="en-US"/>
        </w:rPr>
        <w:t>[</w:t>
      </w:r>
      <w:r>
        <w:rPr>
          <w:rFonts w:eastAsiaTheme="minorHAnsi" w:cs="Times New Roman"/>
          <w:szCs w:val="24"/>
          <w:lang w:eastAsia="en-US"/>
        </w:rPr>
        <w:t>Электронный ресурс</w:t>
      </w:r>
      <w:r w:rsidRPr="000B26DA">
        <w:rPr>
          <w:rFonts w:eastAsiaTheme="minorHAnsi" w:cs="Times New Roman"/>
          <w:szCs w:val="24"/>
          <w:lang w:eastAsia="en-US"/>
        </w:rPr>
        <w:t>]</w:t>
      </w:r>
      <w:r>
        <w:rPr>
          <w:rFonts w:eastAsiaTheme="minorHAnsi" w:cs="Times New Roman"/>
          <w:szCs w:val="24"/>
          <w:lang w:eastAsia="en-US"/>
        </w:rPr>
        <w:t xml:space="preserve">. Режим доступа: </w:t>
      </w:r>
      <w:hyperlink r:id="rId12" w:history="1">
        <w:r w:rsidRPr="000703E4">
          <w:rPr>
            <w:rStyle w:val="a8"/>
            <w:rFonts w:eastAsiaTheme="minorHAnsi" w:cs="Times New Roman"/>
            <w:szCs w:val="24"/>
            <w:lang w:eastAsia="en-US"/>
          </w:rPr>
          <w:t>https://www.gks.ru/</w:t>
        </w:r>
      </w:hyperlink>
      <w:r>
        <w:rPr>
          <w:rFonts w:eastAsiaTheme="minorHAnsi" w:cs="Times New Roman"/>
          <w:szCs w:val="24"/>
          <w:lang w:eastAsia="en-US"/>
        </w:rPr>
        <w:t xml:space="preserve"> (дата обращения: 20.04.2020)</w:t>
      </w:r>
    </w:p>
    <w:p w14:paraId="069B5F5C" w14:textId="77777777" w:rsidR="000B26DA" w:rsidRDefault="000B26DA" w:rsidP="0057750A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eastAsia="en-US"/>
        </w:rPr>
      </w:pPr>
      <w:r w:rsidRPr="00C37A8D">
        <w:rPr>
          <w:rFonts w:eastAsiaTheme="minorHAnsi" w:cs="Times New Roman"/>
          <w:szCs w:val="24"/>
          <w:lang w:eastAsia="en-US"/>
        </w:rPr>
        <w:t xml:space="preserve">Официальный сайт Федеральной таможенной службы РФ [Электронный ресурс]. Режим доступа: </w:t>
      </w:r>
      <w:hyperlink r:id="rId13" w:history="1">
        <w:r w:rsidRPr="00361005">
          <w:rPr>
            <w:rStyle w:val="a8"/>
            <w:rFonts w:eastAsiaTheme="minorHAnsi" w:cs="Times New Roman"/>
            <w:szCs w:val="24"/>
            <w:lang w:eastAsia="en-US"/>
          </w:rPr>
          <w:t>http://customs.ru/folder/511</w:t>
        </w:r>
      </w:hyperlink>
      <w:r>
        <w:rPr>
          <w:rFonts w:eastAsiaTheme="minorHAnsi" w:cs="Times New Roman"/>
          <w:szCs w:val="24"/>
          <w:lang w:eastAsia="en-US"/>
        </w:rPr>
        <w:t xml:space="preserve"> </w:t>
      </w:r>
      <w:r w:rsidRPr="00C37A8D">
        <w:rPr>
          <w:rFonts w:eastAsiaTheme="minorHAnsi" w:cs="Times New Roman"/>
          <w:szCs w:val="24"/>
          <w:lang w:eastAsia="en-US"/>
        </w:rPr>
        <w:t>(дата обращения 30.04.2020)</w:t>
      </w:r>
    </w:p>
    <w:p w14:paraId="11A607C5" w14:textId="77777777" w:rsidR="000B26DA" w:rsidRDefault="000B26DA" w:rsidP="0057750A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Официальный сайт Центрального банка РФ </w:t>
      </w:r>
      <w:r w:rsidRPr="000B26DA">
        <w:rPr>
          <w:rFonts w:eastAsiaTheme="minorHAnsi" w:cs="Times New Roman"/>
          <w:szCs w:val="24"/>
          <w:lang w:eastAsia="en-US"/>
        </w:rPr>
        <w:t>[</w:t>
      </w:r>
      <w:r>
        <w:rPr>
          <w:rFonts w:eastAsiaTheme="minorHAnsi" w:cs="Times New Roman"/>
          <w:szCs w:val="24"/>
          <w:lang w:eastAsia="en-US"/>
        </w:rPr>
        <w:t>Электронный ресурс</w:t>
      </w:r>
      <w:r w:rsidRPr="000B26DA">
        <w:rPr>
          <w:rFonts w:eastAsiaTheme="minorHAnsi" w:cs="Times New Roman"/>
          <w:szCs w:val="24"/>
          <w:lang w:eastAsia="en-US"/>
        </w:rPr>
        <w:t>]</w:t>
      </w:r>
      <w:r>
        <w:rPr>
          <w:rFonts w:eastAsiaTheme="minorHAnsi" w:cs="Times New Roman"/>
          <w:szCs w:val="24"/>
          <w:lang w:eastAsia="en-US"/>
        </w:rPr>
        <w:t xml:space="preserve">. Режим доступа: </w:t>
      </w:r>
      <w:hyperlink r:id="rId14" w:history="1">
        <w:r w:rsidRPr="000703E4">
          <w:rPr>
            <w:rStyle w:val="a8"/>
            <w:rFonts w:eastAsiaTheme="minorHAnsi" w:cs="Times New Roman"/>
            <w:szCs w:val="24"/>
            <w:lang w:eastAsia="en-US"/>
          </w:rPr>
          <w:t>https://cbr.ru/</w:t>
        </w:r>
      </w:hyperlink>
      <w:r>
        <w:rPr>
          <w:rFonts w:eastAsiaTheme="minorHAnsi" w:cs="Times New Roman"/>
          <w:szCs w:val="24"/>
          <w:lang w:eastAsia="en-US"/>
        </w:rPr>
        <w:t xml:space="preserve"> (дата обращения: 09.04.2020)</w:t>
      </w:r>
    </w:p>
    <w:p w14:paraId="2984D5A5" w14:textId="77777777" w:rsidR="000B26DA" w:rsidRPr="00C37A8D" w:rsidRDefault="000B26DA" w:rsidP="0057750A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eastAsia="en-US"/>
        </w:rPr>
      </w:pPr>
      <w:r w:rsidRPr="00C37A8D">
        <w:rPr>
          <w:rFonts w:eastAsiaTheme="minorHAnsi" w:cs="Times New Roman"/>
          <w:szCs w:val="24"/>
          <w:lang w:eastAsia="en-US"/>
        </w:rPr>
        <w:t xml:space="preserve">Торговля между Россией и Германией в 2019 г. [Электронный ресурс] // Информационный портал «Внешняя торговля России». Режим доступа: </w:t>
      </w:r>
      <w:hyperlink r:id="rId15" w:history="1">
        <w:r w:rsidRPr="00361005">
          <w:rPr>
            <w:rStyle w:val="a8"/>
            <w:rFonts w:eastAsiaTheme="minorHAnsi" w:cs="Times New Roman"/>
            <w:szCs w:val="24"/>
            <w:lang w:eastAsia="en-US"/>
          </w:rPr>
          <w:t>https://russian-trade.com/reports-and-reviews/2020-02/torgovlya-mezhdu-rossiey-i-germaniey-v-2019-g/</w:t>
        </w:r>
      </w:hyperlink>
      <w:r>
        <w:rPr>
          <w:rFonts w:eastAsiaTheme="minorHAnsi" w:cs="Times New Roman"/>
          <w:szCs w:val="24"/>
          <w:lang w:eastAsia="en-US"/>
        </w:rPr>
        <w:t xml:space="preserve"> </w:t>
      </w:r>
      <w:r w:rsidRPr="00C37A8D">
        <w:rPr>
          <w:rFonts w:eastAsiaTheme="minorHAnsi" w:cs="Times New Roman"/>
          <w:szCs w:val="24"/>
          <w:lang w:eastAsia="en-US"/>
        </w:rPr>
        <w:t xml:space="preserve"> </w:t>
      </w:r>
      <w:r>
        <w:rPr>
          <w:rFonts w:eastAsiaTheme="minorHAnsi" w:cs="Times New Roman"/>
          <w:szCs w:val="24"/>
          <w:lang w:eastAsia="en-US"/>
        </w:rPr>
        <w:t xml:space="preserve"> (</w:t>
      </w:r>
      <w:r w:rsidRPr="00C37A8D">
        <w:rPr>
          <w:rFonts w:eastAsiaTheme="minorHAnsi" w:cs="Times New Roman"/>
          <w:szCs w:val="24"/>
          <w:lang w:eastAsia="en-US"/>
        </w:rPr>
        <w:t>дата обращения 17.04.2020)</w:t>
      </w:r>
    </w:p>
    <w:p w14:paraId="6804D14D" w14:textId="77777777" w:rsidR="000B26DA" w:rsidRDefault="000B26DA" w:rsidP="0057750A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eastAsia="en-US"/>
        </w:rPr>
      </w:pPr>
      <w:r w:rsidRPr="00C37A8D">
        <w:rPr>
          <w:rFonts w:eastAsiaTheme="minorHAnsi" w:cs="Times New Roman"/>
          <w:szCs w:val="24"/>
          <w:lang w:eastAsia="en-US"/>
        </w:rPr>
        <w:t xml:space="preserve">Торговля между Россией и Китаем в 2019 г. [Электронный ресурс] // Информационный портал «Внешняя торговля России». Режим доступа: </w:t>
      </w:r>
      <w:hyperlink r:id="rId16" w:history="1">
        <w:r w:rsidRPr="00361005">
          <w:rPr>
            <w:rStyle w:val="a8"/>
            <w:rFonts w:eastAsiaTheme="minorHAnsi" w:cs="Times New Roman"/>
            <w:szCs w:val="24"/>
            <w:lang w:eastAsia="en-US"/>
          </w:rPr>
          <w:t>https://russian-trade.com/reports-and-reviews/2020-02/torgovlya-mezhdu-rossiey-i-kitaem-v-2019-g/</w:t>
        </w:r>
      </w:hyperlink>
      <w:r>
        <w:rPr>
          <w:rFonts w:eastAsiaTheme="minorHAnsi" w:cs="Times New Roman"/>
          <w:szCs w:val="24"/>
          <w:lang w:eastAsia="en-US"/>
        </w:rPr>
        <w:t xml:space="preserve"> </w:t>
      </w:r>
      <w:r w:rsidRPr="00C37A8D">
        <w:rPr>
          <w:rFonts w:eastAsiaTheme="minorHAnsi" w:cs="Times New Roman"/>
          <w:szCs w:val="24"/>
          <w:lang w:eastAsia="en-US"/>
        </w:rPr>
        <w:t>(дата обращения 30.04.2020)</w:t>
      </w:r>
    </w:p>
    <w:p w14:paraId="0111A653" w14:textId="1D267706" w:rsidR="000B26DA" w:rsidRDefault="000B26DA" w:rsidP="000B26DA">
      <w:pPr>
        <w:pStyle w:val="a7"/>
        <w:spacing w:after="160" w:line="259" w:lineRule="auto"/>
        <w:ind w:left="360"/>
        <w:rPr>
          <w:rFonts w:eastAsiaTheme="minorHAnsi" w:cs="Times New Roman"/>
          <w:szCs w:val="24"/>
          <w:lang w:eastAsia="en-US"/>
        </w:rPr>
      </w:pPr>
    </w:p>
    <w:p w14:paraId="67B0F5D9" w14:textId="5DA8CDEE" w:rsidR="000B26DA" w:rsidRDefault="000B26DA" w:rsidP="000B26DA">
      <w:pPr>
        <w:pStyle w:val="a7"/>
        <w:spacing w:after="160" w:line="259" w:lineRule="auto"/>
        <w:ind w:left="360"/>
        <w:jc w:val="center"/>
        <w:rPr>
          <w:rFonts w:eastAsiaTheme="minorHAnsi" w:cs="Times New Roman"/>
          <w:b/>
          <w:szCs w:val="24"/>
          <w:lang w:eastAsia="en-US"/>
        </w:rPr>
      </w:pPr>
      <w:r w:rsidRPr="000B26DA">
        <w:rPr>
          <w:rFonts w:eastAsiaTheme="minorHAnsi" w:cs="Times New Roman"/>
          <w:b/>
          <w:szCs w:val="24"/>
          <w:lang w:eastAsia="en-US"/>
        </w:rPr>
        <w:t>Отчеты и прогнозы ТНК и международных организаций</w:t>
      </w:r>
    </w:p>
    <w:p w14:paraId="2FF10518" w14:textId="77777777" w:rsidR="000B26DA" w:rsidRPr="000B26DA" w:rsidRDefault="000B26DA" w:rsidP="000B26DA">
      <w:pPr>
        <w:pStyle w:val="a7"/>
        <w:spacing w:after="160" w:line="259" w:lineRule="auto"/>
        <w:ind w:left="360"/>
        <w:jc w:val="center"/>
        <w:rPr>
          <w:rFonts w:eastAsiaTheme="minorHAnsi" w:cs="Times New Roman"/>
          <w:b/>
          <w:szCs w:val="24"/>
          <w:lang w:eastAsia="en-US"/>
        </w:rPr>
      </w:pPr>
    </w:p>
    <w:p w14:paraId="09790792" w14:textId="77777777" w:rsidR="00912699" w:rsidRPr="00C37A8D" w:rsidRDefault="00912699" w:rsidP="0057750A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val="en-US" w:eastAsia="en-US"/>
        </w:rPr>
      </w:pPr>
      <w:r w:rsidRPr="00C37A8D">
        <w:rPr>
          <w:rFonts w:eastAsiaTheme="minorHAnsi" w:cs="Times New Roman"/>
          <w:szCs w:val="24"/>
          <w:lang w:val="en-US" w:eastAsia="en-US"/>
        </w:rPr>
        <w:t xml:space="preserve">British Petroleum Energy Outlook // </w:t>
      </w:r>
      <w:r w:rsidRPr="00C37A8D">
        <w:rPr>
          <w:rFonts w:eastAsiaTheme="minorHAnsi" w:cs="Times New Roman"/>
          <w:szCs w:val="24"/>
          <w:lang w:eastAsia="en-US"/>
        </w:rPr>
        <w:t>Официальный</w:t>
      </w:r>
      <w:r w:rsidRPr="00C37A8D">
        <w:rPr>
          <w:rFonts w:eastAsiaTheme="minorHAnsi" w:cs="Times New Roman"/>
          <w:szCs w:val="24"/>
          <w:lang w:val="en-US" w:eastAsia="en-US"/>
        </w:rPr>
        <w:t xml:space="preserve"> </w:t>
      </w:r>
      <w:r w:rsidRPr="00C37A8D">
        <w:rPr>
          <w:rFonts w:eastAsiaTheme="minorHAnsi" w:cs="Times New Roman"/>
          <w:szCs w:val="24"/>
          <w:lang w:eastAsia="en-US"/>
        </w:rPr>
        <w:t>прогноз</w:t>
      </w:r>
      <w:r w:rsidRPr="00C37A8D">
        <w:rPr>
          <w:rFonts w:eastAsiaTheme="minorHAnsi" w:cs="Times New Roman"/>
          <w:szCs w:val="24"/>
          <w:lang w:val="en-US" w:eastAsia="en-US"/>
        </w:rPr>
        <w:t xml:space="preserve"> </w:t>
      </w:r>
      <w:r w:rsidRPr="00C37A8D">
        <w:rPr>
          <w:rFonts w:eastAsiaTheme="minorHAnsi" w:cs="Times New Roman"/>
          <w:szCs w:val="24"/>
          <w:lang w:eastAsia="en-US"/>
        </w:rPr>
        <w:t>ТНК</w:t>
      </w:r>
      <w:r w:rsidRPr="00C37A8D">
        <w:rPr>
          <w:rFonts w:eastAsiaTheme="minorHAnsi" w:cs="Times New Roman"/>
          <w:szCs w:val="24"/>
          <w:lang w:val="en-US" w:eastAsia="en-US"/>
        </w:rPr>
        <w:t xml:space="preserve"> British Petroleum, 2019 – 141 </w:t>
      </w:r>
      <w:r w:rsidRPr="00C37A8D">
        <w:rPr>
          <w:rFonts w:eastAsiaTheme="minorHAnsi" w:cs="Times New Roman"/>
          <w:szCs w:val="24"/>
          <w:lang w:eastAsia="en-US"/>
        </w:rPr>
        <w:t>стр</w:t>
      </w:r>
      <w:r w:rsidRPr="00C37A8D">
        <w:rPr>
          <w:rFonts w:eastAsiaTheme="minorHAnsi" w:cs="Times New Roman"/>
          <w:szCs w:val="24"/>
          <w:lang w:val="en-US" w:eastAsia="en-US"/>
        </w:rPr>
        <w:t>.</w:t>
      </w:r>
    </w:p>
    <w:p w14:paraId="032413AE" w14:textId="77777777" w:rsidR="00912699" w:rsidRPr="003B6A89" w:rsidRDefault="00912699" w:rsidP="00912699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val="en-US" w:eastAsia="en-US"/>
        </w:rPr>
      </w:pPr>
      <w:r w:rsidRPr="00C37A8D">
        <w:rPr>
          <w:rFonts w:eastAsiaTheme="minorHAnsi" w:cs="Times New Roman"/>
          <w:szCs w:val="24"/>
          <w:lang w:val="en-US" w:eastAsia="en-US"/>
        </w:rPr>
        <w:t xml:space="preserve">Germany’s energy transition at a crossroads / McKinsey&amp;Company, 2019 – 8 </w:t>
      </w:r>
      <w:r w:rsidRPr="00C37A8D">
        <w:rPr>
          <w:rFonts w:eastAsiaTheme="minorHAnsi" w:cs="Times New Roman"/>
          <w:szCs w:val="24"/>
          <w:lang w:eastAsia="en-US"/>
        </w:rPr>
        <w:t>стр</w:t>
      </w:r>
      <w:r w:rsidRPr="00C37A8D">
        <w:rPr>
          <w:rFonts w:eastAsiaTheme="minorHAnsi" w:cs="Times New Roman"/>
          <w:szCs w:val="24"/>
          <w:lang w:val="en-US" w:eastAsia="en-US"/>
        </w:rPr>
        <w:t>.</w:t>
      </w:r>
    </w:p>
    <w:p w14:paraId="1A13B110" w14:textId="77777777" w:rsidR="00912699" w:rsidRPr="000B26DA" w:rsidRDefault="00912699" w:rsidP="000B26DA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val="en-US" w:eastAsia="en-US"/>
        </w:rPr>
      </w:pPr>
      <w:r w:rsidRPr="000B26DA">
        <w:rPr>
          <w:rFonts w:eastAsiaTheme="minorHAnsi" w:cs="Times New Roman"/>
          <w:szCs w:val="24"/>
          <w:lang w:val="en-US" w:eastAsia="en-US"/>
        </w:rPr>
        <w:t xml:space="preserve">Global Gas Outlook 2050 Synopsis // </w:t>
      </w:r>
      <w:r w:rsidRPr="00C37A8D">
        <w:rPr>
          <w:rFonts w:eastAsiaTheme="minorHAnsi" w:cs="Times New Roman"/>
          <w:szCs w:val="24"/>
          <w:lang w:eastAsia="en-US"/>
        </w:rPr>
        <w:t>Официальный</w:t>
      </w:r>
      <w:r w:rsidRPr="000B26DA">
        <w:rPr>
          <w:rFonts w:eastAsiaTheme="minorHAnsi" w:cs="Times New Roman"/>
          <w:szCs w:val="24"/>
          <w:lang w:val="en-US" w:eastAsia="en-US"/>
        </w:rPr>
        <w:t xml:space="preserve"> </w:t>
      </w:r>
      <w:r w:rsidRPr="00C37A8D">
        <w:rPr>
          <w:rFonts w:eastAsiaTheme="minorHAnsi" w:cs="Times New Roman"/>
          <w:szCs w:val="24"/>
          <w:lang w:eastAsia="en-US"/>
        </w:rPr>
        <w:t>прогноз</w:t>
      </w:r>
      <w:r w:rsidRPr="000B26DA">
        <w:rPr>
          <w:rFonts w:eastAsiaTheme="minorHAnsi" w:cs="Times New Roman"/>
          <w:szCs w:val="24"/>
          <w:lang w:val="en-US" w:eastAsia="en-US"/>
        </w:rPr>
        <w:t xml:space="preserve"> </w:t>
      </w:r>
      <w:r w:rsidRPr="00C37A8D">
        <w:rPr>
          <w:rFonts w:eastAsiaTheme="minorHAnsi" w:cs="Times New Roman"/>
          <w:szCs w:val="24"/>
          <w:lang w:eastAsia="en-US"/>
        </w:rPr>
        <w:t>ФСЭГ</w:t>
      </w:r>
      <w:r w:rsidRPr="000B26DA">
        <w:rPr>
          <w:rFonts w:eastAsiaTheme="minorHAnsi" w:cs="Times New Roman"/>
          <w:szCs w:val="24"/>
          <w:lang w:val="en-US" w:eastAsia="en-US"/>
        </w:rPr>
        <w:t xml:space="preserve">, 2020. – 118 </w:t>
      </w:r>
      <w:r w:rsidRPr="00C37A8D">
        <w:rPr>
          <w:rFonts w:eastAsiaTheme="minorHAnsi" w:cs="Times New Roman"/>
          <w:szCs w:val="24"/>
          <w:lang w:eastAsia="en-US"/>
        </w:rPr>
        <w:t>стр</w:t>
      </w:r>
      <w:r w:rsidRPr="000B26DA">
        <w:rPr>
          <w:rFonts w:eastAsiaTheme="minorHAnsi" w:cs="Times New Roman"/>
          <w:szCs w:val="24"/>
          <w:lang w:val="en-US" w:eastAsia="en-US"/>
        </w:rPr>
        <w:t xml:space="preserve">. </w:t>
      </w:r>
    </w:p>
    <w:p w14:paraId="007C64CC" w14:textId="77777777" w:rsidR="00912699" w:rsidRPr="00C37A8D" w:rsidRDefault="00912699" w:rsidP="000B26DA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val="en-US" w:eastAsia="en-US"/>
        </w:rPr>
      </w:pPr>
      <w:r w:rsidRPr="00C37A8D">
        <w:rPr>
          <w:rFonts w:eastAsiaTheme="minorHAnsi" w:cs="Times New Roman"/>
          <w:szCs w:val="24"/>
          <w:lang w:val="en-US" w:eastAsia="en-US"/>
        </w:rPr>
        <w:t xml:space="preserve">Outlook for Energy: a perspective to 2040 // </w:t>
      </w:r>
      <w:r w:rsidRPr="00C37A8D">
        <w:rPr>
          <w:rFonts w:eastAsiaTheme="minorHAnsi" w:cs="Times New Roman"/>
          <w:szCs w:val="24"/>
          <w:lang w:eastAsia="en-US"/>
        </w:rPr>
        <w:t>Официальный</w:t>
      </w:r>
      <w:r w:rsidRPr="00C37A8D">
        <w:rPr>
          <w:rFonts w:eastAsiaTheme="minorHAnsi" w:cs="Times New Roman"/>
          <w:szCs w:val="24"/>
          <w:lang w:val="en-US" w:eastAsia="en-US"/>
        </w:rPr>
        <w:t xml:space="preserve"> </w:t>
      </w:r>
      <w:r w:rsidRPr="00C37A8D">
        <w:rPr>
          <w:rFonts w:eastAsiaTheme="minorHAnsi" w:cs="Times New Roman"/>
          <w:szCs w:val="24"/>
          <w:lang w:eastAsia="en-US"/>
        </w:rPr>
        <w:t>прогноз</w:t>
      </w:r>
      <w:r w:rsidRPr="00C37A8D">
        <w:rPr>
          <w:rFonts w:eastAsiaTheme="minorHAnsi" w:cs="Times New Roman"/>
          <w:szCs w:val="24"/>
          <w:lang w:val="en-US" w:eastAsia="en-US"/>
        </w:rPr>
        <w:t xml:space="preserve"> Exxon Mobil, 2019 – 58 </w:t>
      </w:r>
      <w:r w:rsidRPr="00C37A8D">
        <w:rPr>
          <w:rFonts w:eastAsiaTheme="minorHAnsi" w:cs="Times New Roman"/>
          <w:szCs w:val="24"/>
          <w:lang w:eastAsia="en-US"/>
        </w:rPr>
        <w:t>стр</w:t>
      </w:r>
      <w:r w:rsidRPr="00C37A8D">
        <w:rPr>
          <w:rFonts w:eastAsiaTheme="minorHAnsi" w:cs="Times New Roman"/>
          <w:szCs w:val="24"/>
          <w:lang w:val="en-US" w:eastAsia="en-US"/>
        </w:rPr>
        <w:t>.</w:t>
      </w:r>
    </w:p>
    <w:p w14:paraId="3F339025" w14:textId="77777777" w:rsidR="00912699" w:rsidRPr="00C37A8D" w:rsidRDefault="00912699" w:rsidP="000B26DA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val="en-US" w:eastAsia="en-US"/>
        </w:rPr>
      </w:pPr>
      <w:r w:rsidRPr="00C37A8D">
        <w:rPr>
          <w:rFonts w:eastAsiaTheme="minorHAnsi" w:cs="Times New Roman"/>
          <w:szCs w:val="24"/>
          <w:lang w:val="en-US" w:eastAsia="en-US"/>
        </w:rPr>
        <w:t xml:space="preserve">Shell Energy Transition Report // </w:t>
      </w:r>
      <w:r w:rsidRPr="00C37A8D">
        <w:rPr>
          <w:rFonts w:eastAsiaTheme="minorHAnsi" w:cs="Times New Roman"/>
          <w:szCs w:val="24"/>
          <w:lang w:eastAsia="en-US"/>
        </w:rPr>
        <w:t>Официальный</w:t>
      </w:r>
      <w:r w:rsidRPr="00C37A8D">
        <w:rPr>
          <w:rFonts w:eastAsiaTheme="minorHAnsi" w:cs="Times New Roman"/>
          <w:szCs w:val="24"/>
          <w:lang w:val="en-US" w:eastAsia="en-US"/>
        </w:rPr>
        <w:t xml:space="preserve"> </w:t>
      </w:r>
      <w:r w:rsidRPr="00C37A8D">
        <w:rPr>
          <w:rFonts w:eastAsiaTheme="minorHAnsi" w:cs="Times New Roman"/>
          <w:szCs w:val="24"/>
          <w:lang w:eastAsia="en-US"/>
        </w:rPr>
        <w:t>прогноз</w:t>
      </w:r>
      <w:r w:rsidRPr="00C37A8D">
        <w:rPr>
          <w:rFonts w:eastAsiaTheme="minorHAnsi" w:cs="Times New Roman"/>
          <w:szCs w:val="24"/>
          <w:lang w:val="en-US" w:eastAsia="en-US"/>
        </w:rPr>
        <w:t xml:space="preserve"> </w:t>
      </w:r>
      <w:r w:rsidRPr="00C37A8D">
        <w:rPr>
          <w:rFonts w:eastAsiaTheme="minorHAnsi" w:cs="Times New Roman"/>
          <w:szCs w:val="24"/>
          <w:lang w:eastAsia="en-US"/>
        </w:rPr>
        <w:t>ТНК</w:t>
      </w:r>
      <w:r w:rsidRPr="00C37A8D">
        <w:rPr>
          <w:rFonts w:eastAsiaTheme="minorHAnsi" w:cs="Times New Roman"/>
          <w:szCs w:val="24"/>
          <w:lang w:val="en-US" w:eastAsia="en-US"/>
        </w:rPr>
        <w:t xml:space="preserve"> Royal Dutch Shell, 2019 – 79 </w:t>
      </w:r>
      <w:r w:rsidRPr="00C37A8D">
        <w:rPr>
          <w:rFonts w:eastAsiaTheme="minorHAnsi" w:cs="Times New Roman"/>
          <w:szCs w:val="24"/>
          <w:lang w:eastAsia="en-US"/>
        </w:rPr>
        <w:t>стр</w:t>
      </w:r>
      <w:r w:rsidRPr="00C37A8D">
        <w:rPr>
          <w:rFonts w:eastAsiaTheme="minorHAnsi" w:cs="Times New Roman"/>
          <w:szCs w:val="24"/>
          <w:lang w:val="en-US" w:eastAsia="en-US"/>
        </w:rPr>
        <w:t>.</w:t>
      </w:r>
    </w:p>
    <w:p w14:paraId="382DB176" w14:textId="77777777" w:rsidR="00912699" w:rsidRPr="00C37A8D" w:rsidRDefault="00912699" w:rsidP="000B26DA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eastAsia="en-US"/>
        </w:rPr>
      </w:pPr>
      <w:r w:rsidRPr="00C37A8D">
        <w:rPr>
          <w:rFonts w:eastAsiaTheme="minorHAnsi" w:cs="Times New Roman"/>
          <w:szCs w:val="24"/>
          <w:lang w:val="en-US" w:eastAsia="en-US"/>
        </w:rPr>
        <w:t xml:space="preserve">World Economic Outlook, April 2020: The Great Lockdown [Electronic resource] // </w:t>
      </w:r>
      <w:r w:rsidRPr="00C37A8D">
        <w:rPr>
          <w:rFonts w:eastAsiaTheme="minorHAnsi" w:cs="Times New Roman"/>
          <w:szCs w:val="24"/>
          <w:lang w:eastAsia="en-US"/>
        </w:rPr>
        <w:t>Официальный</w:t>
      </w:r>
      <w:r w:rsidRPr="00C37A8D">
        <w:rPr>
          <w:rFonts w:eastAsiaTheme="minorHAnsi" w:cs="Times New Roman"/>
          <w:szCs w:val="24"/>
          <w:lang w:val="en-US" w:eastAsia="en-US"/>
        </w:rPr>
        <w:t xml:space="preserve"> </w:t>
      </w:r>
      <w:r w:rsidRPr="00C37A8D">
        <w:rPr>
          <w:rFonts w:eastAsiaTheme="minorHAnsi" w:cs="Times New Roman"/>
          <w:szCs w:val="24"/>
          <w:lang w:eastAsia="en-US"/>
        </w:rPr>
        <w:t>отчет</w:t>
      </w:r>
      <w:r w:rsidRPr="00C37A8D">
        <w:rPr>
          <w:rFonts w:eastAsiaTheme="minorHAnsi" w:cs="Times New Roman"/>
          <w:szCs w:val="24"/>
          <w:lang w:val="en-US" w:eastAsia="en-US"/>
        </w:rPr>
        <w:t xml:space="preserve"> </w:t>
      </w:r>
      <w:r w:rsidRPr="00C37A8D">
        <w:rPr>
          <w:rFonts w:eastAsiaTheme="minorHAnsi" w:cs="Times New Roman"/>
          <w:szCs w:val="24"/>
          <w:lang w:eastAsia="en-US"/>
        </w:rPr>
        <w:t>Международного</w:t>
      </w:r>
      <w:r w:rsidRPr="000B26DA">
        <w:rPr>
          <w:rFonts w:eastAsiaTheme="minorHAnsi" w:cs="Times New Roman"/>
          <w:szCs w:val="24"/>
          <w:lang w:val="en-US" w:eastAsia="en-US"/>
        </w:rPr>
        <w:t xml:space="preserve"> </w:t>
      </w:r>
      <w:r>
        <w:rPr>
          <w:rFonts w:eastAsiaTheme="minorHAnsi" w:cs="Times New Roman"/>
          <w:szCs w:val="24"/>
          <w:lang w:eastAsia="en-US"/>
        </w:rPr>
        <w:t>валютного</w:t>
      </w:r>
      <w:r w:rsidRPr="00C37A8D">
        <w:rPr>
          <w:rFonts w:eastAsiaTheme="minorHAnsi" w:cs="Times New Roman"/>
          <w:szCs w:val="24"/>
          <w:lang w:val="en-US" w:eastAsia="en-US"/>
        </w:rPr>
        <w:t xml:space="preserve"> </w:t>
      </w:r>
      <w:r w:rsidRPr="00C37A8D">
        <w:rPr>
          <w:rFonts w:eastAsiaTheme="minorHAnsi" w:cs="Times New Roman"/>
          <w:szCs w:val="24"/>
          <w:lang w:eastAsia="en-US"/>
        </w:rPr>
        <w:t>фонда</w:t>
      </w:r>
      <w:r w:rsidRPr="00C37A8D">
        <w:rPr>
          <w:rFonts w:eastAsiaTheme="minorHAnsi" w:cs="Times New Roman"/>
          <w:szCs w:val="24"/>
          <w:lang w:val="en-US" w:eastAsia="en-US"/>
        </w:rPr>
        <w:t xml:space="preserve">. </w:t>
      </w:r>
      <w:r w:rsidRPr="00C37A8D">
        <w:rPr>
          <w:rFonts w:eastAsiaTheme="minorHAnsi" w:cs="Times New Roman"/>
          <w:szCs w:val="24"/>
          <w:lang w:eastAsia="en-US"/>
        </w:rPr>
        <w:t xml:space="preserve">Режим доступа: </w:t>
      </w:r>
      <w:hyperlink r:id="rId17" w:history="1">
        <w:r w:rsidRPr="00361005">
          <w:rPr>
            <w:rStyle w:val="a8"/>
            <w:rFonts w:eastAsiaTheme="minorHAnsi" w:cs="Times New Roman"/>
            <w:szCs w:val="24"/>
            <w:lang w:eastAsia="en-US"/>
          </w:rPr>
          <w:t>https://www.imf.org/en/Publications/WEO/Issues/2020/04/14/weo-april-2020</w:t>
        </w:r>
      </w:hyperlink>
      <w:r>
        <w:rPr>
          <w:rFonts w:eastAsiaTheme="minorHAnsi" w:cs="Times New Roman"/>
          <w:szCs w:val="24"/>
          <w:lang w:eastAsia="en-US"/>
        </w:rPr>
        <w:t xml:space="preserve"> </w:t>
      </w:r>
      <w:r w:rsidRPr="00C37A8D">
        <w:rPr>
          <w:rFonts w:eastAsiaTheme="minorHAnsi" w:cs="Times New Roman"/>
          <w:szCs w:val="24"/>
          <w:lang w:eastAsia="en-US"/>
        </w:rPr>
        <w:t>(дата обращения: 29.04.2020)</w:t>
      </w:r>
    </w:p>
    <w:p w14:paraId="4BFDCEE3" w14:textId="77777777" w:rsidR="00912699" w:rsidRPr="00C37A8D" w:rsidRDefault="00912699" w:rsidP="000B26DA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eastAsia="en-US"/>
        </w:rPr>
      </w:pPr>
      <w:proofErr w:type="spellStart"/>
      <w:r w:rsidRPr="00C37A8D">
        <w:rPr>
          <w:rFonts w:eastAsiaTheme="minorHAnsi" w:cs="Times New Roman"/>
          <w:szCs w:val="24"/>
          <w:lang w:eastAsia="en-US"/>
        </w:rPr>
        <w:t>World</w:t>
      </w:r>
      <w:proofErr w:type="spellEnd"/>
      <w:r w:rsidRPr="00C37A8D">
        <w:rPr>
          <w:rFonts w:eastAsiaTheme="minorHAnsi" w:cs="Times New Roman"/>
          <w:szCs w:val="24"/>
          <w:lang w:eastAsia="en-US"/>
        </w:rPr>
        <w:t xml:space="preserve"> </w:t>
      </w:r>
      <w:proofErr w:type="spellStart"/>
      <w:r w:rsidRPr="00C37A8D">
        <w:rPr>
          <w:rFonts w:eastAsiaTheme="minorHAnsi" w:cs="Times New Roman"/>
          <w:szCs w:val="24"/>
          <w:lang w:eastAsia="en-US"/>
        </w:rPr>
        <w:t>Energy</w:t>
      </w:r>
      <w:proofErr w:type="spellEnd"/>
      <w:r w:rsidRPr="00C37A8D">
        <w:rPr>
          <w:rFonts w:eastAsiaTheme="minorHAnsi" w:cs="Times New Roman"/>
          <w:szCs w:val="24"/>
          <w:lang w:eastAsia="en-US"/>
        </w:rPr>
        <w:t xml:space="preserve"> </w:t>
      </w:r>
      <w:proofErr w:type="spellStart"/>
      <w:r w:rsidRPr="00C37A8D">
        <w:rPr>
          <w:rFonts w:eastAsiaTheme="minorHAnsi" w:cs="Times New Roman"/>
          <w:szCs w:val="24"/>
          <w:lang w:eastAsia="en-US"/>
        </w:rPr>
        <w:t>Outlook</w:t>
      </w:r>
      <w:proofErr w:type="spellEnd"/>
      <w:r w:rsidRPr="00C37A8D">
        <w:rPr>
          <w:rFonts w:eastAsiaTheme="minorHAnsi" w:cs="Times New Roman"/>
          <w:szCs w:val="24"/>
          <w:lang w:eastAsia="en-US"/>
        </w:rPr>
        <w:t xml:space="preserve"> // Официальный прогноз МЭА, 2019 – 809 стр.</w:t>
      </w:r>
    </w:p>
    <w:p w14:paraId="62F6BE31" w14:textId="77777777" w:rsidR="00912699" w:rsidRDefault="00912699" w:rsidP="000B26DA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eastAsia="en-US"/>
        </w:rPr>
      </w:pPr>
      <w:proofErr w:type="spellStart"/>
      <w:r w:rsidRPr="00C37A8D">
        <w:rPr>
          <w:rFonts w:eastAsiaTheme="minorHAnsi" w:cs="Times New Roman"/>
          <w:szCs w:val="24"/>
          <w:lang w:eastAsia="en-US"/>
        </w:rPr>
        <w:t>World</w:t>
      </w:r>
      <w:proofErr w:type="spellEnd"/>
      <w:r w:rsidRPr="00C37A8D">
        <w:rPr>
          <w:rFonts w:eastAsiaTheme="minorHAnsi" w:cs="Times New Roman"/>
          <w:szCs w:val="24"/>
          <w:lang w:eastAsia="en-US"/>
        </w:rPr>
        <w:t xml:space="preserve"> </w:t>
      </w:r>
      <w:proofErr w:type="spellStart"/>
      <w:r w:rsidRPr="00C37A8D">
        <w:rPr>
          <w:rFonts w:eastAsiaTheme="minorHAnsi" w:cs="Times New Roman"/>
          <w:szCs w:val="24"/>
          <w:lang w:eastAsia="en-US"/>
        </w:rPr>
        <w:t>Oil</w:t>
      </w:r>
      <w:proofErr w:type="spellEnd"/>
      <w:r w:rsidRPr="00C37A8D">
        <w:rPr>
          <w:rFonts w:eastAsiaTheme="minorHAnsi" w:cs="Times New Roman"/>
          <w:szCs w:val="24"/>
          <w:lang w:eastAsia="en-US"/>
        </w:rPr>
        <w:t xml:space="preserve"> </w:t>
      </w:r>
      <w:proofErr w:type="spellStart"/>
      <w:r w:rsidRPr="00C37A8D">
        <w:rPr>
          <w:rFonts w:eastAsiaTheme="minorHAnsi" w:cs="Times New Roman"/>
          <w:szCs w:val="24"/>
          <w:lang w:eastAsia="en-US"/>
        </w:rPr>
        <w:t>Outlook</w:t>
      </w:r>
      <w:proofErr w:type="spellEnd"/>
      <w:r w:rsidRPr="00C37A8D">
        <w:rPr>
          <w:rFonts w:eastAsiaTheme="minorHAnsi" w:cs="Times New Roman"/>
          <w:szCs w:val="24"/>
          <w:lang w:eastAsia="en-US"/>
        </w:rPr>
        <w:t xml:space="preserve"> 2040 // Официальный прогноз ОПЕК, 2017 – 346 стр.</w:t>
      </w:r>
    </w:p>
    <w:p w14:paraId="48B6573F" w14:textId="427B4F2A" w:rsidR="00912699" w:rsidRDefault="00912699" w:rsidP="00912699">
      <w:pPr>
        <w:spacing w:after="160" w:line="259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Законодательные акты, международные договоры, стратегические документы</w:t>
      </w:r>
    </w:p>
    <w:p w14:paraId="1531DC37" w14:textId="4E83D90F" w:rsidR="00C37A8D" w:rsidRPr="00C37A8D" w:rsidRDefault="00C37A8D" w:rsidP="00C37A8D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eastAsia="en-US"/>
        </w:rPr>
      </w:pPr>
      <w:r w:rsidRPr="00C37A8D">
        <w:rPr>
          <w:rFonts w:eastAsiaTheme="minorHAnsi" w:cs="Times New Roman"/>
          <w:szCs w:val="24"/>
          <w:lang w:eastAsia="en-US"/>
        </w:rPr>
        <w:t>Договор между Союзом Советских Социалистических Республик и Федеративной Республикой Германией [Московский договор], 12 августа 1970 г.</w:t>
      </w:r>
    </w:p>
    <w:p w14:paraId="26BB100A" w14:textId="77777777" w:rsidR="00C37A8D" w:rsidRPr="00C37A8D" w:rsidRDefault="00C37A8D" w:rsidP="00C37A8D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eastAsia="en-US"/>
        </w:rPr>
      </w:pPr>
      <w:r w:rsidRPr="00C37A8D">
        <w:rPr>
          <w:rFonts w:eastAsiaTheme="minorHAnsi" w:cs="Times New Roman"/>
          <w:szCs w:val="24"/>
          <w:lang w:eastAsia="en-US"/>
        </w:rPr>
        <w:t>Преобразование нашего мира: Повестка дня в области устойчивого развития на период до 2030 года // Резолюция, принятая Генеральной Ассамблеей 25 сентября 2015 года, пункты 15 и 116 повестки дня</w:t>
      </w:r>
    </w:p>
    <w:p w14:paraId="4AD3AF67" w14:textId="77777777" w:rsidR="00C37A8D" w:rsidRPr="00C37A8D" w:rsidRDefault="00C37A8D" w:rsidP="00C37A8D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eastAsia="en-US"/>
        </w:rPr>
      </w:pPr>
      <w:r w:rsidRPr="00C37A8D">
        <w:rPr>
          <w:rFonts w:eastAsiaTheme="minorHAnsi" w:cs="Times New Roman"/>
          <w:szCs w:val="24"/>
          <w:lang w:eastAsia="en-US"/>
        </w:rPr>
        <w:t>Указ Президента Российской Федерации от 13.05.2019 г. «Об утверждении Доктрины энергетической безопасности Российской Федерации» - 2019. – 19 стр.</w:t>
      </w:r>
    </w:p>
    <w:p w14:paraId="35FCD584" w14:textId="77777777" w:rsidR="00C37A8D" w:rsidRPr="00C37A8D" w:rsidRDefault="00C37A8D" w:rsidP="00C37A8D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val="en-US" w:eastAsia="en-US"/>
        </w:rPr>
      </w:pPr>
      <w:r w:rsidRPr="00C37A8D">
        <w:rPr>
          <w:rFonts w:eastAsiaTheme="minorHAnsi" w:cs="Times New Roman"/>
          <w:szCs w:val="24"/>
          <w:lang w:val="en-US" w:eastAsia="en-US"/>
        </w:rPr>
        <w:t xml:space="preserve">A New Industrial Strategy for Europe // European Commission, Brussels, 10.3.2020 – 17 </w:t>
      </w:r>
      <w:r w:rsidRPr="00C37A8D">
        <w:rPr>
          <w:rFonts w:eastAsiaTheme="minorHAnsi" w:cs="Times New Roman"/>
          <w:szCs w:val="24"/>
          <w:lang w:eastAsia="en-US"/>
        </w:rPr>
        <w:t>стр</w:t>
      </w:r>
      <w:r w:rsidRPr="00C37A8D">
        <w:rPr>
          <w:rFonts w:eastAsiaTheme="minorHAnsi" w:cs="Times New Roman"/>
          <w:szCs w:val="24"/>
          <w:lang w:val="en-US" w:eastAsia="en-US"/>
        </w:rPr>
        <w:t>.</w:t>
      </w:r>
    </w:p>
    <w:p w14:paraId="4276FC89" w14:textId="77777777" w:rsidR="00C37A8D" w:rsidRPr="00C37A8D" w:rsidRDefault="00C37A8D" w:rsidP="00C37A8D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val="en-US" w:eastAsia="en-US"/>
        </w:rPr>
      </w:pPr>
      <w:proofErr w:type="spellStart"/>
      <w:r w:rsidRPr="00C37A8D">
        <w:rPr>
          <w:rFonts w:eastAsiaTheme="minorHAnsi" w:cs="Times New Roman"/>
          <w:szCs w:val="24"/>
          <w:lang w:val="en-US" w:eastAsia="en-US"/>
        </w:rPr>
        <w:t>Energiekonzept</w:t>
      </w:r>
      <w:proofErr w:type="spellEnd"/>
      <w:r w:rsidRPr="00C37A8D">
        <w:rPr>
          <w:rFonts w:eastAsiaTheme="minorHAnsi" w:cs="Times New Roman"/>
          <w:szCs w:val="24"/>
          <w:lang w:val="en-US" w:eastAsia="en-US"/>
        </w:rPr>
        <w:t xml:space="preserve"> </w:t>
      </w:r>
      <w:proofErr w:type="spellStart"/>
      <w:r w:rsidRPr="00C37A8D">
        <w:rPr>
          <w:rFonts w:eastAsiaTheme="minorHAnsi" w:cs="Times New Roman"/>
          <w:szCs w:val="24"/>
          <w:lang w:val="en-US" w:eastAsia="en-US"/>
        </w:rPr>
        <w:t>für</w:t>
      </w:r>
      <w:proofErr w:type="spellEnd"/>
      <w:r w:rsidRPr="00C37A8D">
        <w:rPr>
          <w:rFonts w:eastAsiaTheme="minorHAnsi" w:cs="Times New Roman"/>
          <w:szCs w:val="24"/>
          <w:lang w:val="en-US" w:eastAsia="en-US"/>
        </w:rPr>
        <w:t xml:space="preserve"> </w:t>
      </w:r>
      <w:proofErr w:type="spellStart"/>
      <w:r w:rsidRPr="00C37A8D">
        <w:rPr>
          <w:rFonts w:eastAsiaTheme="minorHAnsi" w:cs="Times New Roman"/>
          <w:szCs w:val="24"/>
          <w:lang w:val="en-US" w:eastAsia="en-US"/>
        </w:rPr>
        <w:t>eine</w:t>
      </w:r>
      <w:proofErr w:type="spellEnd"/>
      <w:r w:rsidRPr="00C37A8D">
        <w:rPr>
          <w:rFonts w:eastAsiaTheme="minorHAnsi" w:cs="Times New Roman"/>
          <w:szCs w:val="24"/>
          <w:lang w:val="en-US" w:eastAsia="en-US"/>
        </w:rPr>
        <w:t xml:space="preserve"> </w:t>
      </w:r>
      <w:proofErr w:type="spellStart"/>
      <w:r w:rsidRPr="00C37A8D">
        <w:rPr>
          <w:rFonts w:eastAsiaTheme="minorHAnsi" w:cs="Times New Roman"/>
          <w:szCs w:val="24"/>
          <w:lang w:val="en-US" w:eastAsia="en-US"/>
        </w:rPr>
        <w:t>umweltschonende</w:t>
      </w:r>
      <w:proofErr w:type="spellEnd"/>
      <w:r w:rsidRPr="00C37A8D">
        <w:rPr>
          <w:rFonts w:eastAsiaTheme="minorHAnsi" w:cs="Times New Roman"/>
          <w:szCs w:val="24"/>
          <w:lang w:val="en-US" w:eastAsia="en-US"/>
        </w:rPr>
        <w:t xml:space="preserve">, </w:t>
      </w:r>
      <w:proofErr w:type="spellStart"/>
      <w:r w:rsidRPr="00C37A8D">
        <w:rPr>
          <w:rFonts w:eastAsiaTheme="minorHAnsi" w:cs="Times New Roman"/>
          <w:szCs w:val="24"/>
          <w:lang w:val="en-US" w:eastAsia="en-US"/>
        </w:rPr>
        <w:t>zuverlässige</w:t>
      </w:r>
      <w:proofErr w:type="spellEnd"/>
      <w:r w:rsidRPr="00C37A8D">
        <w:rPr>
          <w:rFonts w:eastAsiaTheme="minorHAnsi" w:cs="Times New Roman"/>
          <w:szCs w:val="24"/>
          <w:lang w:val="en-US" w:eastAsia="en-US"/>
        </w:rPr>
        <w:t xml:space="preserve"> und </w:t>
      </w:r>
      <w:proofErr w:type="spellStart"/>
      <w:r w:rsidRPr="00C37A8D">
        <w:rPr>
          <w:rFonts w:eastAsiaTheme="minorHAnsi" w:cs="Times New Roman"/>
          <w:szCs w:val="24"/>
          <w:lang w:val="en-US" w:eastAsia="en-US"/>
        </w:rPr>
        <w:t>bezahlbare</w:t>
      </w:r>
      <w:proofErr w:type="spellEnd"/>
      <w:r w:rsidRPr="00C37A8D">
        <w:rPr>
          <w:rFonts w:eastAsiaTheme="minorHAnsi" w:cs="Times New Roman"/>
          <w:szCs w:val="24"/>
          <w:lang w:val="en-US" w:eastAsia="en-US"/>
        </w:rPr>
        <w:t xml:space="preserve"> </w:t>
      </w:r>
      <w:proofErr w:type="spellStart"/>
      <w:r w:rsidRPr="00C37A8D">
        <w:rPr>
          <w:rFonts w:eastAsiaTheme="minorHAnsi" w:cs="Times New Roman"/>
          <w:szCs w:val="24"/>
          <w:lang w:val="en-US" w:eastAsia="en-US"/>
        </w:rPr>
        <w:t>Energieversorgung</w:t>
      </w:r>
      <w:proofErr w:type="spellEnd"/>
      <w:r w:rsidRPr="00C37A8D">
        <w:rPr>
          <w:rFonts w:eastAsiaTheme="minorHAnsi" w:cs="Times New Roman"/>
          <w:szCs w:val="24"/>
          <w:lang w:val="en-US" w:eastAsia="en-US"/>
        </w:rPr>
        <w:t xml:space="preserve"> // </w:t>
      </w:r>
      <w:proofErr w:type="spellStart"/>
      <w:r w:rsidRPr="00C37A8D">
        <w:rPr>
          <w:rFonts w:eastAsiaTheme="minorHAnsi" w:cs="Times New Roman"/>
          <w:szCs w:val="24"/>
          <w:lang w:val="en-US" w:eastAsia="en-US"/>
        </w:rPr>
        <w:t>Bundesministerium</w:t>
      </w:r>
      <w:proofErr w:type="spellEnd"/>
      <w:r w:rsidRPr="00C37A8D">
        <w:rPr>
          <w:rFonts w:eastAsiaTheme="minorHAnsi" w:cs="Times New Roman"/>
          <w:szCs w:val="24"/>
          <w:lang w:val="en-US" w:eastAsia="en-US"/>
        </w:rPr>
        <w:t xml:space="preserve"> </w:t>
      </w:r>
      <w:proofErr w:type="spellStart"/>
      <w:r w:rsidRPr="00C37A8D">
        <w:rPr>
          <w:rFonts w:eastAsiaTheme="minorHAnsi" w:cs="Times New Roman"/>
          <w:szCs w:val="24"/>
          <w:lang w:val="en-US" w:eastAsia="en-US"/>
        </w:rPr>
        <w:t>für</w:t>
      </w:r>
      <w:proofErr w:type="spellEnd"/>
      <w:r w:rsidRPr="00C37A8D">
        <w:rPr>
          <w:rFonts w:eastAsiaTheme="minorHAnsi" w:cs="Times New Roman"/>
          <w:szCs w:val="24"/>
          <w:lang w:val="en-US" w:eastAsia="en-US"/>
        </w:rPr>
        <w:t xml:space="preserve"> Umwelt, </w:t>
      </w:r>
      <w:proofErr w:type="spellStart"/>
      <w:r w:rsidRPr="00C37A8D">
        <w:rPr>
          <w:rFonts w:eastAsiaTheme="minorHAnsi" w:cs="Times New Roman"/>
          <w:szCs w:val="24"/>
          <w:lang w:val="en-US" w:eastAsia="en-US"/>
        </w:rPr>
        <w:t>Naturschutz</w:t>
      </w:r>
      <w:proofErr w:type="spellEnd"/>
      <w:r w:rsidRPr="00C37A8D">
        <w:rPr>
          <w:rFonts w:eastAsiaTheme="minorHAnsi" w:cs="Times New Roman"/>
          <w:szCs w:val="24"/>
          <w:lang w:val="en-US" w:eastAsia="en-US"/>
        </w:rPr>
        <w:t xml:space="preserve"> und </w:t>
      </w:r>
      <w:proofErr w:type="spellStart"/>
      <w:r w:rsidRPr="00C37A8D">
        <w:rPr>
          <w:rFonts w:eastAsiaTheme="minorHAnsi" w:cs="Times New Roman"/>
          <w:szCs w:val="24"/>
          <w:lang w:val="en-US" w:eastAsia="en-US"/>
        </w:rPr>
        <w:t>Reaktorsicherheit</w:t>
      </w:r>
      <w:proofErr w:type="spellEnd"/>
      <w:r w:rsidRPr="00C37A8D">
        <w:rPr>
          <w:rFonts w:eastAsiaTheme="minorHAnsi" w:cs="Times New Roman"/>
          <w:szCs w:val="24"/>
          <w:lang w:val="en-US" w:eastAsia="en-US"/>
        </w:rPr>
        <w:t xml:space="preserve">. 28. September 2010 – 34 </w:t>
      </w:r>
      <w:r w:rsidRPr="00C37A8D">
        <w:rPr>
          <w:rFonts w:eastAsiaTheme="minorHAnsi" w:cs="Times New Roman"/>
          <w:szCs w:val="24"/>
          <w:lang w:eastAsia="en-US"/>
        </w:rPr>
        <w:t>стр</w:t>
      </w:r>
      <w:r w:rsidRPr="00C37A8D">
        <w:rPr>
          <w:rFonts w:eastAsiaTheme="minorHAnsi" w:cs="Times New Roman"/>
          <w:szCs w:val="24"/>
          <w:lang w:val="en-US" w:eastAsia="en-US"/>
        </w:rPr>
        <w:t xml:space="preserve">. </w:t>
      </w:r>
    </w:p>
    <w:p w14:paraId="69C2E6A3" w14:textId="77777777" w:rsidR="00C37A8D" w:rsidRPr="00C37A8D" w:rsidRDefault="00C37A8D" w:rsidP="00C37A8D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val="en-US" w:eastAsia="en-US"/>
        </w:rPr>
      </w:pPr>
      <w:r w:rsidRPr="00C37A8D">
        <w:rPr>
          <w:rFonts w:eastAsiaTheme="minorHAnsi" w:cs="Times New Roman"/>
          <w:szCs w:val="24"/>
          <w:lang w:val="en-US" w:eastAsia="en-US"/>
        </w:rPr>
        <w:t xml:space="preserve">Energy study 2014. Reserves, resources and availability of energy resources // </w:t>
      </w:r>
      <w:proofErr w:type="spellStart"/>
      <w:r w:rsidRPr="00C37A8D">
        <w:rPr>
          <w:rFonts w:eastAsiaTheme="minorHAnsi" w:cs="Times New Roman"/>
          <w:szCs w:val="24"/>
          <w:lang w:val="en-US" w:eastAsia="en-US"/>
        </w:rPr>
        <w:t>Bundesanstalt</w:t>
      </w:r>
      <w:proofErr w:type="spellEnd"/>
      <w:r w:rsidRPr="00C37A8D">
        <w:rPr>
          <w:rFonts w:eastAsiaTheme="minorHAnsi" w:cs="Times New Roman"/>
          <w:szCs w:val="24"/>
          <w:lang w:val="en-US" w:eastAsia="en-US"/>
        </w:rPr>
        <w:t xml:space="preserve"> </w:t>
      </w:r>
      <w:proofErr w:type="spellStart"/>
      <w:r w:rsidRPr="00C37A8D">
        <w:rPr>
          <w:rFonts w:eastAsiaTheme="minorHAnsi" w:cs="Times New Roman"/>
          <w:szCs w:val="24"/>
          <w:lang w:val="en-US" w:eastAsia="en-US"/>
        </w:rPr>
        <w:t>für</w:t>
      </w:r>
      <w:proofErr w:type="spellEnd"/>
      <w:r w:rsidRPr="00C37A8D">
        <w:rPr>
          <w:rFonts w:eastAsiaTheme="minorHAnsi" w:cs="Times New Roman"/>
          <w:szCs w:val="24"/>
          <w:lang w:val="en-US" w:eastAsia="en-US"/>
        </w:rPr>
        <w:t xml:space="preserve"> </w:t>
      </w:r>
      <w:proofErr w:type="spellStart"/>
      <w:r w:rsidRPr="00C37A8D">
        <w:rPr>
          <w:rFonts w:eastAsiaTheme="minorHAnsi" w:cs="Times New Roman"/>
          <w:szCs w:val="24"/>
          <w:lang w:val="en-US" w:eastAsia="en-US"/>
        </w:rPr>
        <w:t>Geowissenschaften</w:t>
      </w:r>
      <w:proofErr w:type="spellEnd"/>
      <w:r w:rsidRPr="00C37A8D">
        <w:rPr>
          <w:rFonts w:eastAsiaTheme="minorHAnsi" w:cs="Times New Roman"/>
          <w:szCs w:val="24"/>
          <w:lang w:val="en-US" w:eastAsia="en-US"/>
        </w:rPr>
        <w:t xml:space="preserve"> und </w:t>
      </w:r>
      <w:proofErr w:type="spellStart"/>
      <w:r w:rsidRPr="00C37A8D">
        <w:rPr>
          <w:rFonts w:eastAsiaTheme="minorHAnsi" w:cs="Times New Roman"/>
          <w:szCs w:val="24"/>
          <w:lang w:val="en-US" w:eastAsia="en-US"/>
        </w:rPr>
        <w:t>Rohstoffe</w:t>
      </w:r>
      <w:proofErr w:type="spellEnd"/>
      <w:r w:rsidRPr="00C37A8D">
        <w:rPr>
          <w:rFonts w:eastAsiaTheme="minorHAnsi" w:cs="Times New Roman"/>
          <w:szCs w:val="24"/>
          <w:lang w:val="en-US" w:eastAsia="en-US"/>
        </w:rPr>
        <w:t xml:space="preserve"> (BGR), Hannover, 2014 – 131 </w:t>
      </w:r>
      <w:r w:rsidRPr="00C37A8D">
        <w:rPr>
          <w:rFonts w:eastAsiaTheme="minorHAnsi" w:cs="Times New Roman"/>
          <w:szCs w:val="24"/>
          <w:lang w:eastAsia="en-US"/>
        </w:rPr>
        <w:t>стр</w:t>
      </w:r>
      <w:r w:rsidRPr="00C37A8D">
        <w:rPr>
          <w:rFonts w:eastAsiaTheme="minorHAnsi" w:cs="Times New Roman"/>
          <w:szCs w:val="24"/>
          <w:lang w:val="en-US" w:eastAsia="en-US"/>
        </w:rPr>
        <w:t>.</w:t>
      </w:r>
    </w:p>
    <w:p w14:paraId="0D1CD088" w14:textId="77777777" w:rsidR="00C37A8D" w:rsidRPr="00912699" w:rsidRDefault="00C37A8D" w:rsidP="00C37A8D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val="en-US" w:eastAsia="en-US"/>
        </w:rPr>
      </w:pPr>
      <w:proofErr w:type="spellStart"/>
      <w:r w:rsidRPr="003B6A89">
        <w:rPr>
          <w:rFonts w:eastAsiaTheme="minorHAnsi" w:cs="Times New Roman"/>
          <w:szCs w:val="24"/>
          <w:lang w:val="en-US" w:eastAsia="en-US"/>
        </w:rPr>
        <w:t>Gesetz</w:t>
      </w:r>
      <w:proofErr w:type="spellEnd"/>
      <w:r w:rsidRPr="003B6A89">
        <w:rPr>
          <w:rFonts w:eastAsiaTheme="minorHAnsi" w:cs="Times New Roman"/>
          <w:szCs w:val="24"/>
          <w:lang w:val="en-US" w:eastAsia="en-US"/>
        </w:rPr>
        <w:t xml:space="preserve"> </w:t>
      </w:r>
      <w:proofErr w:type="spellStart"/>
      <w:r w:rsidRPr="003B6A89">
        <w:rPr>
          <w:rFonts w:eastAsiaTheme="minorHAnsi" w:cs="Times New Roman"/>
          <w:szCs w:val="24"/>
          <w:lang w:val="en-US" w:eastAsia="en-US"/>
        </w:rPr>
        <w:t>für</w:t>
      </w:r>
      <w:proofErr w:type="spellEnd"/>
      <w:r w:rsidRPr="003B6A89">
        <w:rPr>
          <w:rFonts w:eastAsiaTheme="minorHAnsi" w:cs="Times New Roman"/>
          <w:szCs w:val="24"/>
          <w:lang w:val="en-US" w:eastAsia="en-US"/>
        </w:rPr>
        <w:t xml:space="preserve"> den </w:t>
      </w:r>
      <w:proofErr w:type="spellStart"/>
      <w:r w:rsidRPr="003B6A89">
        <w:rPr>
          <w:rFonts w:eastAsiaTheme="minorHAnsi" w:cs="Times New Roman"/>
          <w:szCs w:val="24"/>
          <w:lang w:val="en-US" w:eastAsia="en-US"/>
        </w:rPr>
        <w:t>Vorrang</w:t>
      </w:r>
      <w:proofErr w:type="spellEnd"/>
      <w:r w:rsidRPr="003B6A89">
        <w:rPr>
          <w:rFonts w:eastAsiaTheme="minorHAnsi" w:cs="Times New Roman"/>
          <w:szCs w:val="24"/>
          <w:lang w:val="en-US" w:eastAsia="en-US"/>
        </w:rPr>
        <w:t xml:space="preserve"> </w:t>
      </w:r>
      <w:proofErr w:type="spellStart"/>
      <w:r w:rsidRPr="003B6A89">
        <w:rPr>
          <w:rFonts w:eastAsiaTheme="minorHAnsi" w:cs="Times New Roman"/>
          <w:szCs w:val="24"/>
          <w:lang w:val="en-US" w:eastAsia="en-US"/>
        </w:rPr>
        <w:t>Erneuerbarer</w:t>
      </w:r>
      <w:proofErr w:type="spellEnd"/>
      <w:r w:rsidRPr="003B6A89">
        <w:rPr>
          <w:rFonts w:eastAsiaTheme="minorHAnsi" w:cs="Times New Roman"/>
          <w:szCs w:val="24"/>
          <w:lang w:val="en-US" w:eastAsia="en-US"/>
        </w:rPr>
        <w:t xml:space="preserve"> </w:t>
      </w:r>
      <w:proofErr w:type="spellStart"/>
      <w:r w:rsidRPr="003B6A89">
        <w:rPr>
          <w:rFonts w:eastAsiaTheme="minorHAnsi" w:cs="Times New Roman"/>
          <w:szCs w:val="24"/>
          <w:lang w:val="en-US" w:eastAsia="en-US"/>
        </w:rPr>
        <w:t>Energien</w:t>
      </w:r>
      <w:proofErr w:type="spellEnd"/>
      <w:r w:rsidRPr="003B6A89">
        <w:rPr>
          <w:rFonts w:eastAsiaTheme="minorHAnsi" w:cs="Times New Roman"/>
          <w:szCs w:val="24"/>
          <w:lang w:val="en-US" w:eastAsia="en-US"/>
        </w:rPr>
        <w:t xml:space="preserve"> (</w:t>
      </w:r>
      <w:proofErr w:type="spellStart"/>
      <w:r w:rsidRPr="003B6A89">
        <w:rPr>
          <w:rFonts w:eastAsiaTheme="minorHAnsi" w:cs="Times New Roman"/>
          <w:szCs w:val="24"/>
          <w:lang w:val="en-US" w:eastAsia="en-US"/>
        </w:rPr>
        <w:t>Erneuerbare-Energien-Gesetz</w:t>
      </w:r>
      <w:proofErr w:type="spellEnd"/>
      <w:r w:rsidRPr="003B6A89">
        <w:rPr>
          <w:rFonts w:eastAsiaTheme="minorHAnsi" w:cs="Times New Roman"/>
          <w:szCs w:val="24"/>
          <w:lang w:val="en-US" w:eastAsia="en-US"/>
        </w:rPr>
        <w:t xml:space="preserve">, EEG) </w:t>
      </w:r>
      <w:proofErr w:type="spellStart"/>
      <w:r w:rsidRPr="003B6A89">
        <w:rPr>
          <w:rFonts w:eastAsiaTheme="minorHAnsi" w:cs="Times New Roman"/>
          <w:szCs w:val="24"/>
          <w:lang w:val="en-US" w:eastAsia="en-US"/>
        </w:rPr>
        <w:t>sowie</w:t>
      </w:r>
      <w:proofErr w:type="spellEnd"/>
      <w:r w:rsidRPr="003B6A89">
        <w:rPr>
          <w:rFonts w:eastAsiaTheme="minorHAnsi" w:cs="Times New Roman"/>
          <w:szCs w:val="24"/>
          <w:lang w:val="en-US" w:eastAsia="en-US"/>
        </w:rPr>
        <w:t xml:space="preserve"> </w:t>
      </w:r>
      <w:proofErr w:type="spellStart"/>
      <w:r w:rsidRPr="003B6A89">
        <w:rPr>
          <w:rFonts w:eastAsiaTheme="minorHAnsi" w:cs="Times New Roman"/>
          <w:szCs w:val="24"/>
          <w:lang w:val="en-US" w:eastAsia="en-US"/>
        </w:rPr>
        <w:t>zur</w:t>
      </w:r>
      <w:proofErr w:type="spellEnd"/>
      <w:r w:rsidRPr="003B6A89">
        <w:rPr>
          <w:rFonts w:eastAsiaTheme="minorHAnsi" w:cs="Times New Roman"/>
          <w:szCs w:val="24"/>
          <w:lang w:val="en-US" w:eastAsia="en-US"/>
        </w:rPr>
        <w:t xml:space="preserve"> </w:t>
      </w:r>
      <w:proofErr w:type="spellStart"/>
      <w:r w:rsidRPr="003B6A89">
        <w:rPr>
          <w:rFonts w:eastAsiaTheme="minorHAnsi" w:cs="Times New Roman"/>
          <w:szCs w:val="24"/>
          <w:lang w:val="en-US" w:eastAsia="en-US"/>
        </w:rPr>
        <w:t>Änderung</w:t>
      </w:r>
      <w:proofErr w:type="spellEnd"/>
      <w:r w:rsidRPr="003B6A89">
        <w:rPr>
          <w:rFonts w:eastAsiaTheme="minorHAnsi" w:cs="Times New Roman"/>
          <w:szCs w:val="24"/>
          <w:lang w:val="en-US" w:eastAsia="en-US"/>
        </w:rPr>
        <w:t xml:space="preserve"> des </w:t>
      </w:r>
      <w:proofErr w:type="spellStart"/>
      <w:r w:rsidRPr="003B6A89">
        <w:rPr>
          <w:rFonts w:eastAsiaTheme="minorHAnsi" w:cs="Times New Roman"/>
          <w:szCs w:val="24"/>
          <w:lang w:val="en-US" w:eastAsia="en-US"/>
        </w:rPr>
        <w:t>Energiewirtschaftsgesetzes</w:t>
      </w:r>
      <w:proofErr w:type="spellEnd"/>
      <w:r w:rsidRPr="003B6A89">
        <w:rPr>
          <w:rFonts w:eastAsiaTheme="minorHAnsi" w:cs="Times New Roman"/>
          <w:szCs w:val="24"/>
          <w:lang w:val="en-US" w:eastAsia="en-US"/>
        </w:rPr>
        <w:t xml:space="preserve"> und des </w:t>
      </w:r>
      <w:proofErr w:type="spellStart"/>
      <w:r w:rsidRPr="003B6A89">
        <w:rPr>
          <w:rFonts w:eastAsiaTheme="minorHAnsi" w:cs="Times New Roman"/>
          <w:szCs w:val="24"/>
          <w:lang w:val="en-US" w:eastAsia="en-US"/>
        </w:rPr>
        <w:t>Mineralölsteuergesetzes</w:t>
      </w:r>
      <w:proofErr w:type="spellEnd"/>
      <w:r w:rsidRPr="003B6A89">
        <w:rPr>
          <w:rFonts w:eastAsiaTheme="minorHAnsi" w:cs="Times New Roman"/>
          <w:szCs w:val="24"/>
          <w:lang w:val="en-US" w:eastAsia="en-US"/>
        </w:rPr>
        <w:t xml:space="preserve"> // </w:t>
      </w:r>
      <w:proofErr w:type="spellStart"/>
      <w:r w:rsidRPr="003B6A89">
        <w:rPr>
          <w:rFonts w:eastAsiaTheme="minorHAnsi" w:cs="Times New Roman"/>
          <w:szCs w:val="24"/>
          <w:lang w:val="en-US" w:eastAsia="en-US"/>
        </w:rPr>
        <w:t>Bundesgesetzblatt</w:t>
      </w:r>
      <w:proofErr w:type="spellEnd"/>
      <w:r w:rsidRPr="003B6A89">
        <w:rPr>
          <w:rFonts w:eastAsiaTheme="minorHAnsi" w:cs="Times New Roman"/>
          <w:szCs w:val="24"/>
          <w:lang w:val="en-US" w:eastAsia="en-US"/>
        </w:rPr>
        <w:t xml:space="preserve"> </w:t>
      </w:r>
      <w:proofErr w:type="spellStart"/>
      <w:r w:rsidRPr="003B6A89">
        <w:rPr>
          <w:rFonts w:eastAsiaTheme="minorHAnsi" w:cs="Times New Roman"/>
          <w:szCs w:val="24"/>
          <w:lang w:val="en-US" w:eastAsia="en-US"/>
        </w:rPr>
        <w:t>Jahrgang</w:t>
      </w:r>
      <w:proofErr w:type="spellEnd"/>
      <w:r w:rsidRPr="003B6A89">
        <w:rPr>
          <w:rFonts w:eastAsiaTheme="minorHAnsi" w:cs="Times New Roman"/>
          <w:szCs w:val="24"/>
          <w:lang w:val="en-US" w:eastAsia="en-US"/>
        </w:rPr>
        <w:t xml:space="preserve"> 2000 </w:t>
      </w:r>
      <w:proofErr w:type="spellStart"/>
      <w:r w:rsidRPr="003B6A89">
        <w:rPr>
          <w:rFonts w:eastAsiaTheme="minorHAnsi" w:cs="Times New Roman"/>
          <w:szCs w:val="24"/>
          <w:lang w:val="en-US" w:eastAsia="en-US"/>
        </w:rPr>
        <w:t>Teil</w:t>
      </w:r>
      <w:proofErr w:type="spellEnd"/>
      <w:r w:rsidRPr="003B6A89">
        <w:rPr>
          <w:rFonts w:eastAsiaTheme="minorHAnsi" w:cs="Times New Roman"/>
          <w:szCs w:val="24"/>
          <w:lang w:val="en-US" w:eastAsia="en-US"/>
        </w:rPr>
        <w:t xml:space="preserve"> I Nr.13, </w:t>
      </w:r>
      <w:proofErr w:type="spellStart"/>
      <w:r w:rsidRPr="003B6A89">
        <w:rPr>
          <w:rFonts w:eastAsiaTheme="minorHAnsi" w:cs="Times New Roman"/>
          <w:szCs w:val="24"/>
          <w:lang w:val="en-US" w:eastAsia="en-US"/>
        </w:rPr>
        <w:t>ausgegeben</w:t>
      </w:r>
      <w:proofErr w:type="spellEnd"/>
      <w:r w:rsidRPr="003B6A89">
        <w:rPr>
          <w:rFonts w:eastAsiaTheme="minorHAnsi" w:cs="Times New Roman"/>
          <w:szCs w:val="24"/>
          <w:lang w:val="en-US" w:eastAsia="en-US"/>
        </w:rPr>
        <w:t xml:space="preserve"> </w:t>
      </w:r>
      <w:proofErr w:type="spellStart"/>
      <w:r w:rsidRPr="003B6A89">
        <w:rPr>
          <w:rFonts w:eastAsiaTheme="minorHAnsi" w:cs="Times New Roman"/>
          <w:szCs w:val="24"/>
          <w:lang w:val="en-US" w:eastAsia="en-US"/>
        </w:rPr>
        <w:t>zu</w:t>
      </w:r>
      <w:proofErr w:type="spellEnd"/>
      <w:r w:rsidRPr="003B6A89">
        <w:rPr>
          <w:rFonts w:eastAsiaTheme="minorHAnsi" w:cs="Times New Roman"/>
          <w:szCs w:val="24"/>
          <w:lang w:val="en-US" w:eastAsia="en-US"/>
        </w:rPr>
        <w:t xml:space="preserve"> Bonn am 31. </w:t>
      </w:r>
      <w:proofErr w:type="spellStart"/>
      <w:r w:rsidRPr="00912699">
        <w:rPr>
          <w:rFonts w:eastAsiaTheme="minorHAnsi" w:cs="Times New Roman"/>
          <w:szCs w:val="24"/>
          <w:lang w:val="en-US" w:eastAsia="en-US"/>
        </w:rPr>
        <w:t>März</w:t>
      </w:r>
      <w:proofErr w:type="spellEnd"/>
      <w:r w:rsidRPr="00912699">
        <w:rPr>
          <w:rFonts w:eastAsiaTheme="minorHAnsi" w:cs="Times New Roman"/>
          <w:szCs w:val="24"/>
          <w:lang w:val="en-US" w:eastAsia="en-US"/>
        </w:rPr>
        <w:t xml:space="preserve"> 2000 – 90 </w:t>
      </w:r>
      <w:r w:rsidRPr="00C37A8D">
        <w:rPr>
          <w:rFonts w:eastAsiaTheme="minorHAnsi" w:cs="Times New Roman"/>
          <w:szCs w:val="24"/>
          <w:lang w:eastAsia="en-US"/>
        </w:rPr>
        <w:t>стр</w:t>
      </w:r>
      <w:r w:rsidRPr="00912699">
        <w:rPr>
          <w:rFonts w:eastAsiaTheme="minorHAnsi" w:cs="Times New Roman"/>
          <w:szCs w:val="24"/>
          <w:lang w:val="en-US" w:eastAsia="en-US"/>
        </w:rPr>
        <w:t xml:space="preserve">. </w:t>
      </w:r>
    </w:p>
    <w:p w14:paraId="3C323021" w14:textId="1D513370" w:rsidR="00C37A8D" w:rsidRPr="00C37A8D" w:rsidRDefault="00C37A8D" w:rsidP="00C37A8D">
      <w:pPr>
        <w:pStyle w:val="a7"/>
        <w:numPr>
          <w:ilvl w:val="0"/>
          <w:numId w:val="41"/>
        </w:numPr>
        <w:spacing w:after="160" w:line="259" w:lineRule="auto"/>
        <w:jc w:val="left"/>
        <w:rPr>
          <w:rFonts w:eastAsiaTheme="minorHAnsi" w:cs="Times New Roman"/>
          <w:szCs w:val="24"/>
          <w:lang w:eastAsia="en-US"/>
        </w:rPr>
      </w:pPr>
      <w:r w:rsidRPr="00C37A8D">
        <w:rPr>
          <w:rFonts w:eastAsiaTheme="minorHAnsi" w:cs="Times New Roman"/>
          <w:szCs w:val="24"/>
          <w:lang w:val="en-US" w:eastAsia="en-US"/>
        </w:rPr>
        <w:t xml:space="preserve">S. 1790: National Defense Authorization Act for Fiscal Year 2020, Sec. 7503.19.12.2019 [Electronic resource]. </w:t>
      </w:r>
      <w:r w:rsidRPr="00C37A8D">
        <w:rPr>
          <w:rFonts w:eastAsiaTheme="minorHAnsi" w:cs="Times New Roman"/>
          <w:szCs w:val="24"/>
          <w:lang w:eastAsia="en-US"/>
        </w:rPr>
        <w:t xml:space="preserve">Режим доступа: </w:t>
      </w:r>
      <w:hyperlink r:id="rId18" w:history="1">
        <w:r w:rsidRPr="00361005">
          <w:rPr>
            <w:rStyle w:val="a8"/>
            <w:rFonts w:eastAsiaTheme="minorHAnsi" w:cs="Times New Roman"/>
            <w:szCs w:val="24"/>
            <w:lang w:eastAsia="en-US"/>
          </w:rPr>
          <w:t>https://www.govtrack.us/congress/bills/116/s1790/text</w:t>
        </w:r>
      </w:hyperlink>
      <w:r>
        <w:rPr>
          <w:rFonts w:eastAsiaTheme="minorHAnsi" w:cs="Times New Roman"/>
          <w:szCs w:val="24"/>
          <w:lang w:eastAsia="en-US"/>
        </w:rPr>
        <w:t xml:space="preserve"> </w:t>
      </w:r>
      <w:r w:rsidRPr="00C37A8D">
        <w:rPr>
          <w:rFonts w:eastAsiaTheme="minorHAnsi" w:cs="Times New Roman"/>
          <w:szCs w:val="24"/>
          <w:lang w:eastAsia="en-US"/>
        </w:rPr>
        <w:t>(дата обращения: 21.04.2020)</w:t>
      </w:r>
    </w:p>
    <w:p w14:paraId="0F9A586A" w14:textId="77777777" w:rsidR="00C37A8D" w:rsidRPr="00C37A8D" w:rsidRDefault="00C37A8D" w:rsidP="00C37A8D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val="en-US" w:eastAsia="en-US"/>
        </w:rPr>
      </w:pPr>
      <w:r w:rsidRPr="00C37A8D">
        <w:rPr>
          <w:rFonts w:eastAsiaTheme="minorHAnsi" w:cs="Times New Roman"/>
          <w:szCs w:val="24"/>
          <w:lang w:val="en-US" w:eastAsia="en-US"/>
        </w:rPr>
        <w:t xml:space="preserve">The European Green Deal // European Commission, Brussels, 11.12.2019 – 24 </w:t>
      </w:r>
      <w:r w:rsidRPr="00C37A8D">
        <w:rPr>
          <w:rFonts w:eastAsiaTheme="minorHAnsi" w:cs="Times New Roman"/>
          <w:szCs w:val="24"/>
          <w:lang w:eastAsia="en-US"/>
        </w:rPr>
        <w:t>стр</w:t>
      </w:r>
      <w:r w:rsidRPr="00C37A8D">
        <w:rPr>
          <w:rFonts w:eastAsiaTheme="minorHAnsi" w:cs="Times New Roman"/>
          <w:szCs w:val="24"/>
          <w:lang w:val="en-US" w:eastAsia="en-US"/>
        </w:rPr>
        <w:t>.</w:t>
      </w:r>
    </w:p>
    <w:p w14:paraId="73DB1D71" w14:textId="0893E8DB" w:rsidR="00912699" w:rsidRDefault="00912699" w:rsidP="00C37A8D">
      <w:pPr>
        <w:spacing w:after="160" w:line="259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Выступления глав государств</w:t>
      </w:r>
    </w:p>
    <w:p w14:paraId="03580C1E" w14:textId="77777777" w:rsidR="00912699" w:rsidRPr="00C37A8D" w:rsidRDefault="00912699" w:rsidP="00912699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eastAsia="en-US"/>
        </w:rPr>
      </w:pPr>
      <w:r w:rsidRPr="00C37A8D">
        <w:rPr>
          <w:rFonts w:eastAsiaTheme="minorHAnsi" w:cs="Times New Roman"/>
          <w:szCs w:val="24"/>
          <w:lang w:eastAsia="en-US"/>
        </w:rPr>
        <w:t xml:space="preserve">Пресс-конференция А. Меркель по итогам переговоров с премьер-министром Польши М. </w:t>
      </w:r>
      <w:proofErr w:type="spellStart"/>
      <w:r w:rsidRPr="00C37A8D">
        <w:rPr>
          <w:rFonts w:eastAsiaTheme="minorHAnsi" w:cs="Times New Roman"/>
          <w:szCs w:val="24"/>
          <w:lang w:eastAsia="en-US"/>
        </w:rPr>
        <w:t>Моравецким</w:t>
      </w:r>
      <w:proofErr w:type="spellEnd"/>
      <w:r w:rsidRPr="00C37A8D">
        <w:rPr>
          <w:rFonts w:eastAsiaTheme="minorHAnsi" w:cs="Times New Roman"/>
          <w:szCs w:val="24"/>
          <w:lang w:eastAsia="en-US"/>
        </w:rPr>
        <w:t xml:space="preserve">. 16.02.2018г. [Электронный ресурс]. Режим доступа: </w:t>
      </w:r>
      <w:hyperlink r:id="rId19" w:history="1">
        <w:r w:rsidRPr="00361005">
          <w:rPr>
            <w:rStyle w:val="a8"/>
            <w:rFonts w:eastAsiaTheme="minorHAnsi" w:cs="Times New Roman"/>
            <w:szCs w:val="24"/>
            <w:lang w:eastAsia="en-US"/>
          </w:rPr>
          <w:t>https://regnum.ru/news/polit/2381400.html</w:t>
        </w:r>
      </w:hyperlink>
      <w:r>
        <w:rPr>
          <w:rFonts w:eastAsiaTheme="minorHAnsi" w:cs="Times New Roman"/>
          <w:szCs w:val="24"/>
          <w:lang w:eastAsia="en-US"/>
        </w:rPr>
        <w:t xml:space="preserve"> </w:t>
      </w:r>
      <w:r w:rsidRPr="00C37A8D">
        <w:rPr>
          <w:rFonts w:eastAsiaTheme="minorHAnsi" w:cs="Times New Roman"/>
          <w:szCs w:val="24"/>
          <w:lang w:eastAsia="en-US"/>
        </w:rPr>
        <w:t>(дата обращения 21.04.2020)</w:t>
      </w:r>
    </w:p>
    <w:p w14:paraId="4B694B8F" w14:textId="763184FE" w:rsidR="00912699" w:rsidRDefault="00912699" w:rsidP="00912699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eastAsia="en-US"/>
        </w:rPr>
      </w:pPr>
      <w:r w:rsidRPr="00C37A8D">
        <w:rPr>
          <w:rFonts w:eastAsiaTheme="minorHAnsi" w:cs="Times New Roman"/>
          <w:szCs w:val="24"/>
          <w:lang w:eastAsia="en-US"/>
        </w:rPr>
        <w:t xml:space="preserve">Сталин, И. В. О задачах хозяйственников: Речь на Первой Всесоюзной конференции работников социалистической промышленности 4 февраля 1931 г. [Электронный ресурс]. Режим доступа: </w:t>
      </w:r>
      <w:hyperlink r:id="rId20" w:history="1">
        <w:r w:rsidRPr="00361005">
          <w:rPr>
            <w:rStyle w:val="a8"/>
            <w:rFonts w:eastAsiaTheme="minorHAnsi" w:cs="Times New Roman"/>
            <w:szCs w:val="24"/>
            <w:lang w:eastAsia="en-US"/>
          </w:rPr>
          <w:t>http://grachev62.narod.ru/stalin/t13/t13_06.htm</w:t>
        </w:r>
      </w:hyperlink>
      <w:r>
        <w:rPr>
          <w:rFonts w:eastAsiaTheme="minorHAnsi" w:cs="Times New Roman"/>
          <w:szCs w:val="24"/>
          <w:lang w:eastAsia="en-US"/>
        </w:rPr>
        <w:t xml:space="preserve"> </w:t>
      </w:r>
      <w:r w:rsidRPr="00C37A8D">
        <w:rPr>
          <w:rFonts w:eastAsiaTheme="minorHAnsi" w:cs="Times New Roman"/>
          <w:szCs w:val="24"/>
          <w:lang w:eastAsia="en-US"/>
        </w:rPr>
        <w:t>(дата обращения: 10.04.2020)</w:t>
      </w:r>
    </w:p>
    <w:p w14:paraId="64C7F6C3" w14:textId="217A57CD" w:rsidR="00912699" w:rsidRPr="00912699" w:rsidRDefault="00912699" w:rsidP="00912699">
      <w:pPr>
        <w:pStyle w:val="a7"/>
        <w:numPr>
          <w:ilvl w:val="0"/>
          <w:numId w:val="41"/>
        </w:numPr>
        <w:spacing w:after="160" w:line="259" w:lineRule="auto"/>
        <w:rPr>
          <w:rFonts w:eastAsiaTheme="minorHAnsi" w:cs="Times New Roman"/>
          <w:szCs w:val="24"/>
          <w:lang w:eastAsia="en-US"/>
        </w:rPr>
      </w:pPr>
      <w:r w:rsidRPr="00C37A8D">
        <w:rPr>
          <w:rFonts w:eastAsiaTheme="minorHAnsi" w:cs="Times New Roman"/>
          <w:szCs w:val="24"/>
          <w:lang w:val="en-US" w:eastAsia="en-US"/>
        </w:rPr>
        <w:t xml:space="preserve">The 10th (Extraordinary) OPEC and non-OPEC Ministerial Meeting concludes [Electronic resource]. </w:t>
      </w:r>
      <w:r w:rsidRPr="00C37A8D">
        <w:rPr>
          <w:rFonts w:eastAsiaTheme="minorHAnsi" w:cs="Times New Roman"/>
          <w:szCs w:val="24"/>
          <w:lang w:eastAsia="en-US"/>
        </w:rPr>
        <w:t xml:space="preserve">Режим доступа: </w:t>
      </w:r>
      <w:hyperlink r:id="rId21" w:history="1">
        <w:r w:rsidRPr="00361005">
          <w:rPr>
            <w:rStyle w:val="a8"/>
            <w:rFonts w:eastAsiaTheme="minorHAnsi" w:cs="Times New Roman"/>
            <w:szCs w:val="24"/>
            <w:lang w:eastAsia="en-US"/>
          </w:rPr>
          <w:t>https://www.opec.org/opec_web/en/press_room/5891.htm</w:t>
        </w:r>
      </w:hyperlink>
      <w:r>
        <w:rPr>
          <w:rFonts w:eastAsiaTheme="minorHAnsi" w:cs="Times New Roman"/>
          <w:szCs w:val="24"/>
          <w:lang w:eastAsia="en-US"/>
        </w:rPr>
        <w:t xml:space="preserve"> </w:t>
      </w:r>
      <w:r w:rsidRPr="00C37A8D">
        <w:rPr>
          <w:rFonts w:eastAsiaTheme="minorHAnsi" w:cs="Times New Roman"/>
          <w:szCs w:val="24"/>
          <w:lang w:eastAsia="en-US"/>
        </w:rPr>
        <w:t>(дата обращения: 27.04.2020)</w:t>
      </w:r>
    </w:p>
    <w:p w14:paraId="573A1118" w14:textId="71C42551" w:rsidR="00F86F3E" w:rsidRDefault="00912699" w:rsidP="00C37A8D">
      <w:pPr>
        <w:spacing w:after="160" w:line="259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Монографии</w:t>
      </w:r>
    </w:p>
    <w:p w14:paraId="7D011DF2" w14:textId="77777777" w:rsidR="00B40749" w:rsidRDefault="00B40749" w:rsidP="00912699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Белов, В.Б. </w:t>
      </w:r>
      <w:r w:rsidRPr="00B40749">
        <w:rPr>
          <w:rFonts w:cs="Times New Roman"/>
          <w:szCs w:val="24"/>
        </w:rPr>
        <w:t>Германия. 2019 / [В.Б. Белов и др.; отв. ред. В.Б. Белов]. – М.: Ин-т Европы РАН, 2020. – 144 с.;</w:t>
      </w:r>
    </w:p>
    <w:p w14:paraId="2EE6D390" w14:textId="77777777" w:rsidR="00B40749" w:rsidRPr="00F86F3E" w:rsidRDefault="00B40749" w:rsidP="00912699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>Брагинский О.Б. Нефтегазовый комплекс мира – М.: Изд-во «Нефть и газ» РГУ нефти и газа им. И.М. Губкина, 2006</w:t>
      </w:r>
      <w:r>
        <w:rPr>
          <w:rFonts w:cs="Times New Roman"/>
          <w:szCs w:val="24"/>
        </w:rPr>
        <w:t xml:space="preserve"> – 640 стр.</w:t>
      </w:r>
    </w:p>
    <w:p w14:paraId="684EFE85" w14:textId="77777777" w:rsidR="00B40749" w:rsidRDefault="00B40749" w:rsidP="00912699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 xml:space="preserve">Г. </w:t>
      </w:r>
      <w:proofErr w:type="spellStart"/>
      <w:r w:rsidRPr="00F86F3E">
        <w:rPr>
          <w:rFonts w:cs="Times New Roman"/>
          <w:szCs w:val="24"/>
        </w:rPr>
        <w:t>Шрёдер</w:t>
      </w:r>
      <w:proofErr w:type="spellEnd"/>
      <w:r w:rsidRPr="00F86F3E">
        <w:rPr>
          <w:rFonts w:cs="Times New Roman"/>
          <w:szCs w:val="24"/>
        </w:rPr>
        <w:t>. Решения. Моя жизнь в политике / Пер. с нем. Г. Леоновой. – М.: Изд-во «Европа», 2007. – 552 стр.</w:t>
      </w:r>
    </w:p>
    <w:p w14:paraId="398731E6" w14:textId="77777777" w:rsidR="00B40749" w:rsidRPr="00F86F3E" w:rsidRDefault="00B40749" w:rsidP="00912699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proofErr w:type="spellStart"/>
      <w:r w:rsidRPr="00F86F3E">
        <w:rPr>
          <w:rFonts w:cs="Times New Roman"/>
          <w:szCs w:val="24"/>
        </w:rPr>
        <w:t>Донгаров</w:t>
      </w:r>
      <w:proofErr w:type="spellEnd"/>
      <w:r w:rsidRPr="00F86F3E">
        <w:rPr>
          <w:rFonts w:cs="Times New Roman"/>
          <w:szCs w:val="24"/>
        </w:rPr>
        <w:t xml:space="preserve">, А.Г. Иностранный капитал в России и СССР / </w:t>
      </w:r>
      <w:proofErr w:type="spellStart"/>
      <w:r w:rsidRPr="00F86F3E">
        <w:rPr>
          <w:rFonts w:cs="Times New Roman"/>
          <w:szCs w:val="24"/>
        </w:rPr>
        <w:t>Донгаров</w:t>
      </w:r>
      <w:proofErr w:type="spellEnd"/>
      <w:r w:rsidRPr="00F86F3E">
        <w:rPr>
          <w:rFonts w:cs="Times New Roman"/>
          <w:szCs w:val="24"/>
        </w:rPr>
        <w:t xml:space="preserve">, А.Г. – М.: Международные отношения, 1990, </w:t>
      </w:r>
      <w:r>
        <w:rPr>
          <w:rFonts w:cs="Times New Roman"/>
          <w:szCs w:val="24"/>
        </w:rPr>
        <w:t xml:space="preserve">- 168 стр. </w:t>
      </w:r>
    </w:p>
    <w:p w14:paraId="12920885" w14:textId="77777777" w:rsidR="00B40749" w:rsidRPr="00F86F3E" w:rsidRDefault="00B40749" w:rsidP="00912699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proofErr w:type="spellStart"/>
      <w:r w:rsidRPr="00F86F3E">
        <w:rPr>
          <w:rFonts w:cs="Times New Roman"/>
          <w:szCs w:val="24"/>
        </w:rPr>
        <w:t>Ёргин</w:t>
      </w:r>
      <w:proofErr w:type="spellEnd"/>
      <w:r w:rsidRPr="00F86F3E">
        <w:rPr>
          <w:rFonts w:cs="Times New Roman"/>
          <w:szCs w:val="24"/>
        </w:rPr>
        <w:t xml:space="preserve"> Д. Добыча, всемирная история борьбы за нефть, деньги и власть. М.: </w:t>
      </w:r>
      <w:proofErr w:type="spellStart"/>
      <w:r w:rsidRPr="00F86F3E">
        <w:rPr>
          <w:rFonts w:cs="Times New Roman"/>
          <w:szCs w:val="24"/>
        </w:rPr>
        <w:t>De</w:t>
      </w:r>
      <w:proofErr w:type="spellEnd"/>
      <w:r w:rsidRPr="00F86F3E">
        <w:rPr>
          <w:rFonts w:cs="Times New Roman"/>
          <w:szCs w:val="24"/>
        </w:rPr>
        <w:t>-Ново, 1999</w:t>
      </w:r>
      <w:r>
        <w:rPr>
          <w:rFonts w:cs="Times New Roman"/>
          <w:szCs w:val="24"/>
        </w:rPr>
        <w:t xml:space="preserve"> – 944 стр.</w:t>
      </w:r>
    </w:p>
    <w:p w14:paraId="075D8021" w14:textId="77777777" w:rsidR="00B40749" w:rsidRPr="00B40749" w:rsidRDefault="00B40749" w:rsidP="00B40749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lastRenderedPageBreak/>
        <w:t xml:space="preserve">Жизнин С.З. Энергетическая дипломатия России: экономика, политика, практика / С. З. Жизнин; Союз нефтегазопромышленников России; Центр </w:t>
      </w:r>
      <w:proofErr w:type="spellStart"/>
      <w:r w:rsidRPr="00F86F3E">
        <w:rPr>
          <w:rFonts w:cs="Times New Roman"/>
          <w:szCs w:val="24"/>
        </w:rPr>
        <w:t>энергет</w:t>
      </w:r>
      <w:proofErr w:type="spellEnd"/>
      <w:r w:rsidRPr="00F86F3E">
        <w:rPr>
          <w:rFonts w:cs="Times New Roman"/>
          <w:szCs w:val="24"/>
        </w:rPr>
        <w:t xml:space="preserve">. дипломатии и геополитики. - М.: </w:t>
      </w:r>
      <w:proofErr w:type="spellStart"/>
      <w:r w:rsidRPr="00F86F3E">
        <w:rPr>
          <w:rFonts w:cs="Times New Roman"/>
          <w:szCs w:val="24"/>
        </w:rPr>
        <w:t>Ист</w:t>
      </w:r>
      <w:proofErr w:type="spellEnd"/>
      <w:r w:rsidRPr="00F86F3E">
        <w:rPr>
          <w:rFonts w:cs="Times New Roman"/>
          <w:szCs w:val="24"/>
        </w:rPr>
        <w:t xml:space="preserve"> Брук, 2005. - 638 с</w:t>
      </w:r>
      <w:r>
        <w:rPr>
          <w:rFonts w:cs="Times New Roman"/>
          <w:szCs w:val="24"/>
        </w:rPr>
        <w:t>тр.</w:t>
      </w:r>
    </w:p>
    <w:p w14:paraId="2909331A" w14:textId="77777777" w:rsidR="00B40749" w:rsidRPr="00912699" w:rsidRDefault="00B40749" w:rsidP="00912699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 xml:space="preserve">Захаров, В.Н. Западноевропейские купцы в российской торговле </w:t>
      </w:r>
      <w:r w:rsidRPr="00F86F3E">
        <w:rPr>
          <w:rFonts w:cs="Times New Roman"/>
          <w:szCs w:val="24"/>
          <w:lang w:val="en-US"/>
        </w:rPr>
        <w:t>XVIII</w:t>
      </w:r>
      <w:r w:rsidRPr="00F86F3E">
        <w:rPr>
          <w:rFonts w:cs="Times New Roman"/>
          <w:szCs w:val="24"/>
        </w:rPr>
        <w:t xml:space="preserve"> века / Захаров, В.Н. – М.: Изд-во Наука, 2005. – 345 </w:t>
      </w:r>
      <w:r>
        <w:rPr>
          <w:rFonts w:cs="Times New Roman"/>
          <w:szCs w:val="24"/>
        </w:rPr>
        <w:t>с</w:t>
      </w:r>
      <w:r w:rsidRPr="00F86F3E">
        <w:rPr>
          <w:rFonts w:cs="Times New Roman"/>
          <w:szCs w:val="24"/>
        </w:rPr>
        <w:t>тр.</w:t>
      </w:r>
    </w:p>
    <w:p w14:paraId="60FA405D" w14:textId="77777777" w:rsidR="00B40749" w:rsidRPr="00F86F3E" w:rsidRDefault="00B40749" w:rsidP="00912699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 xml:space="preserve">Зив, В.С. Иностранные капиталы в русских акционерных предприятиях. Германские капиталы / Зив, В.С. Вып. 1. </w:t>
      </w:r>
      <w:proofErr w:type="spellStart"/>
      <w:r w:rsidRPr="00F86F3E">
        <w:rPr>
          <w:rFonts w:cs="Times New Roman"/>
          <w:szCs w:val="24"/>
        </w:rPr>
        <w:t>Пг</w:t>
      </w:r>
      <w:proofErr w:type="spellEnd"/>
      <w:r w:rsidRPr="00F86F3E">
        <w:rPr>
          <w:rFonts w:cs="Times New Roman"/>
          <w:szCs w:val="24"/>
        </w:rPr>
        <w:t xml:space="preserve">.: Типография редакции периодических изданий Министерства финансов, 1915 – </w:t>
      </w:r>
      <w:r>
        <w:rPr>
          <w:rFonts w:cs="Times New Roman"/>
          <w:szCs w:val="24"/>
        </w:rPr>
        <w:t>104 стр.</w:t>
      </w:r>
    </w:p>
    <w:p w14:paraId="7B841A68" w14:textId="77777777" w:rsidR="00B40749" w:rsidRPr="00F86F3E" w:rsidRDefault="00B40749" w:rsidP="00B40749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 xml:space="preserve">Киссинджер Г., Дипломатия / Генри Киссинджер; [пер. с англ. В. </w:t>
      </w:r>
      <w:proofErr w:type="spellStart"/>
      <w:r w:rsidRPr="00F86F3E">
        <w:rPr>
          <w:rFonts w:cs="Times New Roman"/>
          <w:szCs w:val="24"/>
        </w:rPr>
        <w:t>Верченко</w:t>
      </w:r>
      <w:proofErr w:type="spellEnd"/>
      <w:r w:rsidRPr="00F86F3E">
        <w:rPr>
          <w:rFonts w:cs="Times New Roman"/>
          <w:szCs w:val="24"/>
        </w:rPr>
        <w:t>]. – М.: Изд-во ACT, 2018 – 896</w:t>
      </w:r>
      <w:r>
        <w:rPr>
          <w:rFonts w:cs="Times New Roman"/>
          <w:szCs w:val="24"/>
        </w:rPr>
        <w:t xml:space="preserve"> стр.</w:t>
      </w:r>
    </w:p>
    <w:p w14:paraId="15F5F3D5" w14:textId="77777777" w:rsidR="00B40749" w:rsidRPr="00F86F3E" w:rsidRDefault="00B40749" w:rsidP="00B40749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>Липкин М.</w:t>
      </w:r>
      <w:r>
        <w:rPr>
          <w:rFonts w:cs="Times New Roman"/>
          <w:szCs w:val="24"/>
        </w:rPr>
        <w:t>А.</w:t>
      </w:r>
      <w:r w:rsidRPr="00F86F3E">
        <w:rPr>
          <w:rFonts w:cs="Times New Roman"/>
          <w:szCs w:val="24"/>
        </w:rPr>
        <w:t xml:space="preserve"> Советский Союз и интеграционные процессы в Европе: середина 1940-х конец 1960-х годов. М.: Русский фонд содействия образованию</w:t>
      </w:r>
      <w:r>
        <w:rPr>
          <w:rFonts w:cs="Times New Roman"/>
          <w:szCs w:val="24"/>
        </w:rPr>
        <w:t xml:space="preserve"> и науке</w:t>
      </w:r>
      <w:r w:rsidRPr="00F86F3E">
        <w:rPr>
          <w:rFonts w:cs="Times New Roman"/>
          <w:szCs w:val="24"/>
        </w:rPr>
        <w:t xml:space="preserve">, 2016. – </w:t>
      </w:r>
      <w:r>
        <w:rPr>
          <w:rFonts w:cs="Times New Roman"/>
          <w:szCs w:val="24"/>
        </w:rPr>
        <w:t>560 стр.</w:t>
      </w:r>
    </w:p>
    <w:p w14:paraId="1797E329" w14:textId="77777777" w:rsidR="00B40749" w:rsidRPr="00F86F3E" w:rsidRDefault="00B40749" w:rsidP="00B40749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>Павлов Н.В. Россия и Германия: несостоявшийся альянс (история с продолжением): Научное издание / Н. В. Павлов. — М.: Изд-во «Аспект Пресс», 2017. — 560 с.</w:t>
      </w:r>
    </w:p>
    <w:p w14:paraId="38F258E3" w14:textId="77777777" w:rsidR="00B40749" w:rsidRPr="00F86F3E" w:rsidRDefault="00B40749" w:rsidP="00B40749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>Ромашкин Т.В. Становление и развитие ТНК в условиях глобализации. – Саратов: ООО Издательский центр «Наука», 2016. − 160 с.</w:t>
      </w:r>
    </w:p>
    <w:p w14:paraId="4448D0C2" w14:textId="77777777" w:rsidR="00B40749" w:rsidRPr="00F86F3E" w:rsidRDefault="00B40749" w:rsidP="00B40749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 xml:space="preserve">Россия и Германия в пространстве европейских коммуникаций: коллективная монография / [К. </w:t>
      </w:r>
      <w:proofErr w:type="spellStart"/>
      <w:r w:rsidRPr="00F86F3E">
        <w:rPr>
          <w:rFonts w:cs="Times New Roman"/>
          <w:szCs w:val="24"/>
        </w:rPr>
        <w:t>Зегберс</w:t>
      </w:r>
      <w:proofErr w:type="spellEnd"/>
      <w:r w:rsidRPr="00F86F3E">
        <w:rPr>
          <w:rFonts w:cs="Times New Roman"/>
          <w:szCs w:val="24"/>
        </w:rPr>
        <w:t>, А. Макарычев и др.]; Тюмень: Изд-во Тюменского гос. ун-та, 2013. – 271 с.</w:t>
      </w:r>
    </w:p>
    <w:p w14:paraId="387D8994" w14:textId="77777777" w:rsidR="00B40749" w:rsidRPr="00F86F3E" w:rsidRDefault="00B40749" w:rsidP="00B40749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>Сумин А. М. Энергетическая политика современной Германии: тенденции, проблемы, перспективы / А. М. Сумин — «</w:t>
      </w:r>
      <w:proofErr w:type="spellStart"/>
      <w:r w:rsidRPr="00F86F3E">
        <w:rPr>
          <w:rFonts w:cs="Times New Roman"/>
          <w:szCs w:val="24"/>
        </w:rPr>
        <w:t>Газоил</w:t>
      </w:r>
      <w:proofErr w:type="spellEnd"/>
      <w:r w:rsidRPr="00F86F3E">
        <w:rPr>
          <w:rFonts w:cs="Times New Roman"/>
          <w:szCs w:val="24"/>
        </w:rPr>
        <w:t xml:space="preserve"> пресс», 2017 – </w:t>
      </w:r>
      <w:r>
        <w:rPr>
          <w:rFonts w:cs="Times New Roman"/>
          <w:szCs w:val="24"/>
        </w:rPr>
        <w:t>135 стр.</w:t>
      </w:r>
    </w:p>
    <w:p w14:paraId="4313CA35" w14:textId="77777777" w:rsidR="00B40749" w:rsidRPr="00F86F3E" w:rsidRDefault="00B40749" w:rsidP="00B40749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proofErr w:type="spellStart"/>
      <w:r w:rsidRPr="00F86F3E">
        <w:rPr>
          <w:rFonts w:cs="Times New Roman"/>
          <w:szCs w:val="24"/>
        </w:rPr>
        <w:t>Шпотов</w:t>
      </w:r>
      <w:proofErr w:type="spellEnd"/>
      <w:r w:rsidRPr="00F86F3E">
        <w:rPr>
          <w:rFonts w:cs="Times New Roman"/>
          <w:szCs w:val="24"/>
        </w:rPr>
        <w:t xml:space="preserve">, Б.М. Американский бизнес и Советский Союз в 1920-1930-е годы: Лабиринты экономического сотрудничества / </w:t>
      </w:r>
      <w:proofErr w:type="spellStart"/>
      <w:r w:rsidRPr="00F86F3E">
        <w:rPr>
          <w:rFonts w:cs="Times New Roman"/>
          <w:szCs w:val="24"/>
        </w:rPr>
        <w:t>Шпотов</w:t>
      </w:r>
      <w:proofErr w:type="spellEnd"/>
      <w:r w:rsidRPr="00F86F3E">
        <w:rPr>
          <w:rFonts w:cs="Times New Roman"/>
          <w:szCs w:val="24"/>
        </w:rPr>
        <w:t xml:space="preserve">, Б.М. – М.: </w:t>
      </w:r>
      <w:proofErr w:type="spellStart"/>
      <w:r w:rsidRPr="00F86F3E">
        <w:rPr>
          <w:rFonts w:cs="Times New Roman"/>
          <w:szCs w:val="24"/>
        </w:rPr>
        <w:t>Либроком</w:t>
      </w:r>
      <w:proofErr w:type="spellEnd"/>
      <w:r w:rsidRPr="00F86F3E">
        <w:rPr>
          <w:rFonts w:cs="Times New Roman"/>
          <w:szCs w:val="24"/>
        </w:rPr>
        <w:t>, 2013</w:t>
      </w:r>
      <w:r>
        <w:rPr>
          <w:rFonts w:cs="Times New Roman"/>
          <w:szCs w:val="24"/>
        </w:rPr>
        <w:t>. – 316 стр.</w:t>
      </w:r>
    </w:p>
    <w:p w14:paraId="69412C1E" w14:textId="77777777" w:rsidR="00B40749" w:rsidRPr="00F86F3E" w:rsidRDefault="00B40749" w:rsidP="00B40749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  <w:lang w:val="en-US"/>
        </w:rPr>
      </w:pPr>
      <w:r w:rsidRPr="00F86F3E">
        <w:rPr>
          <w:rFonts w:cs="Times New Roman"/>
          <w:szCs w:val="24"/>
        </w:rPr>
        <w:t>Эвентов, Л.Н. Иностранный капитал в нефтяной промышленности России (1874–1917 гг.) / Эвентов, Л.Н.  М</w:t>
      </w:r>
      <w:r w:rsidRPr="00F86F3E">
        <w:rPr>
          <w:rFonts w:cs="Times New Roman"/>
          <w:szCs w:val="24"/>
          <w:lang w:val="en-US"/>
        </w:rPr>
        <w:t>.–</w:t>
      </w:r>
      <w:r w:rsidRPr="00F86F3E">
        <w:rPr>
          <w:rFonts w:cs="Times New Roman"/>
          <w:szCs w:val="24"/>
        </w:rPr>
        <w:t>Л</w:t>
      </w:r>
      <w:r w:rsidRPr="00F86F3E">
        <w:rPr>
          <w:rFonts w:cs="Times New Roman"/>
          <w:szCs w:val="24"/>
          <w:lang w:val="en-US"/>
        </w:rPr>
        <w:t xml:space="preserve">., 1925. </w:t>
      </w:r>
      <w:r>
        <w:rPr>
          <w:rFonts w:cs="Times New Roman"/>
          <w:szCs w:val="24"/>
        </w:rPr>
        <w:t>– 126 стр.</w:t>
      </w:r>
    </w:p>
    <w:p w14:paraId="0C23DD9E" w14:textId="77777777" w:rsidR="00B40749" w:rsidRPr="00F86F3E" w:rsidRDefault="00B40749" w:rsidP="00B40749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  <w:lang w:val="en-US"/>
        </w:rPr>
      </w:pPr>
      <w:r w:rsidRPr="00F86F3E">
        <w:rPr>
          <w:rFonts w:cs="Times New Roman"/>
          <w:szCs w:val="24"/>
          <w:lang w:val="en-US"/>
        </w:rPr>
        <w:t xml:space="preserve">Robert O. Keohane, Joseph S. Nye. Power and Interdependence / Robert O. Keohane, Joseph S. Nye. — 4th ed. Publisher: Pearson, 2011 – 327 </w:t>
      </w:r>
      <w:r>
        <w:rPr>
          <w:rFonts w:cs="Times New Roman"/>
          <w:szCs w:val="24"/>
        </w:rPr>
        <w:t>стр</w:t>
      </w:r>
      <w:r w:rsidRPr="00F86F3E">
        <w:rPr>
          <w:rFonts w:cs="Times New Roman"/>
          <w:szCs w:val="24"/>
          <w:lang w:val="en-US"/>
        </w:rPr>
        <w:t xml:space="preserve">. </w:t>
      </w:r>
    </w:p>
    <w:p w14:paraId="4DE569BE" w14:textId="63765EE5" w:rsidR="00912699" w:rsidRPr="00B40749" w:rsidRDefault="00B40749" w:rsidP="00B40749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  <w:lang w:val="en-US"/>
        </w:rPr>
      </w:pPr>
      <w:r w:rsidRPr="00F86F3E">
        <w:rPr>
          <w:rFonts w:cs="Times New Roman"/>
          <w:szCs w:val="24"/>
          <w:lang w:val="en-US"/>
        </w:rPr>
        <w:t xml:space="preserve">Walker C. Depression and Globalization: The Politics of Mental Health in 21st Century / Walker </w:t>
      </w:r>
      <w:r w:rsidRPr="00F86F3E">
        <w:rPr>
          <w:rFonts w:cs="Times New Roman"/>
          <w:szCs w:val="24"/>
        </w:rPr>
        <w:t>С</w:t>
      </w:r>
      <w:r w:rsidRPr="00F86F3E">
        <w:rPr>
          <w:rFonts w:cs="Times New Roman"/>
          <w:szCs w:val="24"/>
          <w:lang w:val="en-US"/>
        </w:rPr>
        <w:t xml:space="preserve">. N. Y.: Springer, 2008. – </w:t>
      </w:r>
      <w:r w:rsidRPr="00633B76">
        <w:rPr>
          <w:rFonts w:cs="Times New Roman"/>
          <w:szCs w:val="24"/>
          <w:lang w:val="en-US"/>
        </w:rPr>
        <w:t xml:space="preserve">203 </w:t>
      </w:r>
      <w:r>
        <w:rPr>
          <w:rFonts w:cs="Times New Roman"/>
          <w:szCs w:val="24"/>
        </w:rPr>
        <w:t>стр</w:t>
      </w:r>
      <w:r w:rsidRPr="00633B76">
        <w:rPr>
          <w:rFonts w:cs="Times New Roman"/>
          <w:szCs w:val="24"/>
          <w:lang w:val="en-US"/>
        </w:rPr>
        <w:t>.</w:t>
      </w:r>
    </w:p>
    <w:p w14:paraId="0CD87ADB" w14:textId="169DCD37" w:rsidR="00912699" w:rsidRPr="00B40749" w:rsidRDefault="00B40749" w:rsidP="00B40749">
      <w:pPr>
        <w:jc w:val="center"/>
        <w:rPr>
          <w:rFonts w:eastAsiaTheme="minorHAnsi"/>
          <w:b/>
          <w:lang w:eastAsia="en-US"/>
        </w:rPr>
      </w:pPr>
      <w:r w:rsidRPr="00B40749">
        <w:rPr>
          <w:rFonts w:eastAsiaTheme="minorHAnsi"/>
          <w:b/>
          <w:lang w:eastAsia="en-US"/>
        </w:rPr>
        <w:t>Статьи в научных журналах, по материалам конференций, размещенные в интернете</w:t>
      </w:r>
    </w:p>
    <w:p w14:paraId="0AD91341" w14:textId="77777777" w:rsidR="00B40749" w:rsidRPr="00B40749" w:rsidRDefault="00B40749" w:rsidP="00B40749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B40749">
        <w:rPr>
          <w:rFonts w:cs="Times New Roman"/>
          <w:szCs w:val="24"/>
        </w:rPr>
        <w:t>Белов В.Б. Российско-германские отношения в условиях конфронтации России с коллективным Западом // Европейская аналитика 2018 / Отв. ред. К. Н. Гусев. — М.: ИЕ РАН; СПб.: Нестор-История, 2018. — С. 36-45</w:t>
      </w:r>
    </w:p>
    <w:p w14:paraId="44C4528B" w14:textId="77777777" w:rsidR="00B40749" w:rsidRPr="00F86F3E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  <w:lang w:val="en-US"/>
        </w:rPr>
      </w:pPr>
      <w:r w:rsidRPr="00F86F3E">
        <w:rPr>
          <w:rFonts w:cs="Times New Roman"/>
          <w:szCs w:val="24"/>
        </w:rPr>
        <w:t>Бордачев</w:t>
      </w:r>
      <w:r w:rsidRPr="00F86F3E">
        <w:rPr>
          <w:rFonts w:cs="Times New Roman"/>
          <w:szCs w:val="24"/>
          <w:lang w:val="en-US"/>
        </w:rPr>
        <w:t xml:space="preserve">, </w:t>
      </w:r>
      <w:r w:rsidRPr="00F86F3E">
        <w:rPr>
          <w:rFonts w:cs="Times New Roman"/>
          <w:szCs w:val="24"/>
        </w:rPr>
        <w:t>Т</w:t>
      </w:r>
      <w:r w:rsidRPr="00F86F3E">
        <w:rPr>
          <w:rFonts w:cs="Times New Roman"/>
          <w:szCs w:val="24"/>
          <w:lang w:val="en-US"/>
        </w:rPr>
        <w:t>.</w:t>
      </w:r>
      <w:r w:rsidRPr="00F86F3E">
        <w:rPr>
          <w:rFonts w:cs="Times New Roman"/>
          <w:szCs w:val="24"/>
        </w:rPr>
        <w:t>В</w:t>
      </w:r>
      <w:r w:rsidRPr="00F86F3E">
        <w:rPr>
          <w:rFonts w:cs="Times New Roman"/>
          <w:szCs w:val="24"/>
          <w:lang w:val="en-US"/>
        </w:rPr>
        <w:t xml:space="preserve">. Coronavirus and the Collapse of the Liberal Order: Europe’s Fate Called Into Question / </w:t>
      </w:r>
      <w:r w:rsidRPr="00F86F3E">
        <w:rPr>
          <w:rFonts w:cs="Times New Roman"/>
          <w:szCs w:val="24"/>
        </w:rPr>
        <w:t>Бордачев</w:t>
      </w:r>
      <w:r w:rsidRPr="00F86F3E">
        <w:rPr>
          <w:rFonts w:cs="Times New Roman"/>
          <w:szCs w:val="24"/>
          <w:lang w:val="en-US"/>
        </w:rPr>
        <w:t xml:space="preserve">, </w:t>
      </w:r>
      <w:r w:rsidRPr="00F86F3E">
        <w:rPr>
          <w:rFonts w:cs="Times New Roman"/>
          <w:szCs w:val="24"/>
        </w:rPr>
        <w:t>Т</w:t>
      </w:r>
      <w:r w:rsidRPr="00F86F3E">
        <w:rPr>
          <w:rFonts w:cs="Times New Roman"/>
          <w:szCs w:val="24"/>
          <w:lang w:val="en-US"/>
        </w:rPr>
        <w:t>.</w:t>
      </w:r>
      <w:r w:rsidRPr="00F86F3E">
        <w:rPr>
          <w:rFonts w:cs="Times New Roman"/>
          <w:szCs w:val="24"/>
        </w:rPr>
        <w:t>В</w:t>
      </w:r>
      <w:r w:rsidRPr="00F86F3E">
        <w:rPr>
          <w:rFonts w:cs="Times New Roman"/>
          <w:szCs w:val="24"/>
          <w:lang w:val="en-US"/>
        </w:rPr>
        <w:t xml:space="preserve">. URL: </w:t>
      </w:r>
      <w:hyperlink r:id="rId22" w:history="1">
        <w:r w:rsidRPr="00F86F3E">
          <w:rPr>
            <w:rStyle w:val="a8"/>
            <w:rFonts w:cs="Times New Roman"/>
            <w:szCs w:val="24"/>
            <w:lang w:val="en-US"/>
          </w:rPr>
          <w:t>https://valdaiclub.com/a/highlights/coronavirus-and-the-collapse-of-the-liberal-order/</w:t>
        </w:r>
      </w:hyperlink>
      <w:r w:rsidRPr="00F86F3E">
        <w:rPr>
          <w:rFonts w:cs="Times New Roman"/>
          <w:szCs w:val="24"/>
          <w:lang w:val="en-US"/>
        </w:rPr>
        <w:t xml:space="preserve"> (</w:t>
      </w:r>
      <w:r w:rsidRPr="00F86F3E">
        <w:rPr>
          <w:rFonts w:cs="Times New Roman"/>
          <w:szCs w:val="24"/>
        </w:rPr>
        <w:t>дата</w:t>
      </w:r>
      <w:r w:rsidRPr="00F86F3E">
        <w:rPr>
          <w:rFonts w:cs="Times New Roman"/>
          <w:szCs w:val="24"/>
          <w:lang w:val="en-US"/>
        </w:rPr>
        <w:t xml:space="preserve"> </w:t>
      </w:r>
      <w:r w:rsidRPr="00F86F3E">
        <w:rPr>
          <w:rFonts w:cs="Times New Roman"/>
          <w:szCs w:val="24"/>
        </w:rPr>
        <w:t>обращения</w:t>
      </w:r>
      <w:r w:rsidRPr="00F86F3E">
        <w:rPr>
          <w:rFonts w:cs="Times New Roman"/>
          <w:szCs w:val="24"/>
          <w:lang w:val="en-US"/>
        </w:rPr>
        <w:t>: 26.04.2020)</w:t>
      </w:r>
    </w:p>
    <w:p w14:paraId="3A9F8599" w14:textId="77777777" w:rsidR="00B40749" w:rsidRPr="00F86F3E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 xml:space="preserve">Германия и Россия в 2030 г. Сценарии для двухсторонних отношений // Фонд имени Фридриха </w:t>
      </w:r>
      <w:proofErr w:type="spellStart"/>
      <w:r w:rsidRPr="00F86F3E">
        <w:rPr>
          <w:rFonts w:cs="Times New Roman"/>
          <w:szCs w:val="24"/>
        </w:rPr>
        <w:t>Эберта</w:t>
      </w:r>
      <w:proofErr w:type="spellEnd"/>
      <w:r w:rsidRPr="00F86F3E">
        <w:rPr>
          <w:rFonts w:cs="Times New Roman"/>
          <w:szCs w:val="24"/>
        </w:rPr>
        <w:t xml:space="preserve">, 2013 – </w:t>
      </w:r>
      <w:r>
        <w:rPr>
          <w:rFonts w:cs="Times New Roman"/>
          <w:szCs w:val="24"/>
        </w:rPr>
        <w:t xml:space="preserve">34 стр. </w:t>
      </w:r>
    </w:p>
    <w:p w14:paraId="14D51607" w14:textId="77777777" w:rsidR="00B40749" w:rsidRPr="00F86F3E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>Грачева М.В. Прямые инвестиции Германии в Россию: анализ статистики Германского федерального банка / М.В. Грачева // Экономический анализ: теория и практика. – 2012. №44(299). – С</w:t>
      </w:r>
      <w:r>
        <w:rPr>
          <w:rFonts w:cs="Times New Roman"/>
          <w:szCs w:val="24"/>
        </w:rPr>
        <w:t>тр</w:t>
      </w:r>
      <w:r w:rsidRPr="00F86F3E">
        <w:rPr>
          <w:rFonts w:cs="Times New Roman"/>
          <w:szCs w:val="24"/>
        </w:rPr>
        <w:t>. 2</w:t>
      </w:r>
      <w:r>
        <w:rPr>
          <w:rFonts w:cs="Times New Roman"/>
          <w:szCs w:val="24"/>
        </w:rPr>
        <w:t>3-32</w:t>
      </w:r>
    </w:p>
    <w:p w14:paraId="4DBABD0B" w14:textId="77777777" w:rsidR="00B40749" w:rsidRPr="00B40749" w:rsidRDefault="00B40749" w:rsidP="00B40749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B40749">
        <w:rPr>
          <w:rFonts w:cs="Times New Roman"/>
          <w:szCs w:val="24"/>
        </w:rPr>
        <w:t>Григорьева О.В. Роль дипломатии государства в мировом энергетическом пространстве: современные теоретические подходы. // Вестник Санкт-Петербургского университета. Серия 6: Политология. Международные отношения. 2015. № 2. С. 130-140.</w:t>
      </w:r>
    </w:p>
    <w:p w14:paraId="0FF3392C" w14:textId="77777777" w:rsidR="00B40749" w:rsidRPr="00F86F3E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proofErr w:type="spellStart"/>
      <w:r w:rsidRPr="00F86F3E">
        <w:rPr>
          <w:rFonts w:cs="Times New Roman"/>
          <w:szCs w:val="24"/>
        </w:rPr>
        <w:t>Друэ</w:t>
      </w:r>
      <w:proofErr w:type="spellEnd"/>
      <w:r w:rsidRPr="00F86F3E">
        <w:rPr>
          <w:rFonts w:cs="Times New Roman"/>
          <w:szCs w:val="24"/>
        </w:rPr>
        <w:t xml:space="preserve">, М.В. «Энергетический поворот» в Германии: трансформация из формы социально-политических движений во второй половине </w:t>
      </w:r>
      <w:r w:rsidRPr="00F86F3E">
        <w:rPr>
          <w:rFonts w:cs="Times New Roman"/>
          <w:szCs w:val="24"/>
          <w:lang w:val="en-US"/>
        </w:rPr>
        <w:t>XX</w:t>
      </w:r>
      <w:r w:rsidRPr="00F86F3E">
        <w:rPr>
          <w:rFonts w:cs="Times New Roman"/>
          <w:szCs w:val="24"/>
        </w:rPr>
        <w:t xml:space="preserve"> века в основу государственной политики в области энергетики в начале </w:t>
      </w:r>
      <w:r w:rsidRPr="00F86F3E">
        <w:rPr>
          <w:rFonts w:cs="Times New Roman"/>
          <w:szCs w:val="24"/>
          <w:lang w:val="en-US"/>
        </w:rPr>
        <w:t>XXI</w:t>
      </w:r>
      <w:r w:rsidRPr="00F86F3E">
        <w:rPr>
          <w:rFonts w:cs="Times New Roman"/>
          <w:szCs w:val="24"/>
        </w:rPr>
        <w:t xml:space="preserve"> века / </w:t>
      </w:r>
      <w:proofErr w:type="spellStart"/>
      <w:r w:rsidRPr="00F86F3E">
        <w:rPr>
          <w:rFonts w:cs="Times New Roman"/>
          <w:szCs w:val="24"/>
        </w:rPr>
        <w:t>Друэ</w:t>
      </w:r>
      <w:proofErr w:type="spellEnd"/>
      <w:r w:rsidRPr="00F86F3E">
        <w:rPr>
          <w:rFonts w:cs="Times New Roman"/>
          <w:szCs w:val="24"/>
        </w:rPr>
        <w:t>, М.В. // Вестник Забайкальского государственного университета. – 2019. Т.25 №3. Стр. 5</w:t>
      </w:r>
      <w:r>
        <w:rPr>
          <w:rFonts w:cs="Times New Roman"/>
          <w:szCs w:val="24"/>
        </w:rPr>
        <w:t>8</w:t>
      </w:r>
      <w:r w:rsidRPr="00F86F3E">
        <w:rPr>
          <w:rFonts w:cs="Times New Roman"/>
          <w:szCs w:val="24"/>
        </w:rPr>
        <w:t>-6</w:t>
      </w:r>
      <w:r>
        <w:rPr>
          <w:rFonts w:cs="Times New Roman"/>
          <w:szCs w:val="24"/>
        </w:rPr>
        <w:t>6</w:t>
      </w:r>
    </w:p>
    <w:p w14:paraId="00E50F3A" w14:textId="77777777" w:rsidR="00B40749" w:rsidRPr="00F86F3E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lastRenderedPageBreak/>
        <w:t>Дунаева В.Ю. Модернизация в России: основные теоретические подходы (обзор литературы) / В.Ю. Дунаева // Политическая наука. – 2003. №2. – С</w:t>
      </w:r>
      <w:r>
        <w:rPr>
          <w:rFonts w:cs="Times New Roman"/>
          <w:szCs w:val="24"/>
        </w:rPr>
        <w:t>тр</w:t>
      </w:r>
      <w:r w:rsidRPr="00F86F3E">
        <w:rPr>
          <w:rFonts w:cs="Times New Roman"/>
          <w:szCs w:val="24"/>
        </w:rPr>
        <w:t>. 1</w:t>
      </w:r>
      <w:r>
        <w:rPr>
          <w:rFonts w:cs="Times New Roman"/>
          <w:szCs w:val="24"/>
        </w:rPr>
        <w:t>88-209</w:t>
      </w:r>
    </w:p>
    <w:p w14:paraId="6E85C70F" w14:textId="77777777" w:rsidR="00B40749" w:rsidRPr="00F86F3E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>Ермаков Н.П. Становление, состояние и перспективы развития российско-германских торговых и инвестиционных отношений / Н.П. Ермаков // Экономический вестник Ростовского гос. университета. – 2008. Т.6 №1-2. – С</w:t>
      </w:r>
      <w:r>
        <w:rPr>
          <w:rFonts w:cs="Times New Roman"/>
          <w:szCs w:val="24"/>
        </w:rPr>
        <w:t>тр</w:t>
      </w:r>
      <w:r w:rsidRPr="00F86F3E">
        <w:rPr>
          <w:rFonts w:cs="Times New Roman"/>
          <w:szCs w:val="24"/>
        </w:rPr>
        <w:t>. 119</w:t>
      </w:r>
      <w:r>
        <w:rPr>
          <w:rFonts w:cs="Times New Roman"/>
          <w:szCs w:val="24"/>
        </w:rPr>
        <w:t>-121</w:t>
      </w:r>
    </w:p>
    <w:p w14:paraId="1D3283FD" w14:textId="77777777" w:rsidR="00B40749" w:rsidRPr="00F86F3E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 xml:space="preserve">Ерохина О.В., </w:t>
      </w:r>
      <w:proofErr w:type="spellStart"/>
      <w:r w:rsidRPr="00F86F3E">
        <w:rPr>
          <w:rFonts w:cs="Times New Roman"/>
          <w:szCs w:val="24"/>
        </w:rPr>
        <w:t>Токунова</w:t>
      </w:r>
      <w:proofErr w:type="spellEnd"/>
      <w:r w:rsidRPr="00F86F3E">
        <w:rPr>
          <w:rFonts w:cs="Times New Roman"/>
          <w:szCs w:val="24"/>
        </w:rPr>
        <w:t xml:space="preserve"> Г.Ф. Германские инвестиции в российской экономике: вчера и сегодня / О.В. Ерохина, Г.Ф. </w:t>
      </w:r>
      <w:proofErr w:type="spellStart"/>
      <w:r w:rsidRPr="00F86F3E">
        <w:rPr>
          <w:rFonts w:cs="Times New Roman"/>
          <w:szCs w:val="24"/>
        </w:rPr>
        <w:t>Токунова</w:t>
      </w:r>
      <w:proofErr w:type="spellEnd"/>
      <w:r w:rsidRPr="00F86F3E">
        <w:rPr>
          <w:rFonts w:cs="Times New Roman"/>
          <w:szCs w:val="24"/>
        </w:rPr>
        <w:t xml:space="preserve"> // Экономический вестник Ростовского государственного университета. – 2008. Т.6№3. – С</w:t>
      </w:r>
      <w:r>
        <w:rPr>
          <w:rFonts w:cs="Times New Roman"/>
          <w:szCs w:val="24"/>
        </w:rPr>
        <w:t>тр. 120-125</w:t>
      </w:r>
    </w:p>
    <w:p w14:paraId="35FE3164" w14:textId="77777777" w:rsidR="00B40749" w:rsidRPr="00F86F3E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>Жизнин, С.З. Российская энергетическая дипломатия и международная энергетическая безопасность (геополитика и экономика) / С. З. Жизнин // Энергетика в современном мире и международная энергетическая политика – Калининград: Изд-во Балтийский федеральный университет им. И. Канта, 2010. С. 8-21</w:t>
      </w:r>
    </w:p>
    <w:p w14:paraId="73B990CF" w14:textId="77777777" w:rsidR="00B40749" w:rsidRPr="00F86F3E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proofErr w:type="spellStart"/>
      <w:r w:rsidRPr="00F86F3E">
        <w:rPr>
          <w:rFonts w:cs="Times New Roman"/>
          <w:szCs w:val="24"/>
        </w:rPr>
        <w:t>Зарицкий</w:t>
      </w:r>
      <w:proofErr w:type="spellEnd"/>
      <w:r w:rsidRPr="00F86F3E">
        <w:rPr>
          <w:rFonts w:cs="Times New Roman"/>
          <w:szCs w:val="24"/>
        </w:rPr>
        <w:t xml:space="preserve">, Б. Е. Энергетические дилеммы ФРГ / </w:t>
      </w:r>
      <w:proofErr w:type="spellStart"/>
      <w:r w:rsidRPr="00F86F3E">
        <w:rPr>
          <w:rFonts w:cs="Times New Roman"/>
          <w:szCs w:val="24"/>
        </w:rPr>
        <w:t>Зарицкий</w:t>
      </w:r>
      <w:proofErr w:type="spellEnd"/>
      <w:r w:rsidRPr="00F86F3E">
        <w:rPr>
          <w:rFonts w:cs="Times New Roman"/>
          <w:szCs w:val="24"/>
        </w:rPr>
        <w:t xml:space="preserve">, Б. Е. </w:t>
      </w:r>
      <w:r w:rsidRPr="00F86F3E">
        <w:rPr>
          <w:rFonts w:cs="Times New Roman"/>
          <w:szCs w:val="24"/>
          <w:lang w:val="en-US"/>
        </w:rPr>
        <w:t>URL</w:t>
      </w:r>
      <w:r w:rsidRPr="00F86F3E">
        <w:rPr>
          <w:rFonts w:cs="Times New Roman"/>
          <w:szCs w:val="24"/>
        </w:rPr>
        <w:t xml:space="preserve">: </w:t>
      </w:r>
      <w:r w:rsidRPr="00F86F3E">
        <w:rPr>
          <w:rFonts w:cs="Times New Roman"/>
          <w:szCs w:val="24"/>
          <w:lang w:val="en-US"/>
        </w:rPr>
        <w:t>https</w:t>
      </w:r>
      <w:r w:rsidRPr="00F86F3E">
        <w:rPr>
          <w:rFonts w:cs="Times New Roman"/>
          <w:szCs w:val="24"/>
        </w:rPr>
        <w:t>://</w:t>
      </w:r>
      <w:proofErr w:type="spellStart"/>
      <w:r w:rsidRPr="00F86F3E">
        <w:rPr>
          <w:rFonts w:cs="Times New Roman"/>
          <w:szCs w:val="24"/>
          <w:lang w:val="en-US"/>
        </w:rPr>
        <w:t>interaffairs</w:t>
      </w:r>
      <w:proofErr w:type="spellEnd"/>
      <w:r w:rsidRPr="00F86F3E">
        <w:rPr>
          <w:rFonts w:cs="Times New Roman"/>
          <w:szCs w:val="24"/>
        </w:rPr>
        <w:t>.</w:t>
      </w:r>
      <w:r w:rsidRPr="00F86F3E">
        <w:rPr>
          <w:rFonts w:cs="Times New Roman"/>
          <w:szCs w:val="24"/>
          <w:lang w:val="en-US"/>
        </w:rPr>
        <w:t>ru</w:t>
      </w:r>
      <w:r w:rsidRPr="00F86F3E">
        <w:rPr>
          <w:rFonts w:cs="Times New Roman"/>
          <w:szCs w:val="24"/>
        </w:rPr>
        <w:t>/</w:t>
      </w:r>
      <w:proofErr w:type="spellStart"/>
      <w:r w:rsidRPr="00F86F3E">
        <w:rPr>
          <w:rFonts w:cs="Times New Roman"/>
          <w:szCs w:val="24"/>
          <w:lang w:val="en-US"/>
        </w:rPr>
        <w:t>jauthor</w:t>
      </w:r>
      <w:proofErr w:type="spellEnd"/>
      <w:r w:rsidRPr="00F86F3E">
        <w:rPr>
          <w:rFonts w:cs="Times New Roman"/>
          <w:szCs w:val="24"/>
        </w:rPr>
        <w:t>/</w:t>
      </w:r>
      <w:r w:rsidRPr="00F86F3E">
        <w:rPr>
          <w:rFonts w:cs="Times New Roman"/>
          <w:szCs w:val="24"/>
          <w:lang w:val="en-US"/>
        </w:rPr>
        <w:t>material</w:t>
      </w:r>
      <w:r w:rsidRPr="00F86F3E">
        <w:rPr>
          <w:rFonts w:cs="Times New Roman"/>
          <w:szCs w:val="24"/>
        </w:rPr>
        <w:t>/872 (дата обращения 29.04.2020)</w:t>
      </w:r>
    </w:p>
    <w:p w14:paraId="30F539FB" w14:textId="77777777" w:rsidR="00B40749" w:rsidRPr="00F86F3E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>Захаров В.Ю. К вопросу о проведении первой модернизации в истории России / В.Ю. Захаров // Вестник Московского гос. обл. университета. Серия: история и политические науки. – 2014. №3. – С</w:t>
      </w:r>
      <w:r>
        <w:rPr>
          <w:rFonts w:cs="Times New Roman"/>
          <w:szCs w:val="24"/>
        </w:rPr>
        <w:t>тр</w:t>
      </w:r>
      <w:r w:rsidRPr="00F86F3E">
        <w:rPr>
          <w:rFonts w:cs="Times New Roman"/>
          <w:szCs w:val="24"/>
        </w:rPr>
        <w:t>. 12</w:t>
      </w:r>
      <w:r>
        <w:rPr>
          <w:rFonts w:cs="Times New Roman"/>
          <w:szCs w:val="24"/>
        </w:rPr>
        <w:t>0-124</w:t>
      </w:r>
    </w:p>
    <w:p w14:paraId="4ABE117F" w14:textId="77777777" w:rsidR="00B40749" w:rsidRPr="00F86F3E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 xml:space="preserve">Ивкина, Н.В. Кризис либерально-демократического порядка на фоне коронавируса / Ивкина, Н.В. URL: </w:t>
      </w:r>
      <w:hyperlink r:id="rId23" w:history="1">
        <w:r w:rsidRPr="00F86F3E">
          <w:rPr>
            <w:rStyle w:val="a8"/>
            <w:rFonts w:cs="Times New Roman"/>
            <w:szCs w:val="24"/>
          </w:rPr>
          <w:t>https://russiancouncil.ru/blogs/nivkina/krizis-liberalnodemokraticheskogo-poryadka-na-fone-koronavirusa/</w:t>
        </w:r>
      </w:hyperlink>
      <w:r w:rsidRPr="00F86F3E">
        <w:rPr>
          <w:rFonts w:cs="Times New Roman"/>
          <w:szCs w:val="24"/>
        </w:rPr>
        <w:t xml:space="preserve"> (дата обращения: 26.04.2020)</w:t>
      </w:r>
    </w:p>
    <w:p w14:paraId="78B221A1" w14:textId="77777777" w:rsidR="00B40749" w:rsidRPr="00F86F3E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>ИЭИ РАН. Эволюция мировых энергетических рынков и её последствия для России, 2015</w:t>
      </w:r>
      <w:r>
        <w:rPr>
          <w:rFonts w:cs="Times New Roman"/>
          <w:szCs w:val="24"/>
        </w:rPr>
        <w:t>. – 400 стр.</w:t>
      </w:r>
    </w:p>
    <w:p w14:paraId="64C11E4A" w14:textId="77777777" w:rsidR="00B40749" w:rsidRPr="00F86F3E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proofErr w:type="spellStart"/>
      <w:r w:rsidRPr="00F86F3E">
        <w:rPr>
          <w:rFonts w:cs="Times New Roman"/>
          <w:szCs w:val="24"/>
        </w:rPr>
        <w:t>Каневский</w:t>
      </w:r>
      <w:proofErr w:type="spellEnd"/>
      <w:r w:rsidRPr="00F86F3E">
        <w:rPr>
          <w:rFonts w:cs="Times New Roman"/>
          <w:szCs w:val="24"/>
        </w:rPr>
        <w:t xml:space="preserve"> П.С. Российские лобби в Европейском Союзе и США: проблемы и перспективы / П.С. </w:t>
      </w:r>
      <w:proofErr w:type="spellStart"/>
      <w:r w:rsidRPr="00F86F3E">
        <w:rPr>
          <w:rFonts w:cs="Times New Roman"/>
          <w:szCs w:val="24"/>
        </w:rPr>
        <w:t>Каневский</w:t>
      </w:r>
      <w:proofErr w:type="spellEnd"/>
      <w:r w:rsidRPr="00F86F3E">
        <w:rPr>
          <w:rFonts w:cs="Times New Roman"/>
          <w:szCs w:val="24"/>
        </w:rPr>
        <w:t xml:space="preserve"> // Вестник Московского университета. Сер. 18. Социология и политология. – 2012. №4 – С</w:t>
      </w:r>
      <w:r>
        <w:rPr>
          <w:rFonts w:cs="Times New Roman"/>
          <w:szCs w:val="24"/>
        </w:rPr>
        <w:t>тр. 137-153</w:t>
      </w:r>
    </w:p>
    <w:p w14:paraId="5FB3E003" w14:textId="77777777" w:rsidR="00B40749" w:rsidRPr="00F86F3E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 xml:space="preserve">Кашина Е.А. Государство и иностранный капитал в нефтяной и газовой промышленности России </w:t>
      </w:r>
      <w:r w:rsidRPr="00F86F3E">
        <w:rPr>
          <w:rFonts w:cs="Times New Roman"/>
          <w:szCs w:val="24"/>
          <w:lang w:val="en-US"/>
        </w:rPr>
        <w:t>XIX</w:t>
      </w:r>
      <w:r w:rsidRPr="00F86F3E">
        <w:rPr>
          <w:rFonts w:cs="Times New Roman"/>
          <w:szCs w:val="24"/>
        </w:rPr>
        <w:t>-</w:t>
      </w:r>
      <w:r w:rsidRPr="00F86F3E">
        <w:rPr>
          <w:rFonts w:cs="Times New Roman"/>
          <w:szCs w:val="24"/>
          <w:lang w:val="en-US"/>
        </w:rPr>
        <w:t>XX</w:t>
      </w:r>
      <w:r w:rsidRPr="00F86F3E">
        <w:rPr>
          <w:rFonts w:cs="Times New Roman"/>
          <w:szCs w:val="24"/>
        </w:rPr>
        <w:t xml:space="preserve"> вв. / Е.А. Кашина // Государственное и муниципальное управление. Ученые записки. – 2018 №4. – С</w:t>
      </w:r>
      <w:r>
        <w:rPr>
          <w:rFonts w:cs="Times New Roman"/>
          <w:szCs w:val="24"/>
        </w:rPr>
        <w:t>тр</w:t>
      </w:r>
      <w:r w:rsidRPr="00F86F3E">
        <w:rPr>
          <w:rFonts w:cs="Times New Roman"/>
          <w:szCs w:val="24"/>
        </w:rPr>
        <w:t>. 24</w:t>
      </w:r>
      <w:r w:rsidRPr="00B40749">
        <w:rPr>
          <w:rFonts w:cs="Times New Roman"/>
          <w:szCs w:val="24"/>
        </w:rPr>
        <w:t>5-251</w:t>
      </w:r>
    </w:p>
    <w:p w14:paraId="12A5B8D8" w14:textId="77777777" w:rsidR="00B40749" w:rsidRPr="00F86F3E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 xml:space="preserve">Магомедов А.К., </w:t>
      </w:r>
      <w:proofErr w:type="spellStart"/>
      <w:r w:rsidRPr="00F86F3E">
        <w:rPr>
          <w:rFonts w:cs="Times New Roman"/>
          <w:szCs w:val="24"/>
        </w:rPr>
        <w:t>Никеров</w:t>
      </w:r>
      <w:proofErr w:type="spellEnd"/>
      <w:r w:rsidRPr="00F86F3E">
        <w:rPr>
          <w:rFonts w:cs="Times New Roman"/>
          <w:szCs w:val="24"/>
        </w:rPr>
        <w:t xml:space="preserve"> Р.Н. Нефть России и </w:t>
      </w:r>
      <w:proofErr w:type="spellStart"/>
      <w:r w:rsidRPr="00F86F3E">
        <w:rPr>
          <w:rFonts w:cs="Times New Roman"/>
          <w:szCs w:val="24"/>
        </w:rPr>
        <w:t>рентоориентированное</w:t>
      </w:r>
      <w:proofErr w:type="spellEnd"/>
      <w:r w:rsidRPr="00F86F3E">
        <w:rPr>
          <w:rFonts w:cs="Times New Roman"/>
          <w:szCs w:val="24"/>
        </w:rPr>
        <w:t xml:space="preserve"> поведение: к пониманию природы политических стимулов российской власти / А.К. Магомедов, Р.Н. </w:t>
      </w:r>
      <w:proofErr w:type="spellStart"/>
      <w:r w:rsidRPr="00F86F3E">
        <w:rPr>
          <w:rFonts w:cs="Times New Roman"/>
          <w:szCs w:val="24"/>
        </w:rPr>
        <w:t>Никеров</w:t>
      </w:r>
      <w:proofErr w:type="spellEnd"/>
      <w:r w:rsidRPr="00F86F3E">
        <w:rPr>
          <w:rFonts w:cs="Times New Roman"/>
          <w:szCs w:val="24"/>
        </w:rPr>
        <w:t xml:space="preserve"> // Известия Саратовского университета. 2010. Т. 10. Сер. Социология. Политология, Вып. 1. – С</w:t>
      </w:r>
      <w:r>
        <w:rPr>
          <w:rFonts w:cs="Times New Roman"/>
          <w:szCs w:val="24"/>
        </w:rPr>
        <w:t>тр</w:t>
      </w:r>
      <w:r w:rsidRPr="00F86F3E">
        <w:rPr>
          <w:rFonts w:cs="Times New Roman"/>
          <w:szCs w:val="24"/>
        </w:rPr>
        <w:t>. 105</w:t>
      </w:r>
      <w:r>
        <w:rPr>
          <w:rFonts w:cs="Times New Roman"/>
          <w:szCs w:val="24"/>
        </w:rPr>
        <w:t>-108</w:t>
      </w:r>
    </w:p>
    <w:p w14:paraId="7AB10391" w14:textId="77777777" w:rsidR="00B40749" w:rsidRPr="00F86F3E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 xml:space="preserve">Мехди </w:t>
      </w:r>
      <w:proofErr w:type="spellStart"/>
      <w:r w:rsidRPr="00F86F3E">
        <w:rPr>
          <w:rFonts w:cs="Times New Roman"/>
          <w:szCs w:val="24"/>
        </w:rPr>
        <w:t>Санаи</w:t>
      </w:r>
      <w:proofErr w:type="spellEnd"/>
      <w:r w:rsidRPr="00F86F3E">
        <w:rPr>
          <w:rFonts w:cs="Times New Roman"/>
          <w:szCs w:val="24"/>
        </w:rPr>
        <w:t xml:space="preserve">. Мировой порядок после коронавируса: ничего не изменится? / Мехди </w:t>
      </w:r>
      <w:proofErr w:type="spellStart"/>
      <w:r w:rsidRPr="00F86F3E">
        <w:rPr>
          <w:rFonts w:cs="Times New Roman"/>
          <w:szCs w:val="24"/>
        </w:rPr>
        <w:t>Санаи</w:t>
      </w:r>
      <w:proofErr w:type="spellEnd"/>
      <w:r w:rsidRPr="00F86F3E">
        <w:rPr>
          <w:rFonts w:cs="Times New Roman"/>
          <w:szCs w:val="24"/>
        </w:rPr>
        <w:t xml:space="preserve">. URL: </w:t>
      </w:r>
      <w:hyperlink r:id="rId24" w:history="1">
        <w:r w:rsidRPr="00F86F3E">
          <w:rPr>
            <w:rStyle w:val="a8"/>
            <w:rFonts w:cs="Times New Roman"/>
            <w:szCs w:val="24"/>
          </w:rPr>
          <w:t>https://ru.valdaiclub.com/a/highlights/mirovoy-poryadok-posle-koronavirusa/</w:t>
        </w:r>
      </w:hyperlink>
      <w:r w:rsidRPr="00F86F3E">
        <w:rPr>
          <w:rFonts w:cs="Times New Roman"/>
          <w:szCs w:val="24"/>
        </w:rPr>
        <w:t xml:space="preserve"> (дата обращения: 26.05.2020)</w:t>
      </w:r>
    </w:p>
    <w:p w14:paraId="73E2CE5B" w14:textId="77777777" w:rsidR="00B40749" w:rsidRPr="00F86F3E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proofErr w:type="spellStart"/>
      <w:r w:rsidRPr="00F86F3E">
        <w:rPr>
          <w:rFonts w:cs="Times New Roman"/>
          <w:szCs w:val="24"/>
        </w:rPr>
        <w:t>Орешенков</w:t>
      </w:r>
      <w:proofErr w:type="spellEnd"/>
      <w:r w:rsidRPr="00F86F3E">
        <w:rPr>
          <w:rFonts w:cs="Times New Roman"/>
          <w:szCs w:val="24"/>
        </w:rPr>
        <w:t xml:space="preserve">, А. «Северный поток – 2» и ответ на санкции / </w:t>
      </w:r>
      <w:proofErr w:type="spellStart"/>
      <w:r w:rsidRPr="00F86F3E">
        <w:rPr>
          <w:rFonts w:cs="Times New Roman"/>
          <w:szCs w:val="24"/>
        </w:rPr>
        <w:t>Орешенков</w:t>
      </w:r>
      <w:proofErr w:type="spellEnd"/>
      <w:r w:rsidRPr="00F86F3E">
        <w:rPr>
          <w:rFonts w:cs="Times New Roman"/>
          <w:szCs w:val="24"/>
        </w:rPr>
        <w:t xml:space="preserve">, А. // Россия в глобальной политике. </w:t>
      </w:r>
      <w:r w:rsidRPr="00F86F3E">
        <w:rPr>
          <w:rFonts w:cs="Times New Roman"/>
          <w:szCs w:val="24"/>
          <w:lang w:val="en-US"/>
        </w:rPr>
        <w:t>URL</w:t>
      </w:r>
      <w:r w:rsidRPr="00F86F3E">
        <w:rPr>
          <w:rFonts w:cs="Times New Roman"/>
          <w:szCs w:val="24"/>
        </w:rPr>
        <w:t xml:space="preserve">: </w:t>
      </w:r>
      <w:hyperlink r:id="rId25" w:history="1">
        <w:r w:rsidRPr="00F86F3E">
          <w:rPr>
            <w:rStyle w:val="a8"/>
            <w:rFonts w:cs="Times New Roman"/>
            <w:szCs w:val="24"/>
            <w:lang w:val="en-US"/>
          </w:rPr>
          <w:t>https</w:t>
        </w:r>
        <w:r w:rsidRPr="00F86F3E">
          <w:rPr>
            <w:rStyle w:val="a8"/>
            <w:rFonts w:cs="Times New Roman"/>
            <w:szCs w:val="24"/>
          </w:rPr>
          <w:t>://</w:t>
        </w:r>
        <w:proofErr w:type="spellStart"/>
        <w:r w:rsidRPr="00F86F3E">
          <w:rPr>
            <w:rStyle w:val="a8"/>
            <w:rFonts w:cs="Times New Roman"/>
            <w:szCs w:val="24"/>
            <w:lang w:val="en-US"/>
          </w:rPr>
          <w:t>globalaffairs</w:t>
        </w:r>
        <w:proofErr w:type="spellEnd"/>
        <w:r w:rsidRPr="00F86F3E">
          <w:rPr>
            <w:rStyle w:val="a8"/>
            <w:rFonts w:cs="Times New Roman"/>
            <w:szCs w:val="24"/>
          </w:rPr>
          <w:t>.</w:t>
        </w:r>
        <w:r w:rsidRPr="00F86F3E">
          <w:rPr>
            <w:rStyle w:val="a8"/>
            <w:rFonts w:cs="Times New Roman"/>
            <w:szCs w:val="24"/>
            <w:lang w:val="en-US"/>
          </w:rPr>
          <w:t>ru</w:t>
        </w:r>
        <w:r w:rsidRPr="00F86F3E">
          <w:rPr>
            <w:rStyle w:val="a8"/>
            <w:rFonts w:cs="Times New Roman"/>
            <w:szCs w:val="24"/>
          </w:rPr>
          <w:t>/</w:t>
        </w:r>
        <w:r w:rsidRPr="00F86F3E">
          <w:rPr>
            <w:rStyle w:val="a8"/>
            <w:rFonts w:cs="Times New Roman"/>
            <w:szCs w:val="24"/>
            <w:lang w:val="en-US"/>
          </w:rPr>
          <w:t>articles</w:t>
        </w:r>
        <w:r w:rsidRPr="00F86F3E">
          <w:rPr>
            <w:rStyle w:val="a8"/>
            <w:rFonts w:cs="Times New Roman"/>
            <w:szCs w:val="24"/>
          </w:rPr>
          <w:t>/</w:t>
        </w:r>
        <w:proofErr w:type="spellStart"/>
        <w:r w:rsidRPr="00F86F3E">
          <w:rPr>
            <w:rStyle w:val="a8"/>
            <w:rFonts w:cs="Times New Roman"/>
            <w:szCs w:val="24"/>
            <w:lang w:val="en-US"/>
          </w:rPr>
          <w:t>severnyj</w:t>
        </w:r>
        <w:proofErr w:type="spellEnd"/>
        <w:r w:rsidRPr="00F86F3E">
          <w:rPr>
            <w:rStyle w:val="a8"/>
            <w:rFonts w:cs="Times New Roman"/>
            <w:szCs w:val="24"/>
          </w:rPr>
          <w:t>-</w:t>
        </w:r>
        <w:proofErr w:type="spellStart"/>
        <w:r w:rsidRPr="00F86F3E">
          <w:rPr>
            <w:rStyle w:val="a8"/>
            <w:rFonts w:cs="Times New Roman"/>
            <w:szCs w:val="24"/>
            <w:lang w:val="en-US"/>
          </w:rPr>
          <w:t>potok</w:t>
        </w:r>
        <w:proofErr w:type="spellEnd"/>
        <w:r w:rsidRPr="00F86F3E">
          <w:rPr>
            <w:rStyle w:val="a8"/>
            <w:rFonts w:cs="Times New Roman"/>
            <w:szCs w:val="24"/>
          </w:rPr>
          <w:t>-2-</w:t>
        </w:r>
        <w:proofErr w:type="spellStart"/>
        <w:r w:rsidRPr="00F86F3E">
          <w:rPr>
            <w:rStyle w:val="a8"/>
            <w:rFonts w:cs="Times New Roman"/>
            <w:szCs w:val="24"/>
            <w:lang w:val="en-US"/>
          </w:rPr>
          <w:t>i</w:t>
        </w:r>
        <w:proofErr w:type="spellEnd"/>
        <w:r w:rsidRPr="00F86F3E">
          <w:rPr>
            <w:rStyle w:val="a8"/>
            <w:rFonts w:cs="Times New Roman"/>
            <w:szCs w:val="24"/>
          </w:rPr>
          <w:t>-</w:t>
        </w:r>
        <w:proofErr w:type="spellStart"/>
        <w:r w:rsidRPr="00F86F3E">
          <w:rPr>
            <w:rStyle w:val="a8"/>
            <w:rFonts w:cs="Times New Roman"/>
            <w:szCs w:val="24"/>
            <w:lang w:val="en-US"/>
          </w:rPr>
          <w:t>otvet</w:t>
        </w:r>
        <w:proofErr w:type="spellEnd"/>
        <w:r w:rsidRPr="00F86F3E">
          <w:rPr>
            <w:rStyle w:val="a8"/>
            <w:rFonts w:cs="Times New Roman"/>
            <w:szCs w:val="24"/>
          </w:rPr>
          <w:t>-</w:t>
        </w:r>
        <w:proofErr w:type="spellStart"/>
        <w:r w:rsidRPr="00F86F3E">
          <w:rPr>
            <w:rStyle w:val="a8"/>
            <w:rFonts w:cs="Times New Roman"/>
            <w:szCs w:val="24"/>
            <w:lang w:val="en-US"/>
          </w:rPr>
          <w:t>na</w:t>
        </w:r>
        <w:proofErr w:type="spellEnd"/>
        <w:r w:rsidRPr="00F86F3E">
          <w:rPr>
            <w:rStyle w:val="a8"/>
            <w:rFonts w:cs="Times New Roman"/>
            <w:szCs w:val="24"/>
          </w:rPr>
          <w:t>-</w:t>
        </w:r>
        <w:proofErr w:type="spellStart"/>
        <w:r w:rsidRPr="00F86F3E">
          <w:rPr>
            <w:rStyle w:val="a8"/>
            <w:rFonts w:cs="Times New Roman"/>
            <w:szCs w:val="24"/>
            <w:lang w:val="en-US"/>
          </w:rPr>
          <w:t>sankczii</w:t>
        </w:r>
        <w:proofErr w:type="spellEnd"/>
        <w:r w:rsidRPr="00F86F3E">
          <w:rPr>
            <w:rStyle w:val="a8"/>
            <w:rFonts w:cs="Times New Roman"/>
            <w:szCs w:val="24"/>
          </w:rPr>
          <w:t>/</w:t>
        </w:r>
      </w:hyperlink>
      <w:r w:rsidRPr="00F86F3E">
        <w:rPr>
          <w:rFonts w:cs="Times New Roman"/>
          <w:szCs w:val="24"/>
        </w:rPr>
        <w:t xml:space="preserve"> (дата обращения: 21.04.2020)</w:t>
      </w:r>
    </w:p>
    <w:p w14:paraId="5F135C7D" w14:textId="77777777" w:rsidR="00B40749" w:rsidRPr="00F86F3E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 xml:space="preserve">Пареньков, Д.А. Политические эффекты пандемии: рост спроса на консервативные ценности / Пареньков, Д.А. URL: </w:t>
      </w:r>
      <w:hyperlink r:id="rId26" w:history="1">
        <w:r w:rsidRPr="00F86F3E">
          <w:rPr>
            <w:rStyle w:val="a8"/>
            <w:rFonts w:cs="Times New Roman"/>
            <w:szCs w:val="24"/>
          </w:rPr>
          <w:t>https://ru.valdaiclub.com/a/highlights/politicheskie-effekty-pandemii/</w:t>
        </w:r>
      </w:hyperlink>
      <w:r w:rsidRPr="00F86F3E">
        <w:rPr>
          <w:rFonts w:cs="Times New Roman"/>
          <w:szCs w:val="24"/>
        </w:rPr>
        <w:t xml:space="preserve"> (дата обращения: 26.05.2020)</w:t>
      </w:r>
    </w:p>
    <w:p w14:paraId="04D002C0" w14:textId="77777777" w:rsidR="00B40749" w:rsidRPr="00F86F3E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proofErr w:type="spellStart"/>
      <w:r w:rsidRPr="00F86F3E">
        <w:rPr>
          <w:rFonts w:cs="Times New Roman"/>
          <w:szCs w:val="24"/>
        </w:rPr>
        <w:t>Разумнова</w:t>
      </w:r>
      <w:proofErr w:type="spellEnd"/>
      <w:r w:rsidRPr="00F86F3E">
        <w:rPr>
          <w:rFonts w:cs="Times New Roman"/>
          <w:szCs w:val="24"/>
        </w:rPr>
        <w:t xml:space="preserve"> Л. Л. Мониторинг развития европейских газовых </w:t>
      </w:r>
      <w:proofErr w:type="spellStart"/>
      <w:r w:rsidRPr="00F86F3E">
        <w:rPr>
          <w:rFonts w:cs="Times New Roman"/>
          <w:szCs w:val="24"/>
        </w:rPr>
        <w:t>хабов</w:t>
      </w:r>
      <w:proofErr w:type="spellEnd"/>
      <w:r w:rsidRPr="00F86F3E">
        <w:rPr>
          <w:rFonts w:cs="Times New Roman"/>
          <w:szCs w:val="24"/>
        </w:rPr>
        <w:t xml:space="preserve"> / Л.Л. </w:t>
      </w:r>
      <w:proofErr w:type="spellStart"/>
      <w:r w:rsidRPr="00F86F3E">
        <w:rPr>
          <w:rFonts w:cs="Times New Roman"/>
          <w:szCs w:val="24"/>
        </w:rPr>
        <w:t>Разумнова</w:t>
      </w:r>
      <w:proofErr w:type="spellEnd"/>
      <w:r w:rsidRPr="00F86F3E">
        <w:rPr>
          <w:rFonts w:cs="Times New Roman"/>
          <w:szCs w:val="24"/>
        </w:rPr>
        <w:t xml:space="preserve"> // Международная торговля и торговая политика. – 2017. №4(12). – С</w:t>
      </w:r>
      <w:r>
        <w:rPr>
          <w:rFonts w:cs="Times New Roman"/>
          <w:szCs w:val="24"/>
        </w:rPr>
        <w:t>тр. 84-99</w:t>
      </w:r>
    </w:p>
    <w:p w14:paraId="3B064356" w14:textId="77777777" w:rsidR="00B40749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B40749">
        <w:rPr>
          <w:rFonts w:cs="Times New Roman"/>
          <w:szCs w:val="24"/>
        </w:rPr>
        <w:t xml:space="preserve">Романова Т.А. Энергетический диалог России и Европейского союза: эволюция и перспективы развития // Отношения России с Евросоюзом. Под ред. С. Белена, К. </w:t>
      </w:r>
      <w:proofErr w:type="spellStart"/>
      <w:r w:rsidRPr="00B40749">
        <w:rPr>
          <w:rFonts w:cs="Times New Roman"/>
          <w:szCs w:val="24"/>
        </w:rPr>
        <w:t>Худолея</w:t>
      </w:r>
      <w:proofErr w:type="spellEnd"/>
      <w:r w:rsidRPr="00B40749">
        <w:rPr>
          <w:rFonts w:cs="Times New Roman"/>
          <w:szCs w:val="24"/>
        </w:rPr>
        <w:t>, Т. Романовой. СПб: Издательство Санкт-Петербургского университета, 2012.</w:t>
      </w:r>
    </w:p>
    <w:p w14:paraId="7A520DEF" w14:textId="77777777" w:rsidR="00B40749" w:rsidRPr="00F86F3E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>Россия и Германия в системе международных отношений: через века истории. // Петербургский диалог – 2012: сборник научных статей. / СПбГУ (СПб.), Исторический факультет; под ред. В. Н. Барышникова, А. Ю. Прокопьева. СПб.: Изд-во ООО «Сезам-принт», 2012. – 208 с.</w:t>
      </w:r>
    </w:p>
    <w:p w14:paraId="38ED85E8" w14:textId="77777777" w:rsidR="00B40749" w:rsidRPr="00F86F3E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>Седых, С.В. Новая энергетическая стратегия ФРГ / С.В. Седых // Вестник Финансового университета. – 2011 №1 (61) – С</w:t>
      </w:r>
      <w:r>
        <w:rPr>
          <w:rFonts w:cs="Times New Roman"/>
          <w:szCs w:val="24"/>
        </w:rPr>
        <w:t>тр. 61-66</w:t>
      </w:r>
    </w:p>
    <w:p w14:paraId="0B36E755" w14:textId="77777777" w:rsidR="00B40749" w:rsidRPr="00F86F3E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lastRenderedPageBreak/>
        <w:t xml:space="preserve">Сухой, В.В. Южный газовый коридор: США — за, Россия — не против / Сухой, В.В. URL: </w:t>
      </w:r>
      <w:hyperlink r:id="rId27" w:history="1">
        <w:r w:rsidRPr="00F86F3E">
          <w:rPr>
            <w:rStyle w:val="a8"/>
            <w:rFonts w:cs="Times New Roman"/>
            <w:szCs w:val="24"/>
          </w:rPr>
          <w:t>https://mgimo.ru/about/news/experts/yuzhnyy-gazovyy-koridor-usa-za-rossiya-ne-protiv/</w:t>
        </w:r>
      </w:hyperlink>
      <w:r w:rsidRPr="00F86F3E">
        <w:rPr>
          <w:rFonts w:cs="Times New Roman"/>
          <w:szCs w:val="24"/>
        </w:rPr>
        <w:t xml:space="preserve"> (дата обращения: 30.04.2020)</w:t>
      </w:r>
    </w:p>
    <w:p w14:paraId="54555762" w14:textId="77777777" w:rsidR="00B40749" w:rsidRPr="00B40749" w:rsidRDefault="00B40749" w:rsidP="00B40749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  <w:lang w:val="en-US"/>
        </w:rPr>
      </w:pPr>
      <w:r w:rsidRPr="00B40749">
        <w:rPr>
          <w:rFonts w:cs="Times New Roman"/>
          <w:szCs w:val="24"/>
        </w:rPr>
        <w:t xml:space="preserve">Ткаченко С.Л. Некоторые аспекты экономических отношений России и ЕС в 1990-1995 гг. // Вестник Санкт-Петербургского университета. 1996. Серия 6. в„–1. С. 103-113.; </w:t>
      </w:r>
    </w:p>
    <w:p w14:paraId="69062A95" w14:textId="77777777" w:rsidR="00B40749" w:rsidRPr="00F86F3E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r w:rsidRPr="00F86F3E">
        <w:rPr>
          <w:rFonts w:cs="Times New Roman"/>
          <w:szCs w:val="24"/>
        </w:rPr>
        <w:t>Шевяков А.А. Советско-германские экономические связи в предвоенные годы / А.А. Шевяков // Социологические исследования – 1995. № 5 С</w:t>
      </w:r>
      <w:r>
        <w:rPr>
          <w:rFonts w:cs="Times New Roman"/>
          <w:szCs w:val="24"/>
        </w:rPr>
        <w:t>тр</w:t>
      </w:r>
      <w:r w:rsidRPr="00F86F3E">
        <w:rPr>
          <w:rFonts w:cs="Times New Roman"/>
          <w:szCs w:val="24"/>
        </w:rPr>
        <w:t>. 1</w:t>
      </w:r>
      <w:r>
        <w:rPr>
          <w:rFonts w:cs="Times New Roman"/>
          <w:szCs w:val="24"/>
        </w:rPr>
        <w:t>3-25</w:t>
      </w:r>
    </w:p>
    <w:p w14:paraId="2C9C8A1F" w14:textId="77777777" w:rsidR="00B40749" w:rsidRPr="00F86F3E" w:rsidRDefault="00B40749" w:rsidP="00F86F3E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</w:rPr>
      </w:pPr>
      <w:proofErr w:type="spellStart"/>
      <w:r w:rsidRPr="00F86F3E">
        <w:rPr>
          <w:rFonts w:cs="Times New Roman"/>
          <w:szCs w:val="24"/>
        </w:rPr>
        <w:t>Шпотов</w:t>
      </w:r>
      <w:proofErr w:type="spellEnd"/>
      <w:r w:rsidRPr="00F86F3E">
        <w:rPr>
          <w:rFonts w:cs="Times New Roman"/>
          <w:szCs w:val="24"/>
        </w:rPr>
        <w:t xml:space="preserve">, Б.М. Западные источники индустриализации СССР (конец 1920-х – 1930-е гг.) / </w:t>
      </w:r>
      <w:proofErr w:type="spellStart"/>
      <w:r w:rsidRPr="00F86F3E">
        <w:rPr>
          <w:rFonts w:cs="Times New Roman"/>
          <w:szCs w:val="24"/>
        </w:rPr>
        <w:t>Шпотов</w:t>
      </w:r>
      <w:proofErr w:type="spellEnd"/>
      <w:r w:rsidRPr="00F86F3E">
        <w:rPr>
          <w:rFonts w:cs="Times New Roman"/>
          <w:szCs w:val="24"/>
        </w:rPr>
        <w:t>, Б.М. Институт всеобщей истории РАН (г. Москва)</w:t>
      </w:r>
    </w:p>
    <w:p w14:paraId="39266312" w14:textId="77777777" w:rsidR="00633B76" w:rsidRDefault="00F86F3E" w:rsidP="00633B76">
      <w:pPr>
        <w:pStyle w:val="a7"/>
        <w:numPr>
          <w:ilvl w:val="0"/>
          <w:numId w:val="39"/>
        </w:numPr>
        <w:spacing w:line="240" w:lineRule="auto"/>
        <w:rPr>
          <w:rFonts w:cs="Times New Roman"/>
          <w:szCs w:val="24"/>
          <w:lang w:val="en-US"/>
        </w:rPr>
      </w:pPr>
      <w:r w:rsidRPr="00F86F3E">
        <w:rPr>
          <w:rFonts w:cs="Times New Roman"/>
          <w:szCs w:val="24"/>
          <w:lang w:val="en-US"/>
        </w:rPr>
        <w:t>Williamson J. The Washington Consensus as Policy Prescription for Development / John Williamson // A lecture in the series "Practitioners of Development" at the World Bank. Institute for International Economics, 2004 – p. 3-10</w:t>
      </w:r>
    </w:p>
    <w:p w14:paraId="522027D7" w14:textId="6F84FB62" w:rsidR="006F7559" w:rsidRDefault="00633B76" w:rsidP="00633B76">
      <w:pPr>
        <w:spacing w:line="240" w:lineRule="auto"/>
        <w:jc w:val="center"/>
        <w:rPr>
          <w:b/>
          <w:bCs/>
          <w:lang w:val="en-US"/>
        </w:rPr>
      </w:pPr>
      <w:proofErr w:type="spellStart"/>
      <w:r w:rsidRPr="00633B76">
        <w:rPr>
          <w:b/>
          <w:bCs/>
          <w:lang w:val="en-US"/>
        </w:rPr>
        <w:t>Информационно-новостные</w:t>
      </w:r>
      <w:proofErr w:type="spellEnd"/>
      <w:r w:rsidRPr="00633B76">
        <w:rPr>
          <w:b/>
          <w:bCs/>
          <w:lang w:val="en-US"/>
        </w:rPr>
        <w:t xml:space="preserve"> </w:t>
      </w:r>
      <w:proofErr w:type="spellStart"/>
      <w:r w:rsidRPr="00633B76">
        <w:rPr>
          <w:b/>
          <w:bCs/>
          <w:lang w:val="en-US"/>
        </w:rPr>
        <w:t>ресурсы</w:t>
      </w:r>
      <w:proofErr w:type="spellEnd"/>
    </w:p>
    <w:p w14:paraId="0F037370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33B76">
        <w:rPr>
          <w:rFonts w:eastAsiaTheme="minorHAnsi" w:cs="Times New Roman"/>
          <w:szCs w:val="24"/>
          <w:lang w:eastAsia="en-US"/>
        </w:rPr>
        <w:t xml:space="preserve">Бочкарев, Д. «Зеленый» шум: почему декарбонизация энергетики в ЕС будет непростой / Д. Бочкарев. </w:t>
      </w:r>
      <w:r w:rsidRPr="00633B76">
        <w:rPr>
          <w:rFonts w:eastAsiaTheme="minorHAnsi" w:cs="Times New Roman"/>
          <w:szCs w:val="24"/>
          <w:lang w:val="en-US" w:eastAsia="en-US"/>
        </w:rPr>
        <w:t>URL</w:t>
      </w:r>
      <w:r w:rsidRPr="00633B76">
        <w:rPr>
          <w:rFonts w:eastAsiaTheme="minorHAnsi" w:cs="Times New Roman"/>
          <w:szCs w:val="24"/>
          <w:lang w:eastAsia="en-US"/>
        </w:rPr>
        <w:t xml:space="preserve">: </w:t>
      </w:r>
      <w:hyperlink r:id="rId28" w:history="1"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val="en-US" w:eastAsia="en-US"/>
          </w:rPr>
          <w:t>https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://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val="en-US" w:eastAsia="en-US"/>
          </w:rPr>
          <w:t>www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.</w:t>
        </w:r>
        <w:proofErr w:type="spellStart"/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val="en-US" w:eastAsia="en-US"/>
          </w:rPr>
          <w:t>rbc</w:t>
        </w:r>
        <w:proofErr w:type="spellEnd"/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.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val="en-US" w:eastAsia="en-US"/>
          </w:rPr>
          <w:t>ru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/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val="en-US" w:eastAsia="en-US"/>
          </w:rPr>
          <w:t>opinions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/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val="en-US" w:eastAsia="en-US"/>
          </w:rPr>
          <w:t>economics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/11/02/2020/5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val="en-US" w:eastAsia="en-US"/>
          </w:rPr>
          <w:t>e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4128419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val="en-US" w:eastAsia="en-US"/>
          </w:rPr>
          <w:t>a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794714565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val="en-US" w:eastAsia="en-US"/>
          </w:rPr>
          <w:t>f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35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val="en-US" w:eastAsia="en-US"/>
          </w:rPr>
          <w:t>be</w:t>
        </w:r>
      </w:hyperlink>
      <w:r w:rsidRPr="00633B76">
        <w:rPr>
          <w:rFonts w:eastAsiaTheme="minorHAnsi" w:cs="Times New Roman"/>
          <w:szCs w:val="24"/>
          <w:lang w:eastAsia="en-US"/>
        </w:rPr>
        <w:t xml:space="preserve"> (дата обращения: 29.04.2020)</w:t>
      </w:r>
    </w:p>
    <w:p w14:paraId="12703AB3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33B76">
        <w:rPr>
          <w:rFonts w:eastAsiaTheme="minorHAnsi" w:cs="Times New Roman"/>
          <w:szCs w:val="24"/>
          <w:lang w:eastAsia="en-US"/>
        </w:rPr>
        <w:t xml:space="preserve">Германия возьмет рынок газа ЕС под контроль: «Северный поток-2» поможет [Электронный ресурс] // Информационное агентство </w:t>
      </w:r>
      <w:proofErr w:type="spellStart"/>
      <w:r w:rsidRPr="00633B76">
        <w:rPr>
          <w:rFonts w:eastAsiaTheme="minorHAnsi" w:cs="Times New Roman"/>
          <w:szCs w:val="24"/>
          <w:lang w:eastAsia="en-US"/>
        </w:rPr>
        <w:t>Eurasia</w:t>
      </w:r>
      <w:proofErr w:type="spellEnd"/>
      <w:r w:rsidRPr="00633B76">
        <w:rPr>
          <w:rFonts w:eastAsiaTheme="minorHAnsi" w:cs="Times New Roman"/>
          <w:szCs w:val="24"/>
          <w:lang w:eastAsia="en-US"/>
        </w:rPr>
        <w:t xml:space="preserve"> </w:t>
      </w:r>
      <w:proofErr w:type="spellStart"/>
      <w:r w:rsidRPr="00633B76">
        <w:rPr>
          <w:rFonts w:eastAsiaTheme="minorHAnsi" w:cs="Times New Roman"/>
          <w:szCs w:val="24"/>
          <w:lang w:eastAsia="en-US"/>
        </w:rPr>
        <w:t>Daily</w:t>
      </w:r>
      <w:proofErr w:type="spellEnd"/>
      <w:r w:rsidRPr="00633B76">
        <w:rPr>
          <w:rFonts w:eastAsiaTheme="minorHAnsi" w:cs="Times New Roman"/>
          <w:szCs w:val="24"/>
          <w:lang w:eastAsia="en-US"/>
        </w:rPr>
        <w:t xml:space="preserve">. Режим доступа: </w:t>
      </w:r>
      <w:hyperlink r:id="rId29" w:history="1"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https://eadaily.com/ru/news/2018/09/27/germaniya-vozmet-rynok-gaza-es-pod-kontrol-severnyy-potok-2-pomozhet</w:t>
        </w:r>
      </w:hyperlink>
      <w:r w:rsidRPr="00633B76">
        <w:rPr>
          <w:rFonts w:eastAsiaTheme="minorHAnsi" w:cs="Times New Roman"/>
          <w:szCs w:val="24"/>
          <w:lang w:eastAsia="en-US"/>
        </w:rPr>
        <w:t xml:space="preserve"> (дата обращения: 20.04.2020)</w:t>
      </w:r>
    </w:p>
    <w:p w14:paraId="7688A28A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33B76">
        <w:rPr>
          <w:rFonts w:eastAsiaTheme="minorHAnsi" w:cs="Times New Roman"/>
          <w:szCs w:val="24"/>
          <w:lang w:eastAsia="en-US"/>
        </w:rPr>
        <w:t xml:space="preserve">Глазьев С.Ю. Дискуссия «Между выборами». Экспертный опрос газеты «Завтра» // Завтра. 2008. № 5 (741). 30 янв. С. 1; </w:t>
      </w:r>
    </w:p>
    <w:p w14:paraId="72D08D34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33B76">
        <w:rPr>
          <w:rFonts w:eastAsiaTheme="minorHAnsi" w:cs="Times New Roman"/>
          <w:szCs w:val="24"/>
          <w:lang w:eastAsia="en-US"/>
        </w:rPr>
        <w:t xml:space="preserve">Иноземцев, В.Л. Обновление цепочек: какой станет международная торговля после кризиса / Иноземцев, В.Л. URL: </w:t>
      </w:r>
      <w:hyperlink r:id="rId30" w:history="1"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https://www.rbc.ru/opinions/business/15/04/2020/5e9581ce9a79472109b19010</w:t>
        </w:r>
      </w:hyperlink>
      <w:r w:rsidRPr="00633B76">
        <w:rPr>
          <w:rFonts w:eastAsiaTheme="minorHAnsi" w:cs="Times New Roman"/>
          <w:szCs w:val="24"/>
          <w:lang w:eastAsia="en-US"/>
        </w:rPr>
        <w:t xml:space="preserve"> (дата обращения: 28.04.2020)</w:t>
      </w:r>
    </w:p>
    <w:p w14:paraId="45C5F482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33B76">
        <w:rPr>
          <w:rFonts w:eastAsiaTheme="minorHAnsi" w:cs="Times New Roman"/>
          <w:szCs w:val="24"/>
          <w:lang w:eastAsia="en-US"/>
        </w:rPr>
        <w:t xml:space="preserve">Матвейчук А. Первая нефть Западной Сибири [Электронный ресурс] / А. Матвейчук // Онлайн журнал «Сибирская нефть». – 2019. №165. Режим доступа: </w:t>
      </w:r>
      <w:hyperlink r:id="rId31" w:history="1"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https://www.gazprom-neft.ru/press-center/sibneft-online/archive/2019-october/3750236/</w:t>
        </w:r>
      </w:hyperlink>
      <w:r w:rsidRPr="00633B76">
        <w:rPr>
          <w:rFonts w:eastAsiaTheme="minorHAnsi" w:cs="Times New Roman"/>
          <w:szCs w:val="24"/>
          <w:lang w:eastAsia="en-US"/>
        </w:rPr>
        <w:t xml:space="preserve"> (дата обращения: 15.04.2020)</w:t>
      </w:r>
    </w:p>
    <w:p w14:paraId="5641F95D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33B76">
        <w:rPr>
          <w:rFonts w:eastAsiaTheme="minorHAnsi" w:cs="Times New Roman"/>
          <w:szCs w:val="24"/>
          <w:lang w:eastAsia="en-US"/>
        </w:rPr>
        <w:t xml:space="preserve">Меркель заявила, что Европе не обойтись без российского газа [Электронный ресурс] // Агентство новостей ТАСС. Режим доступа: </w:t>
      </w:r>
      <w:hyperlink r:id="rId32" w:history="1"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https://tass.ru/ekonomika/5788660</w:t>
        </w:r>
      </w:hyperlink>
      <w:r w:rsidRPr="00633B76">
        <w:rPr>
          <w:rFonts w:eastAsiaTheme="minorHAnsi" w:cs="Times New Roman"/>
          <w:szCs w:val="24"/>
          <w:lang w:eastAsia="en-US"/>
        </w:rPr>
        <w:t xml:space="preserve"> (дата обращения: 28.04.2020)</w:t>
      </w:r>
    </w:p>
    <w:p w14:paraId="3C085255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33B76">
        <w:rPr>
          <w:rFonts w:eastAsiaTheme="minorHAnsi" w:cs="Times New Roman"/>
          <w:szCs w:val="24"/>
          <w:lang w:eastAsia="en-US"/>
        </w:rPr>
        <w:t xml:space="preserve">Меркель рассказала о расчете на «другие отношения» с новой Россией [Электронный ресурс] // Интернет-журнал РБК. Режим доступа: </w:t>
      </w:r>
      <w:hyperlink r:id="rId33" w:history="1"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https://www.rbc.ru/politics/16/02/2019/5c67dc7d9a7947f0df37aa18</w:t>
        </w:r>
      </w:hyperlink>
      <w:r w:rsidRPr="00633B76">
        <w:rPr>
          <w:rFonts w:eastAsiaTheme="minorHAnsi" w:cs="Times New Roman"/>
          <w:szCs w:val="24"/>
          <w:lang w:eastAsia="en-US"/>
        </w:rPr>
        <w:t xml:space="preserve"> (дата обращения: 20.04.2020)</w:t>
      </w:r>
    </w:p>
    <w:p w14:paraId="264B4FC9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33B76">
        <w:rPr>
          <w:rFonts w:eastAsiaTheme="minorHAnsi" w:cs="Times New Roman"/>
          <w:szCs w:val="24"/>
          <w:lang w:eastAsia="en-US"/>
        </w:rPr>
        <w:t xml:space="preserve">Отрицательные цены на американскую нефть. Как такое возможно и что это значит [Электронный ресурс] // Агентство новостей ТАСС. Режим доступа: </w:t>
      </w:r>
      <w:hyperlink r:id="rId34" w:history="1"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https://tass.ru/ekonomika/8295181</w:t>
        </w:r>
      </w:hyperlink>
      <w:r w:rsidRPr="00633B76">
        <w:rPr>
          <w:rFonts w:eastAsiaTheme="minorHAnsi" w:cs="Times New Roman"/>
          <w:szCs w:val="24"/>
          <w:lang w:eastAsia="en-US"/>
        </w:rPr>
        <w:t xml:space="preserve"> (дата обращения: 27.04.2020)</w:t>
      </w:r>
    </w:p>
    <w:p w14:paraId="3240A1BF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33B76">
        <w:rPr>
          <w:rFonts w:eastAsiaTheme="minorHAnsi" w:cs="Times New Roman"/>
          <w:szCs w:val="24"/>
          <w:lang w:eastAsia="en-US"/>
        </w:rPr>
        <w:t xml:space="preserve">Порошенко, П.А. </w:t>
      </w:r>
      <w:proofErr w:type="spellStart"/>
      <w:r w:rsidRPr="00633B76">
        <w:rPr>
          <w:rFonts w:eastAsiaTheme="minorHAnsi" w:cs="Times New Roman"/>
          <w:szCs w:val="24"/>
          <w:lang w:eastAsia="en-US"/>
        </w:rPr>
        <w:t>Nord</w:t>
      </w:r>
      <w:proofErr w:type="spellEnd"/>
      <w:r w:rsidRPr="00633B76">
        <w:rPr>
          <w:rFonts w:eastAsiaTheme="minorHAnsi" w:cs="Times New Roman"/>
          <w:szCs w:val="24"/>
          <w:lang w:eastAsia="en-US"/>
        </w:rPr>
        <w:t xml:space="preserve"> </w:t>
      </w:r>
      <w:proofErr w:type="spellStart"/>
      <w:r w:rsidRPr="00633B76">
        <w:rPr>
          <w:rFonts w:eastAsiaTheme="minorHAnsi" w:cs="Times New Roman"/>
          <w:szCs w:val="24"/>
          <w:lang w:eastAsia="en-US"/>
        </w:rPr>
        <w:t>Stream</w:t>
      </w:r>
      <w:proofErr w:type="spellEnd"/>
      <w:r w:rsidRPr="00633B76">
        <w:rPr>
          <w:rFonts w:eastAsiaTheme="minorHAnsi" w:cs="Times New Roman"/>
          <w:szCs w:val="24"/>
          <w:lang w:eastAsia="en-US"/>
        </w:rPr>
        <w:t xml:space="preserve"> 2 </w:t>
      </w:r>
      <w:proofErr w:type="spellStart"/>
      <w:r w:rsidRPr="00633B76">
        <w:rPr>
          <w:rFonts w:eastAsiaTheme="minorHAnsi" w:cs="Times New Roman"/>
          <w:szCs w:val="24"/>
          <w:lang w:eastAsia="en-US"/>
        </w:rPr>
        <w:t>füttert</w:t>
      </w:r>
      <w:proofErr w:type="spellEnd"/>
      <w:r w:rsidRPr="00633B76">
        <w:rPr>
          <w:rFonts w:eastAsiaTheme="minorHAnsi" w:cs="Times New Roman"/>
          <w:szCs w:val="24"/>
          <w:lang w:eastAsia="en-US"/>
        </w:rPr>
        <w:t xml:space="preserve"> </w:t>
      </w:r>
      <w:proofErr w:type="spellStart"/>
      <w:r w:rsidRPr="00633B76">
        <w:rPr>
          <w:rFonts w:eastAsiaTheme="minorHAnsi" w:cs="Times New Roman"/>
          <w:szCs w:val="24"/>
          <w:lang w:eastAsia="en-US"/>
        </w:rPr>
        <w:t>das</w:t>
      </w:r>
      <w:proofErr w:type="spellEnd"/>
      <w:r w:rsidRPr="00633B76">
        <w:rPr>
          <w:rFonts w:eastAsiaTheme="minorHAnsi" w:cs="Times New Roman"/>
          <w:szCs w:val="24"/>
          <w:lang w:eastAsia="en-US"/>
        </w:rPr>
        <w:t xml:space="preserve"> </w:t>
      </w:r>
      <w:proofErr w:type="spellStart"/>
      <w:r w:rsidRPr="00633B76">
        <w:rPr>
          <w:rFonts w:eastAsiaTheme="minorHAnsi" w:cs="Times New Roman"/>
          <w:szCs w:val="24"/>
          <w:lang w:eastAsia="en-US"/>
        </w:rPr>
        <w:t>Monster</w:t>
      </w:r>
      <w:proofErr w:type="spellEnd"/>
      <w:r w:rsidRPr="00633B76">
        <w:rPr>
          <w:rFonts w:eastAsiaTheme="minorHAnsi" w:cs="Times New Roman"/>
          <w:szCs w:val="24"/>
          <w:lang w:eastAsia="en-US"/>
        </w:rPr>
        <w:t xml:space="preserve"> / Порошенко, П.А. URL: </w:t>
      </w:r>
      <w:hyperlink r:id="rId35" w:history="1"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https://www.faz.net/aktuell/politik/ausland/petro-poroschenko-nord-stream-2-fuettert-das-monster-15595394.html</w:t>
        </w:r>
      </w:hyperlink>
      <w:r w:rsidRPr="00633B76">
        <w:rPr>
          <w:rFonts w:eastAsiaTheme="minorHAnsi" w:cs="Times New Roman"/>
          <w:szCs w:val="24"/>
          <w:lang w:eastAsia="en-US"/>
        </w:rPr>
        <w:t xml:space="preserve"> (дата обращения: 21.04.2020)</w:t>
      </w:r>
    </w:p>
    <w:p w14:paraId="7489DA0D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33B76">
        <w:rPr>
          <w:rFonts w:eastAsiaTheme="minorHAnsi" w:cs="Times New Roman"/>
          <w:szCs w:val="24"/>
          <w:lang w:eastAsia="en-US"/>
        </w:rPr>
        <w:t xml:space="preserve">Сечин написал Путину о рисках сделки с ОПЕК [Электронный ресурс] // Интернет-журнал РБК. Режим доступа: </w:t>
      </w:r>
      <w:hyperlink r:id="rId36" w:history="1"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https://www.rbc.ru/business/08/02/2019/5c5db5de9a79472d6f891b37</w:t>
        </w:r>
      </w:hyperlink>
      <w:r w:rsidRPr="00633B76">
        <w:rPr>
          <w:rFonts w:eastAsiaTheme="minorHAnsi" w:cs="Times New Roman"/>
          <w:szCs w:val="24"/>
          <w:lang w:eastAsia="en-US"/>
        </w:rPr>
        <w:t xml:space="preserve"> (дата обращения: 27.04.2020)</w:t>
      </w:r>
    </w:p>
    <w:p w14:paraId="677F115E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33B76">
        <w:rPr>
          <w:rFonts w:eastAsiaTheme="minorHAnsi" w:cs="Times New Roman"/>
          <w:szCs w:val="24"/>
          <w:lang w:eastAsia="en-US"/>
        </w:rPr>
        <w:lastRenderedPageBreak/>
        <w:t xml:space="preserve">США перехватили заказанные Берлином защитные маски [Электронный ресурс] // Официальный сайт телерадиокомпании </w:t>
      </w:r>
      <w:r w:rsidRPr="00633B76">
        <w:rPr>
          <w:rFonts w:eastAsiaTheme="minorHAnsi" w:cs="Times New Roman"/>
          <w:szCs w:val="24"/>
          <w:lang w:val="en-US" w:eastAsia="en-US"/>
        </w:rPr>
        <w:t>Deutsche</w:t>
      </w:r>
      <w:r w:rsidRPr="00633B76">
        <w:rPr>
          <w:rFonts w:eastAsiaTheme="minorHAnsi" w:cs="Times New Roman"/>
          <w:szCs w:val="24"/>
          <w:lang w:eastAsia="en-US"/>
        </w:rPr>
        <w:t xml:space="preserve"> </w:t>
      </w:r>
      <w:proofErr w:type="spellStart"/>
      <w:r w:rsidRPr="00633B76">
        <w:rPr>
          <w:rFonts w:eastAsiaTheme="minorHAnsi" w:cs="Times New Roman"/>
          <w:szCs w:val="24"/>
          <w:lang w:val="en-US" w:eastAsia="en-US"/>
        </w:rPr>
        <w:t>Welle</w:t>
      </w:r>
      <w:proofErr w:type="spellEnd"/>
      <w:r w:rsidRPr="00633B76">
        <w:rPr>
          <w:rFonts w:eastAsiaTheme="minorHAnsi" w:cs="Times New Roman"/>
          <w:szCs w:val="24"/>
          <w:lang w:eastAsia="en-US"/>
        </w:rPr>
        <w:t xml:space="preserve">. Режим доступа: </w:t>
      </w:r>
      <w:hyperlink r:id="rId37" w:history="1"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https://www.dw.com/ru/сша-перехватили-заказанные-берлином-защитные-маски/a-53004724</w:t>
        </w:r>
      </w:hyperlink>
      <w:r w:rsidRPr="00633B76">
        <w:rPr>
          <w:rFonts w:eastAsiaTheme="minorHAnsi" w:cs="Times New Roman"/>
          <w:szCs w:val="24"/>
          <w:lang w:eastAsia="en-US"/>
        </w:rPr>
        <w:t xml:space="preserve"> (дата обращения: 25.04.2020)</w:t>
      </w:r>
    </w:p>
    <w:p w14:paraId="10CA2BAD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33B76">
        <w:rPr>
          <w:rFonts w:eastAsiaTheme="minorHAnsi" w:cs="Times New Roman"/>
          <w:szCs w:val="24"/>
          <w:lang w:eastAsia="en-US"/>
        </w:rPr>
        <w:t xml:space="preserve">Ткаченко, С.Л. Выдержит ли экономика России «идеальный шторм»? / Ткаченко, С.Л. // Официальный сайт BITOBE </w:t>
      </w:r>
      <w:proofErr w:type="spellStart"/>
      <w:r w:rsidRPr="00633B76">
        <w:rPr>
          <w:rFonts w:eastAsiaTheme="minorHAnsi" w:cs="Times New Roman"/>
          <w:szCs w:val="24"/>
          <w:lang w:eastAsia="en-US"/>
        </w:rPr>
        <w:t>Consulting</w:t>
      </w:r>
      <w:proofErr w:type="spellEnd"/>
      <w:r w:rsidRPr="00633B76">
        <w:rPr>
          <w:rFonts w:eastAsiaTheme="minorHAnsi" w:cs="Times New Roman"/>
          <w:szCs w:val="24"/>
          <w:lang w:eastAsia="en-US"/>
        </w:rPr>
        <w:t xml:space="preserve"> </w:t>
      </w:r>
      <w:proofErr w:type="spellStart"/>
      <w:r w:rsidRPr="00633B76">
        <w:rPr>
          <w:rFonts w:eastAsiaTheme="minorHAnsi" w:cs="Times New Roman"/>
          <w:szCs w:val="24"/>
          <w:lang w:eastAsia="en-US"/>
        </w:rPr>
        <w:t>group</w:t>
      </w:r>
      <w:proofErr w:type="spellEnd"/>
      <w:r w:rsidRPr="00633B76">
        <w:rPr>
          <w:rFonts w:eastAsiaTheme="minorHAnsi" w:cs="Times New Roman"/>
          <w:szCs w:val="24"/>
          <w:lang w:eastAsia="en-US"/>
        </w:rPr>
        <w:t xml:space="preserve"> [Электронный ресурс]. Режим доступа: </w:t>
      </w:r>
      <w:hyperlink r:id="rId38" w:history="1"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https://www.bitobe.ru/news/2559/?fbclid=IwAR3gaFiiOVmcxHgq_TPB6Zd6Fmt0IMkUWaYoFx_zvxaE6dSBGhxuINRf2Mg</w:t>
        </w:r>
      </w:hyperlink>
      <w:r w:rsidRPr="00633B76">
        <w:rPr>
          <w:rFonts w:eastAsiaTheme="minorHAnsi" w:cs="Times New Roman"/>
          <w:szCs w:val="24"/>
          <w:lang w:eastAsia="en-US"/>
        </w:rPr>
        <w:t xml:space="preserve"> (дата обращения 28.04.2020)</w:t>
      </w:r>
    </w:p>
    <w:p w14:paraId="36FA4E3C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33B76">
        <w:rPr>
          <w:rFonts w:eastAsiaTheme="minorHAnsi" w:cs="Times New Roman"/>
          <w:szCs w:val="24"/>
          <w:lang w:eastAsia="en-US"/>
        </w:rPr>
        <w:t xml:space="preserve">Экономика РФ: уточнение прогноза до 2024 года [Электронный ресурс] // Официальный сайт АКРА. Режим доступа: </w:t>
      </w:r>
      <w:hyperlink r:id="rId39" w:history="1"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https://www.acra-ratings.ru/research/1769</w:t>
        </w:r>
      </w:hyperlink>
      <w:r w:rsidRPr="00633B76">
        <w:rPr>
          <w:rFonts w:eastAsiaTheme="minorHAnsi" w:cs="Times New Roman"/>
          <w:szCs w:val="24"/>
          <w:lang w:eastAsia="en-US"/>
        </w:rPr>
        <w:t xml:space="preserve"> (дата обращения: 28.04.2020)</w:t>
      </w:r>
    </w:p>
    <w:p w14:paraId="3B982B17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33B76">
        <w:rPr>
          <w:rFonts w:eastAsiaTheme="minorHAnsi" w:cs="Times New Roman"/>
          <w:szCs w:val="24"/>
          <w:lang w:val="en-US" w:eastAsia="en-US"/>
        </w:rPr>
        <w:t xml:space="preserve">Brooke Sutherland. Maybe Global Supply Chains Were a Bad Idea / Brooke Sutherland. </w:t>
      </w:r>
      <w:r w:rsidRPr="00633B76">
        <w:rPr>
          <w:rFonts w:eastAsiaTheme="minorHAnsi" w:cs="Times New Roman"/>
          <w:szCs w:val="24"/>
          <w:lang w:eastAsia="en-US"/>
        </w:rPr>
        <w:t xml:space="preserve">URL: </w:t>
      </w:r>
      <w:hyperlink r:id="rId40" w:history="1"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https://www.bloomberg.com/opinion/articles/2020-02-21/coronavirus-forces-a-rethinking-of-supply-chains</w:t>
        </w:r>
      </w:hyperlink>
      <w:r w:rsidRPr="00633B76">
        <w:rPr>
          <w:rFonts w:eastAsiaTheme="minorHAnsi" w:cs="Times New Roman"/>
          <w:szCs w:val="24"/>
          <w:lang w:eastAsia="en-US"/>
        </w:rPr>
        <w:t xml:space="preserve"> (дата обращения 28.04.2020)</w:t>
      </w:r>
    </w:p>
    <w:p w14:paraId="57B9DC48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33B76">
        <w:rPr>
          <w:rFonts w:eastAsiaTheme="minorHAnsi" w:cs="Times New Roman"/>
          <w:szCs w:val="24"/>
          <w:lang w:val="en-US" w:eastAsia="en-US"/>
        </w:rPr>
        <w:t>Coronavirus</w:t>
      </w:r>
      <w:r w:rsidRPr="00633B76">
        <w:rPr>
          <w:rFonts w:eastAsiaTheme="minorHAnsi" w:cs="Times New Roman"/>
          <w:szCs w:val="24"/>
          <w:lang w:eastAsia="en-US"/>
        </w:rPr>
        <w:t xml:space="preserve"> </w:t>
      </w:r>
      <w:r w:rsidRPr="00633B76">
        <w:rPr>
          <w:rFonts w:eastAsiaTheme="minorHAnsi" w:cs="Times New Roman"/>
          <w:szCs w:val="24"/>
          <w:lang w:val="en-US" w:eastAsia="en-US"/>
        </w:rPr>
        <w:t>disease</w:t>
      </w:r>
      <w:r w:rsidRPr="00633B76">
        <w:rPr>
          <w:rFonts w:eastAsiaTheme="minorHAnsi" w:cs="Times New Roman"/>
          <w:szCs w:val="24"/>
          <w:lang w:eastAsia="en-US"/>
        </w:rPr>
        <w:t xml:space="preserve"> </w:t>
      </w:r>
      <w:r w:rsidRPr="00633B76">
        <w:rPr>
          <w:rFonts w:eastAsiaTheme="minorHAnsi" w:cs="Times New Roman"/>
          <w:szCs w:val="24"/>
          <w:lang w:val="en-US" w:eastAsia="en-US"/>
        </w:rPr>
        <w:t>situation</w:t>
      </w:r>
      <w:r w:rsidRPr="00633B76">
        <w:rPr>
          <w:rFonts w:eastAsiaTheme="minorHAnsi" w:cs="Times New Roman"/>
          <w:szCs w:val="24"/>
          <w:lang w:eastAsia="en-US"/>
        </w:rPr>
        <w:t xml:space="preserve"> </w:t>
      </w:r>
      <w:r w:rsidRPr="00633B76">
        <w:rPr>
          <w:rFonts w:eastAsiaTheme="minorHAnsi" w:cs="Times New Roman"/>
          <w:szCs w:val="24"/>
          <w:lang w:val="en-US" w:eastAsia="en-US"/>
        </w:rPr>
        <w:t>reports</w:t>
      </w:r>
      <w:r w:rsidRPr="00633B76">
        <w:rPr>
          <w:rFonts w:eastAsiaTheme="minorHAnsi" w:cs="Times New Roman"/>
          <w:szCs w:val="24"/>
          <w:lang w:eastAsia="en-US"/>
        </w:rPr>
        <w:t xml:space="preserve"> [</w:t>
      </w:r>
      <w:r w:rsidRPr="00633B76">
        <w:rPr>
          <w:rFonts w:eastAsiaTheme="minorHAnsi" w:cs="Times New Roman"/>
          <w:szCs w:val="24"/>
          <w:lang w:val="en-US" w:eastAsia="en-US"/>
        </w:rPr>
        <w:t>Electronic</w:t>
      </w:r>
      <w:r w:rsidRPr="00633B76">
        <w:rPr>
          <w:rFonts w:eastAsiaTheme="minorHAnsi" w:cs="Times New Roman"/>
          <w:szCs w:val="24"/>
          <w:lang w:eastAsia="en-US"/>
        </w:rPr>
        <w:t xml:space="preserve"> </w:t>
      </w:r>
      <w:r w:rsidRPr="00633B76">
        <w:rPr>
          <w:rFonts w:eastAsiaTheme="minorHAnsi" w:cs="Times New Roman"/>
          <w:szCs w:val="24"/>
          <w:lang w:val="en-US" w:eastAsia="en-US"/>
        </w:rPr>
        <w:t>resource</w:t>
      </w:r>
      <w:r w:rsidRPr="00633B76">
        <w:rPr>
          <w:rFonts w:eastAsiaTheme="minorHAnsi" w:cs="Times New Roman"/>
          <w:szCs w:val="24"/>
          <w:lang w:eastAsia="en-US"/>
        </w:rPr>
        <w:t xml:space="preserve">] // Официальный сайт Всемирной организации здравоохранения. Режим доступа: </w:t>
      </w:r>
      <w:hyperlink r:id="rId41" w:history="1"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https://www.who.int/emergencies/diseases/novel-coronavirus-2019/situation-reports</w:t>
        </w:r>
      </w:hyperlink>
      <w:r w:rsidRPr="00633B76">
        <w:rPr>
          <w:rFonts w:eastAsiaTheme="minorHAnsi" w:cs="Times New Roman"/>
          <w:szCs w:val="24"/>
          <w:lang w:eastAsia="en-US"/>
        </w:rPr>
        <w:t xml:space="preserve"> (дата обращения: 25.04.2020)</w:t>
      </w:r>
    </w:p>
    <w:p w14:paraId="1044A893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33B76">
        <w:rPr>
          <w:rFonts w:eastAsiaTheme="minorHAnsi" w:cs="Times New Roman"/>
          <w:szCs w:val="24"/>
          <w:lang w:val="en-US" w:eastAsia="en-US"/>
        </w:rPr>
        <w:t xml:space="preserve">Gas Exporting Countries Forum [Electronic resource] // </w:t>
      </w:r>
      <w:r w:rsidRPr="00633B76">
        <w:rPr>
          <w:rFonts w:eastAsiaTheme="minorHAnsi" w:cs="Times New Roman"/>
          <w:szCs w:val="24"/>
          <w:lang w:eastAsia="en-US"/>
        </w:rPr>
        <w:t>Официальный</w:t>
      </w:r>
      <w:r w:rsidRPr="00633B76">
        <w:rPr>
          <w:rFonts w:eastAsiaTheme="minorHAnsi" w:cs="Times New Roman"/>
          <w:szCs w:val="24"/>
          <w:lang w:val="en-US" w:eastAsia="en-US"/>
        </w:rPr>
        <w:t xml:space="preserve"> </w:t>
      </w:r>
      <w:r w:rsidRPr="00633B76">
        <w:rPr>
          <w:rFonts w:eastAsiaTheme="minorHAnsi" w:cs="Times New Roman"/>
          <w:szCs w:val="24"/>
          <w:lang w:eastAsia="en-US"/>
        </w:rPr>
        <w:t>сайт</w:t>
      </w:r>
      <w:r w:rsidRPr="00633B76">
        <w:rPr>
          <w:rFonts w:eastAsiaTheme="minorHAnsi" w:cs="Times New Roman"/>
          <w:szCs w:val="24"/>
          <w:lang w:val="en-US" w:eastAsia="en-US"/>
        </w:rPr>
        <w:t xml:space="preserve"> </w:t>
      </w:r>
      <w:r w:rsidRPr="00633B76">
        <w:rPr>
          <w:rFonts w:eastAsiaTheme="minorHAnsi" w:cs="Times New Roman"/>
          <w:szCs w:val="24"/>
          <w:lang w:eastAsia="en-US"/>
        </w:rPr>
        <w:t>Форума</w:t>
      </w:r>
      <w:r w:rsidRPr="00633B76">
        <w:rPr>
          <w:rFonts w:eastAsiaTheme="minorHAnsi" w:cs="Times New Roman"/>
          <w:szCs w:val="24"/>
          <w:lang w:val="en-US" w:eastAsia="en-US"/>
        </w:rPr>
        <w:t xml:space="preserve"> </w:t>
      </w:r>
      <w:r w:rsidRPr="00633B76">
        <w:rPr>
          <w:rFonts w:eastAsiaTheme="minorHAnsi" w:cs="Times New Roman"/>
          <w:szCs w:val="24"/>
          <w:lang w:eastAsia="en-US"/>
        </w:rPr>
        <w:t>стран</w:t>
      </w:r>
      <w:r w:rsidRPr="00633B76">
        <w:rPr>
          <w:rFonts w:eastAsiaTheme="minorHAnsi" w:cs="Times New Roman"/>
          <w:szCs w:val="24"/>
          <w:lang w:val="en-US" w:eastAsia="en-US"/>
        </w:rPr>
        <w:t xml:space="preserve"> – </w:t>
      </w:r>
      <w:r w:rsidRPr="00633B76">
        <w:rPr>
          <w:rFonts w:eastAsiaTheme="minorHAnsi" w:cs="Times New Roman"/>
          <w:szCs w:val="24"/>
          <w:lang w:eastAsia="en-US"/>
        </w:rPr>
        <w:t>экспортеров</w:t>
      </w:r>
      <w:r w:rsidRPr="00633B76">
        <w:rPr>
          <w:rFonts w:eastAsiaTheme="minorHAnsi" w:cs="Times New Roman"/>
          <w:szCs w:val="24"/>
          <w:lang w:val="en-US" w:eastAsia="en-US"/>
        </w:rPr>
        <w:t xml:space="preserve"> </w:t>
      </w:r>
      <w:r w:rsidRPr="00633B76">
        <w:rPr>
          <w:rFonts w:eastAsiaTheme="minorHAnsi" w:cs="Times New Roman"/>
          <w:szCs w:val="24"/>
          <w:lang w:eastAsia="en-US"/>
        </w:rPr>
        <w:t>газа</w:t>
      </w:r>
      <w:r w:rsidRPr="00633B76">
        <w:rPr>
          <w:rFonts w:eastAsiaTheme="minorHAnsi" w:cs="Times New Roman"/>
          <w:szCs w:val="24"/>
          <w:lang w:val="en-US" w:eastAsia="en-US"/>
        </w:rPr>
        <w:t xml:space="preserve">. </w:t>
      </w:r>
      <w:r w:rsidRPr="00633B76">
        <w:rPr>
          <w:rFonts w:eastAsiaTheme="minorHAnsi" w:cs="Times New Roman"/>
          <w:szCs w:val="24"/>
          <w:lang w:eastAsia="en-US"/>
        </w:rPr>
        <w:t xml:space="preserve">Режим доступа: </w:t>
      </w:r>
      <w:hyperlink r:id="rId42" w:history="1"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https://www.gecf.org/about/overview.aspx</w:t>
        </w:r>
      </w:hyperlink>
      <w:r w:rsidRPr="00633B76">
        <w:rPr>
          <w:rFonts w:eastAsiaTheme="minorHAnsi" w:cs="Times New Roman"/>
          <w:szCs w:val="24"/>
          <w:lang w:eastAsia="en-US"/>
        </w:rPr>
        <w:t xml:space="preserve"> (дата обращения 07.03.2020)</w:t>
      </w:r>
    </w:p>
    <w:p w14:paraId="3503D0E4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33B76">
        <w:rPr>
          <w:rFonts w:eastAsiaTheme="minorHAnsi" w:cs="Times New Roman"/>
          <w:szCs w:val="24"/>
          <w:lang w:val="en-US" w:eastAsia="en-US"/>
        </w:rPr>
        <w:t xml:space="preserve">Global 2000. The World’s largest public companies [Electronic resource] // </w:t>
      </w:r>
      <w:r w:rsidRPr="00633B76">
        <w:rPr>
          <w:rFonts w:eastAsiaTheme="minorHAnsi" w:cs="Times New Roman"/>
          <w:szCs w:val="24"/>
          <w:lang w:eastAsia="en-US"/>
        </w:rPr>
        <w:t>Официальный</w:t>
      </w:r>
      <w:r w:rsidRPr="00633B76">
        <w:rPr>
          <w:rFonts w:eastAsiaTheme="minorHAnsi" w:cs="Times New Roman"/>
          <w:szCs w:val="24"/>
          <w:lang w:val="en-US" w:eastAsia="en-US"/>
        </w:rPr>
        <w:t xml:space="preserve"> </w:t>
      </w:r>
      <w:r w:rsidRPr="00633B76">
        <w:rPr>
          <w:rFonts w:eastAsiaTheme="minorHAnsi" w:cs="Times New Roman"/>
          <w:szCs w:val="24"/>
          <w:lang w:eastAsia="en-US"/>
        </w:rPr>
        <w:t>сайт</w:t>
      </w:r>
      <w:r w:rsidRPr="00633B76">
        <w:rPr>
          <w:rFonts w:eastAsiaTheme="minorHAnsi" w:cs="Times New Roman"/>
          <w:szCs w:val="24"/>
          <w:lang w:val="en-US" w:eastAsia="en-US"/>
        </w:rPr>
        <w:t xml:space="preserve"> </w:t>
      </w:r>
      <w:r w:rsidRPr="00633B76">
        <w:rPr>
          <w:rFonts w:eastAsiaTheme="minorHAnsi" w:cs="Times New Roman"/>
          <w:szCs w:val="24"/>
          <w:lang w:eastAsia="en-US"/>
        </w:rPr>
        <w:t>интернет</w:t>
      </w:r>
      <w:r w:rsidRPr="00633B76">
        <w:rPr>
          <w:rFonts w:eastAsiaTheme="minorHAnsi" w:cs="Times New Roman"/>
          <w:szCs w:val="24"/>
          <w:lang w:val="en-US" w:eastAsia="en-US"/>
        </w:rPr>
        <w:t>-</w:t>
      </w:r>
      <w:r w:rsidRPr="00633B76">
        <w:rPr>
          <w:rFonts w:eastAsiaTheme="minorHAnsi" w:cs="Times New Roman"/>
          <w:szCs w:val="24"/>
          <w:lang w:eastAsia="en-US"/>
        </w:rPr>
        <w:t>журнала</w:t>
      </w:r>
      <w:r w:rsidRPr="00633B76">
        <w:rPr>
          <w:rFonts w:eastAsiaTheme="minorHAnsi" w:cs="Times New Roman"/>
          <w:szCs w:val="24"/>
          <w:lang w:val="en-US" w:eastAsia="en-US"/>
        </w:rPr>
        <w:t xml:space="preserve"> «Forbes». </w:t>
      </w:r>
      <w:r w:rsidRPr="00633B76">
        <w:rPr>
          <w:rFonts w:eastAsiaTheme="minorHAnsi" w:cs="Times New Roman"/>
          <w:szCs w:val="24"/>
          <w:lang w:eastAsia="en-US"/>
        </w:rPr>
        <w:t xml:space="preserve">Режим доступа: </w:t>
      </w:r>
      <w:hyperlink r:id="rId43" w:anchor="5e6f117335d8" w:history="1"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https://www.forbes.com/global2000/#5e6f117335d8</w:t>
        </w:r>
      </w:hyperlink>
      <w:r w:rsidRPr="00633B76">
        <w:rPr>
          <w:rFonts w:eastAsiaTheme="minorHAnsi" w:cs="Times New Roman"/>
          <w:szCs w:val="24"/>
          <w:lang w:eastAsia="en-US"/>
        </w:rPr>
        <w:t xml:space="preserve"> (дата обращения 08.03.2020)</w:t>
      </w:r>
    </w:p>
    <w:p w14:paraId="6E718B39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proofErr w:type="spellStart"/>
      <w:r w:rsidRPr="00633B76">
        <w:rPr>
          <w:rFonts w:eastAsiaTheme="minorHAnsi" w:cs="Times New Roman"/>
          <w:szCs w:val="24"/>
          <w:lang w:val="en-US" w:eastAsia="en-US"/>
        </w:rPr>
        <w:t>Huileng</w:t>
      </w:r>
      <w:proofErr w:type="spellEnd"/>
      <w:r w:rsidRPr="00633B76">
        <w:rPr>
          <w:rFonts w:eastAsiaTheme="minorHAnsi" w:cs="Times New Roman"/>
          <w:szCs w:val="24"/>
          <w:lang w:val="en-US" w:eastAsia="en-US"/>
        </w:rPr>
        <w:t xml:space="preserve"> Tan. There will be a ‘massive’ shuffling of supply chains globally after coronavirus shutdowns / </w:t>
      </w:r>
      <w:proofErr w:type="spellStart"/>
      <w:r w:rsidRPr="00633B76">
        <w:rPr>
          <w:rFonts w:eastAsiaTheme="minorHAnsi" w:cs="Times New Roman"/>
          <w:szCs w:val="24"/>
          <w:lang w:val="en-US" w:eastAsia="en-US"/>
        </w:rPr>
        <w:t>Huileng</w:t>
      </w:r>
      <w:proofErr w:type="spellEnd"/>
      <w:r w:rsidRPr="00633B76">
        <w:rPr>
          <w:rFonts w:eastAsiaTheme="minorHAnsi" w:cs="Times New Roman"/>
          <w:szCs w:val="24"/>
          <w:lang w:val="en-US" w:eastAsia="en-US"/>
        </w:rPr>
        <w:t xml:space="preserve"> Tan. </w:t>
      </w:r>
      <w:r w:rsidRPr="00633B76">
        <w:rPr>
          <w:rFonts w:eastAsiaTheme="minorHAnsi" w:cs="Times New Roman"/>
          <w:szCs w:val="24"/>
          <w:lang w:eastAsia="en-US"/>
        </w:rPr>
        <w:t xml:space="preserve">URL: </w:t>
      </w:r>
      <w:hyperlink r:id="rId44" w:history="1"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https://www.cnbc.com/2020/03/20/coronavirus-shocks-will-lead-to-massive-global-supply-chain-shuffle.html</w:t>
        </w:r>
      </w:hyperlink>
      <w:r w:rsidRPr="00633B76">
        <w:rPr>
          <w:rFonts w:eastAsiaTheme="minorHAnsi" w:cs="Times New Roman"/>
          <w:szCs w:val="24"/>
          <w:lang w:eastAsia="en-US"/>
        </w:rPr>
        <w:t xml:space="preserve"> (дата обращения 28.04.2020)</w:t>
      </w:r>
    </w:p>
    <w:p w14:paraId="14F70617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33B76">
        <w:rPr>
          <w:rFonts w:eastAsiaTheme="minorHAnsi" w:cs="Times New Roman"/>
          <w:szCs w:val="24"/>
          <w:lang w:val="en-US" w:eastAsia="en-US"/>
        </w:rPr>
        <w:t xml:space="preserve">IEA World Energy Balances 2019 [Electronic resource] // </w:t>
      </w:r>
      <w:r w:rsidRPr="00633B76">
        <w:rPr>
          <w:rFonts w:eastAsiaTheme="minorHAnsi" w:cs="Times New Roman"/>
          <w:szCs w:val="24"/>
          <w:lang w:eastAsia="en-US"/>
        </w:rPr>
        <w:t>Официальный</w:t>
      </w:r>
      <w:r w:rsidRPr="00633B76">
        <w:rPr>
          <w:rFonts w:eastAsiaTheme="minorHAnsi" w:cs="Times New Roman"/>
          <w:szCs w:val="24"/>
          <w:lang w:val="en-US" w:eastAsia="en-US"/>
        </w:rPr>
        <w:t xml:space="preserve"> </w:t>
      </w:r>
      <w:r w:rsidRPr="00633B76">
        <w:rPr>
          <w:rFonts w:eastAsiaTheme="minorHAnsi" w:cs="Times New Roman"/>
          <w:szCs w:val="24"/>
          <w:lang w:eastAsia="en-US"/>
        </w:rPr>
        <w:t>сайт</w:t>
      </w:r>
      <w:r w:rsidRPr="00633B76">
        <w:rPr>
          <w:rFonts w:eastAsiaTheme="minorHAnsi" w:cs="Times New Roman"/>
          <w:szCs w:val="24"/>
          <w:lang w:val="en-US" w:eastAsia="en-US"/>
        </w:rPr>
        <w:t xml:space="preserve"> </w:t>
      </w:r>
      <w:r w:rsidRPr="00633B76">
        <w:rPr>
          <w:rFonts w:eastAsiaTheme="minorHAnsi" w:cs="Times New Roman"/>
          <w:szCs w:val="24"/>
          <w:lang w:eastAsia="en-US"/>
        </w:rPr>
        <w:t>МЭА</w:t>
      </w:r>
      <w:r w:rsidRPr="00633B76">
        <w:rPr>
          <w:rFonts w:eastAsiaTheme="minorHAnsi" w:cs="Times New Roman"/>
          <w:szCs w:val="24"/>
          <w:lang w:val="en-US" w:eastAsia="en-US"/>
        </w:rPr>
        <w:t xml:space="preserve">. </w:t>
      </w:r>
      <w:r w:rsidRPr="00633B76">
        <w:rPr>
          <w:rFonts w:eastAsiaTheme="minorHAnsi" w:cs="Times New Roman"/>
          <w:szCs w:val="24"/>
          <w:lang w:eastAsia="en-US"/>
        </w:rPr>
        <w:t xml:space="preserve">Режим доступа: </w:t>
      </w:r>
      <w:hyperlink r:id="rId45" w:history="1"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val="en-US" w:eastAsia="en-US"/>
          </w:rPr>
          <w:t>https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://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val="en-US" w:eastAsia="en-US"/>
          </w:rPr>
          <w:t>www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.</w:t>
        </w:r>
        <w:proofErr w:type="spellStart"/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val="en-US" w:eastAsia="en-US"/>
          </w:rPr>
          <w:t>iea</w:t>
        </w:r>
        <w:proofErr w:type="spellEnd"/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.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val="en-US" w:eastAsia="en-US"/>
          </w:rPr>
          <w:t>org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/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val="en-US" w:eastAsia="en-US"/>
          </w:rPr>
          <w:t>subscribe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-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val="en-US" w:eastAsia="en-US"/>
          </w:rPr>
          <w:t>to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-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val="en-US" w:eastAsia="en-US"/>
          </w:rPr>
          <w:t>data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-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val="en-US" w:eastAsia="en-US"/>
          </w:rPr>
          <w:t>services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/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val="en-US" w:eastAsia="en-US"/>
          </w:rPr>
          <w:t>world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-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val="en-US" w:eastAsia="en-US"/>
          </w:rPr>
          <w:t>energy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-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val="en-US" w:eastAsia="en-US"/>
          </w:rPr>
          <w:t>balances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-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val="en-US" w:eastAsia="en-US"/>
          </w:rPr>
          <w:t>and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-</w:t>
        </w:r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val="en-US" w:eastAsia="en-US"/>
          </w:rPr>
          <w:t>statistics</w:t>
        </w:r>
      </w:hyperlink>
      <w:r w:rsidRPr="00633B76">
        <w:rPr>
          <w:rFonts w:eastAsiaTheme="minorHAnsi" w:cs="Times New Roman"/>
          <w:szCs w:val="24"/>
          <w:lang w:eastAsia="en-US"/>
        </w:rPr>
        <w:t xml:space="preserve"> (дата обращения: 14.03.2020)</w:t>
      </w:r>
    </w:p>
    <w:p w14:paraId="63B167E9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33B76">
        <w:rPr>
          <w:rFonts w:eastAsiaTheme="minorHAnsi" w:cs="Times New Roman"/>
          <w:szCs w:val="24"/>
          <w:lang w:val="en-US" w:eastAsia="en-US"/>
        </w:rPr>
        <w:t>International</w:t>
      </w:r>
      <w:r w:rsidRPr="00633B76">
        <w:rPr>
          <w:rFonts w:eastAsiaTheme="minorHAnsi" w:cs="Times New Roman"/>
          <w:szCs w:val="24"/>
          <w:lang w:eastAsia="en-US"/>
        </w:rPr>
        <w:t xml:space="preserve"> </w:t>
      </w:r>
      <w:r w:rsidRPr="00633B76">
        <w:rPr>
          <w:rFonts w:eastAsiaTheme="minorHAnsi" w:cs="Times New Roman"/>
          <w:szCs w:val="24"/>
          <w:lang w:val="en-US" w:eastAsia="en-US"/>
        </w:rPr>
        <w:t>Energy</w:t>
      </w:r>
      <w:r w:rsidRPr="00633B76">
        <w:rPr>
          <w:rFonts w:eastAsiaTheme="minorHAnsi" w:cs="Times New Roman"/>
          <w:szCs w:val="24"/>
          <w:lang w:eastAsia="en-US"/>
        </w:rPr>
        <w:t xml:space="preserve"> </w:t>
      </w:r>
      <w:r w:rsidRPr="00633B76">
        <w:rPr>
          <w:rFonts w:eastAsiaTheme="minorHAnsi" w:cs="Times New Roman"/>
          <w:szCs w:val="24"/>
          <w:lang w:val="en-US" w:eastAsia="en-US"/>
        </w:rPr>
        <w:t>Agency</w:t>
      </w:r>
      <w:r w:rsidRPr="00633B76">
        <w:rPr>
          <w:rFonts w:eastAsiaTheme="minorHAnsi" w:cs="Times New Roman"/>
          <w:szCs w:val="24"/>
          <w:lang w:eastAsia="en-US"/>
        </w:rPr>
        <w:t xml:space="preserve"> [</w:t>
      </w:r>
      <w:r w:rsidRPr="00633B76">
        <w:rPr>
          <w:rFonts w:eastAsiaTheme="minorHAnsi" w:cs="Times New Roman"/>
          <w:szCs w:val="24"/>
          <w:lang w:val="en-US" w:eastAsia="en-US"/>
        </w:rPr>
        <w:t>Electronic</w:t>
      </w:r>
      <w:r w:rsidRPr="00633B76">
        <w:rPr>
          <w:rFonts w:eastAsiaTheme="minorHAnsi" w:cs="Times New Roman"/>
          <w:szCs w:val="24"/>
          <w:lang w:eastAsia="en-US"/>
        </w:rPr>
        <w:t xml:space="preserve"> </w:t>
      </w:r>
      <w:r w:rsidRPr="00633B76">
        <w:rPr>
          <w:rFonts w:eastAsiaTheme="minorHAnsi" w:cs="Times New Roman"/>
          <w:szCs w:val="24"/>
          <w:lang w:val="en-US" w:eastAsia="en-US"/>
        </w:rPr>
        <w:t>resource</w:t>
      </w:r>
      <w:r w:rsidRPr="00633B76">
        <w:rPr>
          <w:rFonts w:eastAsiaTheme="minorHAnsi" w:cs="Times New Roman"/>
          <w:szCs w:val="24"/>
          <w:lang w:eastAsia="en-US"/>
        </w:rPr>
        <w:t xml:space="preserve">] // Официальный сайт Международного энергетического агентства. Режим доступа: </w:t>
      </w:r>
      <w:hyperlink r:id="rId46" w:history="1"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https://www.iea.org/about/mission</w:t>
        </w:r>
      </w:hyperlink>
      <w:r w:rsidRPr="00633B76">
        <w:rPr>
          <w:rFonts w:eastAsiaTheme="minorHAnsi" w:cs="Times New Roman"/>
          <w:szCs w:val="24"/>
          <w:lang w:eastAsia="en-US"/>
        </w:rPr>
        <w:t xml:space="preserve"> (дата обращения 07.03.2020)</w:t>
      </w:r>
    </w:p>
    <w:p w14:paraId="27EC4165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33B76">
        <w:rPr>
          <w:rFonts w:eastAsiaTheme="minorHAnsi" w:cs="Times New Roman"/>
          <w:szCs w:val="24"/>
          <w:lang w:val="en-US" w:eastAsia="en-US"/>
        </w:rPr>
        <w:t>International</w:t>
      </w:r>
      <w:r w:rsidRPr="00633B76">
        <w:rPr>
          <w:rFonts w:eastAsiaTheme="minorHAnsi" w:cs="Times New Roman"/>
          <w:szCs w:val="24"/>
          <w:lang w:eastAsia="en-US"/>
        </w:rPr>
        <w:t xml:space="preserve"> </w:t>
      </w:r>
      <w:r w:rsidRPr="00633B76">
        <w:rPr>
          <w:rFonts w:eastAsiaTheme="minorHAnsi" w:cs="Times New Roman"/>
          <w:szCs w:val="24"/>
          <w:lang w:val="en-US" w:eastAsia="en-US"/>
        </w:rPr>
        <w:t>Energy</w:t>
      </w:r>
      <w:r w:rsidRPr="00633B76">
        <w:rPr>
          <w:rFonts w:eastAsiaTheme="minorHAnsi" w:cs="Times New Roman"/>
          <w:szCs w:val="24"/>
          <w:lang w:eastAsia="en-US"/>
        </w:rPr>
        <w:t xml:space="preserve"> </w:t>
      </w:r>
      <w:r w:rsidRPr="00633B76">
        <w:rPr>
          <w:rFonts w:eastAsiaTheme="minorHAnsi" w:cs="Times New Roman"/>
          <w:szCs w:val="24"/>
          <w:lang w:val="en-US" w:eastAsia="en-US"/>
        </w:rPr>
        <w:t>Forum</w:t>
      </w:r>
      <w:r w:rsidRPr="00633B76">
        <w:rPr>
          <w:rFonts w:eastAsiaTheme="minorHAnsi" w:cs="Times New Roman"/>
          <w:szCs w:val="24"/>
          <w:lang w:eastAsia="en-US"/>
        </w:rPr>
        <w:t xml:space="preserve"> [</w:t>
      </w:r>
      <w:r w:rsidRPr="00633B76">
        <w:rPr>
          <w:rFonts w:eastAsiaTheme="minorHAnsi" w:cs="Times New Roman"/>
          <w:szCs w:val="24"/>
          <w:lang w:val="en-US" w:eastAsia="en-US"/>
        </w:rPr>
        <w:t>Electronic</w:t>
      </w:r>
      <w:r w:rsidRPr="00633B76">
        <w:rPr>
          <w:rFonts w:eastAsiaTheme="minorHAnsi" w:cs="Times New Roman"/>
          <w:szCs w:val="24"/>
          <w:lang w:eastAsia="en-US"/>
        </w:rPr>
        <w:t xml:space="preserve"> </w:t>
      </w:r>
      <w:r w:rsidRPr="00633B76">
        <w:rPr>
          <w:rFonts w:eastAsiaTheme="minorHAnsi" w:cs="Times New Roman"/>
          <w:szCs w:val="24"/>
          <w:lang w:val="en-US" w:eastAsia="en-US"/>
        </w:rPr>
        <w:t>resource</w:t>
      </w:r>
      <w:r w:rsidRPr="00633B76">
        <w:rPr>
          <w:rFonts w:eastAsiaTheme="minorHAnsi" w:cs="Times New Roman"/>
          <w:szCs w:val="24"/>
          <w:lang w:eastAsia="en-US"/>
        </w:rPr>
        <w:t xml:space="preserve">] // Официальный сайт Международного энергетического форума. Режим доступа: </w:t>
      </w:r>
      <w:hyperlink r:id="rId47" w:history="1"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https://www.ief.org/about-ief/history.aspx</w:t>
        </w:r>
      </w:hyperlink>
      <w:r w:rsidRPr="00633B76">
        <w:rPr>
          <w:rFonts w:eastAsiaTheme="minorHAnsi" w:cs="Times New Roman"/>
          <w:szCs w:val="24"/>
          <w:lang w:eastAsia="en-US"/>
        </w:rPr>
        <w:t xml:space="preserve"> (дата обращения 07.03.2020)</w:t>
      </w:r>
    </w:p>
    <w:p w14:paraId="2D957AD0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33B76">
        <w:rPr>
          <w:rFonts w:eastAsiaTheme="minorHAnsi" w:cs="Times New Roman"/>
          <w:szCs w:val="24"/>
          <w:lang w:val="en-US" w:eastAsia="en-US"/>
        </w:rPr>
        <w:t xml:space="preserve">Joint </w:t>
      </w:r>
      <w:proofErr w:type="spellStart"/>
      <w:r w:rsidRPr="00633B76">
        <w:rPr>
          <w:rFonts w:eastAsiaTheme="minorHAnsi" w:cs="Times New Roman"/>
          <w:szCs w:val="24"/>
          <w:lang w:val="en-US" w:eastAsia="en-US"/>
        </w:rPr>
        <w:t>Organisations</w:t>
      </w:r>
      <w:proofErr w:type="spellEnd"/>
      <w:r w:rsidRPr="00633B76">
        <w:rPr>
          <w:rFonts w:eastAsiaTheme="minorHAnsi" w:cs="Times New Roman"/>
          <w:szCs w:val="24"/>
          <w:lang w:val="en-US" w:eastAsia="en-US"/>
        </w:rPr>
        <w:t xml:space="preserve"> Data Initiative [Electronic resource] // </w:t>
      </w:r>
      <w:r w:rsidRPr="00633B76">
        <w:rPr>
          <w:rFonts w:eastAsiaTheme="minorHAnsi" w:cs="Times New Roman"/>
          <w:szCs w:val="24"/>
          <w:lang w:eastAsia="en-US"/>
        </w:rPr>
        <w:t>Официальный</w:t>
      </w:r>
      <w:r w:rsidRPr="00633B76">
        <w:rPr>
          <w:rFonts w:eastAsiaTheme="minorHAnsi" w:cs="Times New Roman"/>
          <w:szCs w:val="24"/>
          <w:lang w:val="en-US" w:eastAsia="en-US"/>
        </w:rPr>
        <w:t xml:space="preserve"> </w:t>
      </w:r>
      <w:r w:rsidRPr="00633B76">
        <w:rPr>
          <w:rFonts w:eastAsiaTheme="minorHAnsi" w:cs="Times New Roman"/>
          <w:szCs w:val="24"/>
          <w:lang w:eastAsia="en-US"/>
        </w:rPr>
        <w:t>сайт</w:t>
      </w:r>
      <w:r w:rsidRPr="00633B76">
        <w:rPr>
          <w:rFonts w:eastAsiaTheme="minorHAnsi" w:cs="Times New Roman"/>
          <w:szCs w:val="24"/>
          <w:lang w:val="en-US" w:eastAsia="en-US"/>
        </w:rPr>
        <w:t xml:space="preserve"> JODI. </w:t>
      </w:r>
      <w:r w:rsidRPr="00633B76">
        <w:rPr>
          <w:rFonts w:eastAsiaTheme="minorHAnsi" w:cs="Times New Roman"/>
          <w:szCs w:val="24"/>
          <w:lang w:eastAsia="en-US"/>
        </w:rPr>
        <w:t xml:space="preserve">Режим доступа: </w:t>
      </w:r>
      <w:hyperlink r:id="rId48" w:history="1"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https://www.jodidata.org/about-jodi/history.aspx</w:t>
        </w:r>
      </w:hyperlink>
      <w:r w:rsidRPr="00633B76">
        <w:rPr>
          <w:rFonts w:eastAsiaTheme="minorHAnsi" w:cs="Times New Roman"/>
          <w:szCs w:val="24"/>
          <w:lang w:eastAsia="en-US"/>
        </w:rPr>
        <w:t xml:space="preserve"> (дата обращения 07.03.2020)</w:t>
      </w:r>
    </w:p>
    <w:p w14:paraId="5A953D1A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proofErr w:type="spellStart"/>
      <w:r w:rsidRPr="00633B76">
        <w:rPr>
          <w:rFonts w:eastAsiaTheme="minorHAnsi" w:cs="Times New Roman"/>
          <w:szCs w:val="24"/>
          <w:lang w:eastAsia="en-US"/>
        </w:rPr>
        <w:t>Nord</w:t>
      </w:r>
      <w:proofErr w:type="spellEnd"/>
      <w:r w:rsidRPr="00633B76">
        <w:rPr>
          <w:rFonts w:eastAsiaTheme="minorHAnsi" w:cs="Times New Roman"/>
          <w:szCs w:val="24"/>
          <w:lang w:eastAsia="en-US"/>
        </w:rPr>
        <w:t xml:space="preserve"> </w:t>
      </w:r>
      <w:proofErr w:type="spellStart"/>
      <w:r w:rsidRPr="00633B76">
        <w:rPr>
          <w:rFonts w:eastAsiaTheme="minorHAnsi" w:cs="Times New Roman"/>
          <w:szCs w:val="24"/>
          <w:lang w:eastAsia="en-US"/>
        </w:rPr>
        <w:t>Stream</w:t>
      </w:r>
      <w:proofErr w:type="spellEnd"/>
      <w:r w:rsidRPr="00633B76">
        <w:rPr>
          <w:rFonts w:eastAsiaTheme="minorHAnsi" w:cs="Times New Roman"/>
          <w:szCs w:val="24"/>
          <w:lang w:eastAsia="en-US"/>
        </w:rPr>
        <w:t xml:space="preserve"> 2 AG и европейские энергетические компании подписали соглашения о финансировании [Электронный ресурс] // Пресс-центр компании Газпром. Режим доступа: </w:t>
      </w:r>
      <w:hyperlink r:id="rId49" w:history="1"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https://www.gazprom.ru/press/news/2017/april/article327181/</w:t>
        </w:r>
      </w:hyperlink>
      <w:r w:rsidRPr="00633B76">
        <w:rPr>
          <w:rFonts w:eastAsiaTheme="minorHAnsi" w:cs="Times New Roman"/>
          <w:szCs w:val="24"/>
          <w:lang w:eastAsia="en-US"/>
        </w:rPr>
        <w:t xml:space="preserve"> (дата обращения 20.04.2020)</w:t>
      </w:r>
    </w:p>
    <w:p w14:paraId="2A55E97C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33B76">
        <w:rPr>
          <w:rFonts w:eastAsiaTheme="minorHAnsi" w:cs="Times New Roman"/>
          <w:szCs w:val="24"/>
          <w:lang w:val="en-US" w:eastAsia="en-US"/>
        </w:rPr>
        <w:t>Organization</w:t>
      </w:r>
      <w:r w:rsidRPr="00633B76">
        <w:rPr>
          <w:rFonts w:eastAsiaTheme="minorHAnsi" w:cs="Times New Roman"/>
          <w:szCs w:val="24"/>
          <w:lang w:eastAsia="en-US"/>
        </w:rPr>
        <w:t xml:space="preserve"> </w:t>
      </w:r>
      <w:r w:rsidRPr="00633B76">
        <w:rPr>
          <w:rFonts w:eastAsiaTheme="minorHAnsi" w:cs="Times New Roman"/>
          <w:szCs w:val="24"/>
          <w:lang w:val="en-US" w:eastAsia="en-US"/>
        </w:rPr>
        <w:t>of</w:t>
      </w:r>
      <w:r w:rsidRPr="00633B76">
        <w:rPr>
          <w:rFonts w:eastAsiaTheme="minorHAnsi" w:cs="Times New Roman"/>
          <w:szCs w:val="24"/>
          <w:lang w:eastAsia="en-US"/>
        </w:rPr>
        <w:t xml:space="preserve"> </w:t>
      </w:r>
      <w:r w:rsidRPr="00633B76">
        <w:rPr>
          <w:rFonts w:eastAsiaTheme="minorHAnsi" w:cs="Times New Roman"/>
          <w:szCs w:val="24"/>
          <w:lang w:val="en-US" w:eastAsia="en-US"/>
        </w:rPr>
        <w:t>Arab</w:t>
      </w:r>
      <w:r w:rsidRPr="00633B76">
        <w:rPr>
          <w:rFonts w:eastAsiaTheme="minorHAnsi" w:cs="Times New Roman"/>
          <w:szCs w:val="24"/>
          <w:lang w:eastAsia="en-US"/>
        </w:rPr>
        <w:t xml:space="preserve"> </w:t>
      </w:r>
      <w:r w:rsidRPr="00633B76">
        <w:rPr>
          <w:rFonts w:eastAsiaTheme="minorHAnsi" w:cs="Times New Roman"/>
          <w:szCs w:val="24"/>
          <w:lang w:val="en-US" w:eastAsia="en-US"/>
        </w:rPr>
        <w:t>Petroleum</w:t>
      </w:r>
      <w:r w:rsidRPr="00633B76">
        <w:rPr>
          <w:rFonts w:eastAsiaTheme="minorHAnsi" w:cs="Times New Roman"/>
          <w:szCs w:val="24"/>
          <w:lang w:eastAsia="en-US"/>
        </w:rPr>
        <w:t xml:space="preserve"> </w:t>
      </w:r>
      <w:r w:rsidRPr="00633B76">
        <w:rPr>
          <w:rFonts w:eastAsiaTheme="minorHAnsi" w:cs="Times New Roman"/>
          <w:szCs w:val="24"/>
          <w:lang w:val="en-US" w:eastAsia="en-US"/>
        </w:rPr>
        <w:t>Exporting</w:t>
      </w:r>
      <w:r w:rsidRPr="00633B76">
        <w:rPr>
          <w:rFonts w:eastAsiaTheme="minorHAnsi" w:cs="Times New Roman"/>
          <w:szCs w:val="24"/>
          <w:lang w:eastAsia="en-US"/>
        </w:rPr>
        <w:t xml:space="preserve"> </w:t>
      </w:r>
      <w:r w:rsidRPr="00633B76">
        <w:rPr>
          <w:rFonts w:eastAsiaTheme="minorHAnsi" w:cs="Times New Roman"/>
          <w:szCs w:val="24"/>
          <w:lang w:val="en-US" w:eastAsia="en-US"/>
        </w:rPr>
        <w:t>Countries</w:t>
      </w:r>
      <w:r w:rsidRPr="00633B76">
        <w:rPr>
          <w:rFonts w:eastAsiaTheme="minorHAnsi" w:cs="Times New Roman"/>
          <w:szCs w:val="24"/>
          <w:lang w:eastAsia="en-US"/>
        </w:rPr>
        <w:t xml:space="preserve"> [</w:t>
      </w:r>
      <w:r w:rsidRPr="00633B76">
        <w:rPr>
          <w:rFonts w:eastAsiaTheme="minorHAnsi" w:cs="Times New Roman"/>
          <w:szCs w:val="24"/>
          <w:lang w:val="en-US" w:eastAsia="en-US"/>
        </w:rPr>
        <w:t>Electronic</w:t>
      </w:r>
      <w:r w:rsidRPr="00633B76">
        <w:rPr>
          <w:rFonts w:eastAsiaTheme="minorHAnsi" w:cs="Times New Roman"/>
          <w:szCs w:val="24"/>
          <w:lang w:eastAsia="en-US"/>
        </w:rPr>
        <w:t xml:space="preserve"> </w:t>
      </w:r>
      <w:r w:rsidRPr="00633B76">
        <w:rPr>
          <w:rFonts w:eastAsiaTheme="minorHAnsi" w:cs="Times New Roman"/>
          <w:szCs w:val="24"/>
          <w:lang w:val="en-US" w:eastAsia="en-US"/>
        </w:rPr>
        <w:t>resource</w:t>
      </w:r>
      <w:r w:rsidRPr="00633B76">
        <w:rPr>
          <w:rFonts w:eastAsiaTheme="minorHAnsi" w:cs="Times New Roman"/>
          <w:szCs w:val="24"/>
          <w:lang w:eastAsia="en-US"/>
        </w:rPr>
        <w:t xml:space="preserve">] // Официальный сайт Организации арабских стран – экспортёров нефти. Режим доступа: </w:t>
      </w:r>
      <w:hyperlink r:id="rId50" w:history="1"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http://www.oapecorg.org/Home/About-Us/Objective-of-the-Organization</w:t>
        </w:r>
      </w:hyperlink>
      <w:r w:rsidRPr="00633B76">
        <w:rPr>
          <w:rFonts w:eastAsiaTheme="minorHAnsi" w:cs="Times New Roman"/>
          <w:szCs w:val="24"/>
          <w:lang w:eastAsia="en-US"/>
        </w:rPr>
        <w:t xml:space="preserve"> (дата обращения 07.03.2020)</w:t>
      </w:r>
    </w:p>
    <w:p w14:paraId="3CEB081F" w14:textId="77777777" w:rsidR="00633B76" w:rsidRPr="00633B76" w:rsidRDefault="00633B76" w:rsidP="00633B76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33B76">
        <w:rPr>
          <w:rFonts w:eastAsiaTheme="minorHAnsi" w:cs="Times New Roman"/>
          <w:szCs w:val="24"/>
          <w:lang w:val="en-US" w:eastAsia="en-US"/>
        </w:rPr>
        <w:lastRenderedPageBreak/>
        <w:t xml:space="preserve">Organization of the Petroleum Exporting Countries [Electronic resource] // </w:t>
      </w:r>
      <w:r w:rsidRPr="00633B76">
        <w:rPr>
          <w:rFonts w:eastAsiaTheme="minorHAnsi" w:cs="Times New Roman"/>
          <w:szCs w:val="24"/>
          <w:lang w:eastAsia="en-US"/>
        </w:rPr>
        <w:t>Официальный</w:t>
      </w:r>
      <w:r w:rsidRPr="00633B76">
        <w:rPr>
          <w:rFonts w:eastAsiaTheme="minorHAnsi" w:cs="Times New Roman"/>
          <w:szCs w:val="24"/>
          <w:lang w:val="en-US" w:eastAsia="en-US"/>
        </w:rPr>
        <w:t xml:space="preserve"> </w:t>
      </w:r>
      <w:r w:rsidRPr="00633B76">
        <w:rPr>
          <w:rFonts w:eastAsiaTheme="minorHAnsi" w:cs="Times New Roman"/>
          <w:szCs w:val="24"/>
          <w:lang w:eastAsia="en-US"/>
        </w:rPr>
        <w:t>сайт</w:t>
      </w:r>
      <w:r w:rsidRPr="00633B76">
        <w:rPr>
          <w:rFonts w:eastAsiaTheme="minorHAnsi" w:cs="Times New Roman"/>
          <w:szCs w:val="24"/>
          <w:lang w:val="en-US" w:eastAsia="en-US"/>
        </w:rPr>
        <w:t xml:space="preserve"> Организаци</w:t>
      </w:r>
      <w:r w:rsidRPr="00633B76">
        <w:rPr>
          <w:rFonts w:eastAsiaTheme="minorHAnsi" w:cs="Times New Roman"/>
          <w:szCs w:val="24"/>
          <w:lang w:eastAsia="en-US"/>
        </w:rPr>
        <w:t>и</w:t>
      </w:r>
      <w:r w:rsidRPr="00633B76">
        <w:rPr>
          <w:rFonts w:eastAsiaTheme="minorHAnsi" w:cs="Times New Roman"/>
          <w:szCs w:val="24"/>
          <w:lang w:val="en-US" w:eastAsia="en-US"/>
        </w:rPr>
        <w:t xml:space="preserve"> стран – экспортёров нефти. </w:t>
      </w:r>
      <w:r w:rsidRPr="00633B76">
        <w:rPr>
          <w:rFonts w:eastAsiaTheme="minorHAnsi" w:cs="Times New Roman"/>
          <w:szCs w:val="24"/>
          <w:lang w:eastAsia="en-US"/>
        </w:rPr>
        <w:t xml:space="preserve">Режим доступа: </w:t>
      </w:r>
      <w:hyperlink r:id="rId51" w:history="1">
        <w:r w:rsidRPr="00633B76">
          <w:rPr>
            <w:rFonts w:eastAsiaTheme="minorHAnsi" w:cs="Times New Roman"/>
            <w:color w:val="0563C1" w:themeColor="hyperlink"/>
            <w:szCs w:val="24"/>
            <w:u w:val="single"/>
            <w:lang w:eastAsia="en-US"/>
          </w:rPr>
          <w:t>https://www.opec.org/opec_web/en/about_us/24.htm</w:t>
        </w:r>
      </w:hyperlink>
      <w:r w:rsidRPr="00633B76">
        <w:rPr>
          <w:rFonts w:eastAsiaTheme="minorHAnsi" w:cs="Times New Roman"/>
          <w:szCs w:val="24"/>
          <w:lang w:eastAsia="en-US"/>
        </w:rPr>
        <w:t xml:space="preserve"> (дата обращения 07.03.2020)</w:t>
      </w:r>
    </w:p>
    <w:p w14:paraId="0579F6E4" w14:textId="77777777" w:rsidR="00633B76" w:rsidRDefault="00633B76" w:rsidP="00633B76">
      <w:pPr>
        <w:jc w:val="center"/>
      </w:pPr>
      <w:r>
        <w:br w:type="page"/>
      </w:r>
    </w:p>
    <w:p w14:paraId="791EA8CB" w14:textId="3E38A138" w:rsidR="004965B9" w:rsidRDefault="004965B9" w:rsidP="00633B76">
      <w:pPr>
        <w:pStyle w:val="1"/>
      </w:pPr>
      <w:bookmarkStart w:id="51" w:name="_Toc41513186"/>
      <w:r w:rsidRPr="006F7559">
        <w:lastRenderedPageBreak/>
        <w:t>Приложения</w:t>
      </w:r>
      <w:bookmarkEnd w:id="51"/>
    </w:p>
    <w:p w14:paraId="1D8DB6EA" w14:textId="77777777" w:rsidR="004F0D96" w:rsidRPr="004F0D96" w:rsidRDefault="004F0D96" w:rsidP="004F0D96">
      <w:pPr>
        <w:rPr>
          <w:lang w:eastAsia="en-US"/>
        </w:rPr>
      </w:pPr>
    </w:p>
    <w:p w14:paraId="645B8911" w14:textId="30914A68" w:rsidR="0057750A" w:rsidRPr="0057750A" w:rsidRDefault="0057750A" w:rsidP="0057750A">
      <w:pPr>
        <w:pStyle w:val="af1"/>
        <w:keepNext/>
        <w:jc w:val="center"/>
        <w:rPr>
          <w:i w:val="0"/>
          <w:color w:val="auto"/>
          <w:sz w:val="24"/>
        </w:rPr>
      </w:pPr>
      <w:r w:rsidRPr="0057750A">
        <w:rPr>
          <w:i w:val="0"/>
          <w:color w:val="auto"/>
          <w:sz w:val="24"/>
        </w:rPr>
        <w:t xml:space="preserve">Рисунок </w:t>
      </w:r>
      <w:r w:rsidRPr="0057750A">
        <w:rPr>
          <w:i w:val="0"/>
          <w:color w:val="auto"/>
          <w:sz w:val="24"/>
        </w:rPr>
        <w:fldChar w:fldCharType="begin"/>
      </w:r>
      <w:r w:rsidRPr="0057750A">
        <w:rPr>
          <w:i w:val="0"/>
          <w:color w:val="auto"/>
          <w:sz w:val="24"/>
        </w:rPr>
        <w:instrText xml:space="preserve"> SEQ Рисунок \* ARABIC </w:instrText>
      </w:r>
      <w:r w:rsidRPr="0057750A">
        <w:rPr>
          <w:i w:val="0"/>
          <w:color w:val="auto"/>
          <w:sz w:val="24"/>
        </w:rPr>
        <w:fldChar w:fldCharType="separate"/>
      </w:r>
      <w:r>
        <w:rPr>
          <w:i w:val="0"/>
          <w:noProof/>
          <w:color w:val="auto"/>
          <w:sz w:val="24"/>
        </w:rPr>
        <w:t>1</w:t>
      </w:r>
      <w:r w:rsidRPr="0057750A">
        <w:rPr>
          <w:i w:val="0"/>
          <w:color w:val="auto"/>
          <w:sz w:val="24"/>
        </w:rPr>
        <w:fldChar w:fldCharType="end"/>
      </w:r>
      <w:r w:rsidRPr="0057750A">
        <w:rPr>
          <w:i w:val="0"/>
          <w:color w:val="auto"/>
          <w:sz w:val="24"/>
        </w:rPr>
        <w:t xml:space="preserve">. Товарооборот России и Германии 1827-1914 гг. </w:t>
      </w:r>
      <w:proofErr w:type="spellStart"/>
      <w:r w:rsidRPr="0057750A">
        <w:rPr>
          <w:i w:val="0"/>
          <w:color w:val="auto"/>
          <w:sz w:val="24"/>
          <w:lang w:val="en-US"/>
        </w:rPr>
        <w:t>Источник</w:t>
      </w:r>
      <w:proofErr w:type="spellEnd"/>
      <w:r w:rsidRPr="0057750A">
        <w:rPr>
          <w:i w:val="0"/>
          <w:color w:val="auto"/>
          <w:sz w:val="24"/>
          <w:lang w:val="en-US"/>
        </w:rPr>
        <w:t xml:space="preserve">: </w:t>
      </w:r>
      <w:proofErr w:type="spellStart"/>
      <w:r w:rsidRPr="0057750A">
        <w:rPr>
          <w:i w:val="0"/>
          <w:color w:val="auto"/>
          <w:sz w:val="24"/>
          <w:lang w:val="en-US"/>
        </w:rPr>
        <w:t>ежегодник</w:t>
      </w:r>
      <w:proofErr w:type="spellEnd"/>
      <w:r w:rsidRPr="0057750A">
        <w:rPr>
          <w:i w:val="0"/>
          <w:color w:val="auto"/>
          <w:sz w:val="24"/>
          <w:lang w:val="en-US"/>
        </w:rPr>
        <w:t xml:space="preserve"> </w:t>
      </w:r>
      <w:proofErr w:type="spellStart"/>
      <w:r w:rsidRPr="0057750A">
        <w:rPr>
          <w:i w:val="0"/>
          <w:color w:val="auto"/>
          <w:sz w:val="24"/>
          <w:lang w:val="en-US"/>
        </w:rPr>
        <w:t>статистики</w:t>
      </w:r>
      <w:proofErr w:type="spellEnd"/>
      <w:r w:rsidRPr="0057750A">
        <w:rPr>
          <w:i w:val="0"/>
          <w:color w:val="auto"/>
          <w:sz w:val="24"/>
          <w:lang w:val="en-US"/>
        </w:rPr>
        <w:t xml:space="preserve"> </w:t>
      </w:r>
      <w:proofErr w:type="spellStart"/>
      <w:r w:rsidRPr="0057750A">
        <w:rPr>
          <w:i w:val="0"/>
          <w:color w:val="auto"/>
          <w:sz w:val="24"/>
          <w:lang w:val="en-US"/>
        </w:rPr>
        <w:t>внешней</w:t>
      </w:r>
      <w:proofErr w:type="spellEnd"/>
      <w:r w:rsidRPr="0057750A">
        <w:rPr>
          <w:i w:val="0"/>
          <w:color w:val="auto"/>
          <w:sz w:val="24"/>
          <w:lang w:val="en-US"/>
        </w:rPr>
        <w:t xml:space="preserve"> </w:t>
      </w:r>
      <w:proofErr w:type="spellStart"/>
      <w:r w:rsidRPr="0057750A">
        <w:rPr>
          <w:i w:val="0"/>
          <w:color w:val="auto"/>
          <w:sz w:val="24"/>
          <w:lang w:val="en-US"/>
        </w:rPr>
        <w:t>торговли</w:t>
      </w:r>
      <w:proofErr w:type="spellEnd"/>
      <w:r w:rsidRPr="0057750A">
        <w:rPr>
          <w:i w:val="0"/>
          <w:color w:val="auto"/>
          <w:sz w:val="24"/>
          <w:lang w:val="en-US"/>
        </w:rPr>
        <w:t xml:space="preserve"> </w:t>
      </w:r>
      <w:proofErr w:type="spellStart"/>
      <w:r w:rsidRPr="0057750A">
        <w:rPr>
          <w:i w:val="0"/>
          <w:color w:val="auto"/>
          <w:sz w:val="24"/>
          <w:lang w:val="en-US"/>
        </w:rPr>
        <w:t>Российской</w:t>
      </w:r>
      <w:proofErr w:type="spellEnd"/>
      <w:r w:rsidRPr="0057750A">
        <w:rPr>
          <w:i w:val="0"/>
          <w:color w:val="auto"/>
          <w:sz w:val="24"/>
          <w:lang w:val="en-US"/>
        </w:rPr>
        <w:t xml:space="preserve"> </w:t>
      </w:r>
      <w:proofErr w:type="spellStart"/>
      <w:r w:rsidRPr="0057750A">
        <w:rPr>
          <w:i w:val="0"/>
          <w:color w:val="auto"/>
          <w:sz w:val="24"/>
          <w:lang w:val="en-US"/>
        </w:rPr>
        <w:t>империи</w:t>
      </w:r>
      <w:proofErr w:type="spellEnd"/>
    </w:p>
    <w:p w14:paraId="2FBBA9DF" w14:textId="3DEB1438" w:rsidR="004F0D96" w:rsidRDefault="001B7137" w:rsidP="0057750A">
      <w:pPr>
        <w:keepNext/>
        <w:jc w:val="center"/>
      </w:pPr>
      <w:r>
        <w:rPr>
          <w:noProof/>
        </w:rPr>
        <w:drawing>
          <wp:inline distT="0" distB="0" distL="0" distR="0" wp14:anchorId="50BF34B3" wp14:editId="562B0FD8">
            <wp:extent cx="5997039" cy="3419475"/>
            <wp:effectExtent l="0" t="0" r="3810" b="952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A936B288-251B-45A9-9F1D-6C9AE99963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  <w:r w:rsidR="004F0D96">
        <w:rPr>
          <w:lang w:eastAsia="en-US"/>
        </w:rPr>
        <w:br w:type="page"/>
      </w:r>
    </w:p>
    <w:p w14:paraId="38161F5D" w14:textId="034F4D5A" w:rsidR="0057750A" w:rsidRPr="0057750A" w:rsidRDefault="0057750A" w:rsidP="0057750A">
      <w:pPr>
        <w:pStyle w:val="af1"/>
        <w:keepNext/>
        <w:jc w:val="center"/>
        <w:rPr>
          <w:i w:val="0"/>
          <w:color w:val="auto"/>
          <w:sz w:val="24"/>
        </w:rPr>
      </w:pPr>
      <w:r w:rsidRPr="0057750A">
        <w:rPr>
          <w:i w:val="0"/>
          <w:color w:val="auto"/>
          <w:sz w:val="24"/>
        </w:rPr>
        <w:lastRenderedPageBreak/>
        <w:t xml:space="preserve">Рисунок </w:t>
      </w:r>
      <w:r w:rsidRPr="0057750A">
        <w:rPr>
          <w:i w:val="0"/>
          <w:color w:val="auto"/>
          <w:sz w:val="24"/>
        </w:rPr>
        <w:fldChar w:fldCharType="begin"/>
      </w:r>
      <w:r w:rsidRPr="0057750A">
        <w:rPr>
          <w:i w:val="0"/>
          <w:color w:val="auto"/>
          <w:sz w:val="24"/>
        </w:rPr>
        <w:instrText xml:space="preserve"> SEQ Рисунок \* ARABIC </w:instrText>
      </w:r>
      <w:r w:rsidRPr="0057750A">
        <w:rPr>
          <w:i w:val="0"/>
          <w:color w:val="auto"/>
          <w:sz w:val="24"/>
        </w:rPr>
        <w:fldChar w:fldCharType="separate"/>
      </w:r>
      <w:r>
        <w:rPr>
          <w:i w:val="0"/>
          <w:noProof/>
          <w:color w:val="auto"/>
          <w:sz w:val="24"/>
        </w:rPr>
        <w:t>2</w:t>
      </w:r>
      <w:r w:rsidRPr="0057750A">
        <w:rPr>
          <w:i w:val="0"/>
          <w:color w:val="auto"/>
          <w:sz w:val="24"/>
        </w:rPr>
        <w:fldChar w:fldCharType="end"/>
      </w:r>
      <w:r w:rsidRPr="0057750A">
        <w:rPr>
          <w:i w:val="0"/>
          <w:color w:val="auto"/>
          <w:sz w:val="24"/>
        </w:rPr>
        <w:t>. Удельный вес Германии во внешнеторговом обороте России, %. Источник: ежегодник статистики внешней торговли Российской империи</w:t>
      </w:r>
    </w:p>
    <w:p w14:paraId="32B1A402" w14:textId="0C38D19B" w:rsidR="004F0D96" w:rsidRDefault="004F0D96" w:rsidP="0057750A">
      <w:pPr>
        <w:keepNext/>
      </w:pPr>
      <w:r>
        <w:rPr>
          <w:noProof/>
        </w:rPr>
        <w:drawing>
          <wp:inline distT="0" distB="0" distL="0" distR="0" wp14:anchorId="339FB4C1" wp14:editId="10E62B61">
            <wp:extent cx="5953125" cy="3681095"/>
            <wp:effectExtent l="0" t="0" r="9525" b="14605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C96BF639-3F1C-4221-B703-5508CA696A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  <w:r>
        <w:br w:type="page"/>
      </w:r>
    </w:p>
    <w:p w14:paraId="5CAE18B0" w14:textId="05197D43" w:rsidR="0057750A" w:rsidRPr="0057750A" w:rsidRDefault="0057750A" w:rsidP="0057750A">
      <w:pPr>
        <w:pStyle w:val="af1"/>
        <w:keepNext/>
        <w:jc w:val="center"/>
        <w:rPr>
          <w:i w:val="0"/>
          <w:color w:val="auto"/>
          <w:sz w:val="24"/>
        </w:rPr>
      </w:pPr>
      <w:r w:rsidRPr="0057750A">
        <w:rPr>
          <w:i w:val="0"/>
          <w:color w:val="auto"/>
          <w:sz w:val="24"/>
        </w:rPr>
        <w:lastRenderedPageBreak/>
        <w:t xml:space="preserve">Рисунок </w:t>
      </w:r>
      <w:r w:rsidRPr="0057750A">
        <w:rPr>
          <w:i w:val="0"/>
          <w:color w:val="auto"/>
          <w:sz w:val="24"/>
        </w:rPr>
        <w:fldChar w:fldCharType="begin"/>
      </w:r>
      <w:r w:rsidRPr="0057750A">
        <w:rPr>
          <w:i w:val="0"/>
          <w:color w:val="auto"/>
          <w:sz w:val="24"/>
        </w:rPr>
        <w:instrText xml:space="preserve"> SEQ Рисунок \* ARABIC </w:instrText>
      </w:r>
      <w:r w:rsidRPr="0057750A">
        <w:rPr>
          <w:i w:val="0"/>
          <w:color w:val="auto"/>
          <w:sz w:val="24"/>
        </w:rPr>
        <w:fldChar w:fldCharType="separate"/>
      </w:r>
      <w:r>
        <w:rPr>
          <w:i w:val="0"/>
          <w:noProof/>
          <w:color w:val="auto"/>
          <w:sz w:val="24"/>
        </w:rPr>
        <w:t>3</w:t>
      </w:r>
      <w:r w:rsidRPr="0057750A">
        <w:rPr>
          <w:i w:val="0"/>
          <w:color w:val="auto"/>
          <w:sz w:val="24"/>
        </w:rPr>
        <w:fldChar w:fldCharType="end"/>
      </w:r>
      <w:r w:rsidRPr="0057750A">
        <w:rPr>
          <w:i w:val="0"/>
          <w:color w:val="auto"/>
          <w:sz w:val="24"/>
        </w:rPr>
        <w:t>. Экспорт СССР в Германию, тыс. руб. Источник: справочник внешней торговли СССР</w:t>
      </w:r>
    </w:p>
    <w:p w14:paraId="5935DDD9" w14:textId="5AD690F8" w:rsidR="004F0D96" w:rsidRDefault="004F0D96" w:rsidP="0057750A">
      <w:pPr>
        <w:keepNext/>
      </w:pPr>
      <w:r>
        <w:rPr>
          <w:noProof/>
        </w:rPr>
        <w:drawing>
          <wp:inline distT="0" distB="0" distL="0" distR="0" wp14:anchorId="0C262116" wp14:editId="15D42121">
            <wp:extent cx="5940425" cy="3253105"/>
            <wp:effectExtent l="0" t="0" r="3175" b="4445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C8CCF3C4-35B9-49D3-8BAF-E9BE4345E4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  <w:r>
        <w:br w:type="page"/>
      </w:r>
    </w:p>
    <w:p w14:paraId="1609F70F" w14:textId="22D047EF" w:rsidR="0057750A" w:rsidRDefault="0057750A" w:rsidP="0057750A">
      <w:pPr>
        <w:pStyle w:val="af1"/>
        <w:keepNext/>
      </w:pPr>
    </w:p>
    <w:p w14:paraId="6195EC9B" w14:textId="1867C823" w:rsidR="0057750A" w:rsidRPr="0057750A" w:rsidRDefault="0057750A" w:rsidP="0057750A">
      <w:pPr>
        <w:pStyle w:val="af1"/>
        <w:keepNext/>
        <w:jc w:val="center"/>
        <w:rPr>
          <w:i w:val="0"/>
          <w:color w:val="auto"/>
          <w:sz w:val="24"/>
        </w:rPr>
      </w:pPr>
      <w:r w:rsidRPr="0057750A">
        <w:rPr>
          <w:i w:val="0"/>
          <w:color w:val="auto"/>
          <w:sz w:val="24"/>
        </w:rPr>
        <w:t xml:space="preserve">Рисунок </w:t>
      </w:r>
      <w:r w:rsidRPr="0057750A">
        <w:rPr>
          <w:i w:val="0"/>
          <w:color w:val="auto"/>
          <w:sz w:val="24"/>
        </w:rPr>
        <w:fldChar w:fldCharType="begin"/>
      </w:r>
      <w:r w:rsidRPr="0057750A">
        <w:rPr>
          <w:i w:val="0"/>
          <w:color w:val="auto"/>
          <w:sz w:val="24"/>
        </w:rPr>
        <w:instrText xml:space="preserve"> SEQ Рисунок \* ARABIC </w:instrText>
      </w:r>
      <w:r w:rsidRPr="0057750A">
        <w:rPr>
          <w:i w:val="0"/>
          <w:color w:val="auto"/>
          <w:sz w:val="24"/>
        </w:rPr>
        <w:fldChar w:fldCharType="separate"/>
      </w:r>
      <w:r>
        <w:rPr>
          <w:i w:val="0"/>
          <w:noProof/>
          <w:color w:val="auto"/>
          <w:sz w:val="24"/>
        </w:rPr>
        <w:t>4</w:t>
      </w:r>
      <w:r w:rsidRPr="0057750A">
        <w:rPr>
          <w:i w:val="0"/>
          <w:color w:val="auto"/>
          <w:sz w:val="24"/>
        </w:rPr>
        <w:fldChar w:fldCharType="end"/>
      </w:r>
      <w:r w:rsidRPr="0057750A">
        <w:rPr>
          <w:i w:val="0"/>
          <w:color w:val="auto"/>
          <w:sz w:val="24"/>
        </w:rPr>
        <w:t>. Импорт СССР из Германии, тыс. руб. Источник: справочник внешней торговли СССР</w:t>
      </w:r>
    </w:p>
    <w:p w14:paraId="51D30D9A" w14:textId="77777777" w:rsidR="004F0D96" w:rsidRDefault="004F0D96" w:rsidP="004F0D96">
      <w:pPr>
        <w:keepNext/>
      </w:pPr>
      <w:r>
        <w:rPr>
          <w:noProof/>
        </w:rPr>
        <w:drawing>
          <wp:inline distT="0" distB="0" distL="0" distR="0" wp14:anchorId="127FD2FB" wp14:editId="153BAAA1">
            <wp:extent cx="5943600" cy="3211032"/>
            <wp:effectExtent l="0" t="0" r="0" b="889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2329731D-78F8-4F3B-B7F0-B15051244C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1A5BF90A" w14:textId="11AE5616" w:rsidR="004F0D96" w:rsidRDefault="004F0D96" w:rsidP="004F0D96">
      <w:r>
        <w:br w:type="page"/>
      </w:r>
    </w:p>
    <w:p w14:paraId="2BF56C9C" w14:textId="52F3538D" w:rsidR="0057750A" w:rsidRPr="0057750A" w:rsidRDefault="0057750A" w:rsidP="0057750A">
      <w:pPr>
        <w:pStyle w:val="af1"/>
        <w:keepNext/>
        <w:jc w:val="center"/>
        <w:rPr>
          <w:i w:val="0"/>
          <w:sz w:val="24"/>
        </w:rPr>
      </w:pPr>
      <w:r w:rsidRPr="0057750A">
        <w:rPr>
          <w:i w:val="0"/>
          <w:color w:val="auto"/>
          <w:sz w:val="24"/>
        </w:rPr>
        <w:lastRenderedPageBreak/>
        <w:t xml:space="preserve">Рисунок </w:t>
      </w:r>
      <w:r w:rsidRPr="0057750A">
        <w:rPr>
          <w:i w:val="0"/>
          <w:color w:val="auto"/>
          <w:sz w:val="24"/>
        </w:rPr>
        <w:fldChar w:fldCharType="begin"/>
      </w:r>
      <w:r w:rsidRPr="0057750A">
        <w:rPr>
          <w:i w:val="0"/>
          <w:color w:val="auto"/>
          <w:sz w:val="24"/>
        </w:rPr>
        <w:instrText xml:space="preserve"> SEQ Рисунок \* ARABIC </w:instrText>
      </w:r>
      <w:r w:rsidRPr="0057750A">
        <w:rPr>
          <w:i w:val="0"/>
          <w:color w:val="auto"/>
          <w:sz w:val="24"/>
        </w:rPr>
        <w:fldChar w:fldCharType="separate"/>
      </w:r>
      <w:r>
        <w:rPr>
          <w:i w:val="0"/>
          <w:noProof/>
          <w:color w:val="auto"/>
          <w:sz w:val="24"/>
        </w:rPr>
        <w:t>5</w:t>
      </w:r>
      <w:r w:rsidRPr="0057750A">
        <w:rPr>
          <w:i w:val="0"/>
          <w:color w:val="auto"/>
          <w:sz w:val="24"/>
        </w:rPr>
        <w:fldChar w:fldCharType="end"/>
      </w:r>
      <w:r w:rsidRPr="0057750A">
        <w:rPr>
          <w:i w:val="0"/>
          <w:color w:val="auto"/>
          <w:sz w:val="24"/>
        </w:rPr>
        <w:t>. Динамика цен на нефть, долл. США/баррель (</w:t>
      </w:r>
      <w:proofErr w:type="spellStart"/>
      <w:r w:rsidRPr="0057750A">
        <w:rPr>
          <w:i w:val="0"/>
          <w:color w:val="auto"/>
          <w:sz w:val="24"/>
        </w:rPr>
        <w:t>Brent</w:t>
      </w:r>
      <w:proofErr w:type="spellEnd"/>
      <w:r w:rsidRPr="0057750A">
        <w:rPr>
          <w:i w:val="0"/>
          <w:color w:val="auto"/>
          <w:sz w:val="24"/>
        </w:rPr>
        <w:t xml:space="preserve">). Источник: Мировой банк. Режим доступа: </w:t>
      </w:r>
      <w:hyperlink r:id="rId56" w:history="1">
        <w:r w:rsidRPr="0057750A">
          <w:rPr>
            <w:rStyle w:val="a8"/>
            <w:i w:val="0"/>
            <w:sz w:val="24"/>
          </w:rPr>
          <w:t>http://worldbank.org/</w:t>
        </w:r>
      </w:hyperlink>
      <w:r w:rsidRPr="0057750A">
        <w:rPr>
          <w:i w:val="0"/>
          <w:sz w:val="24"/>
        </w:rPr>
        <w:t xml:space="preserve"> </w:t>
      </w:r>
    </w:p>
    <w:p w14:paraId="3BA80218" w14:textId="77777777" w:rsidR="004F0D96" w:rsidRDefault="004F0D96" w:rsidP="004F0D96">
      <w:pPr>
        <w:keepNext/>
        <w:jc w:val="center"/>
      </w:pPr>
      <w:r>
        <w:rPr>
          <w:noProof/>
        </w:rPr>
        <w:drawing>
          <wp:inline distT="0" distB="0" distL="0" distR="0" wp14:anchorId="3CD8F93D" wp14:editId="5E9CE715">
            <wp:extent cx="5723907" cy="3218213"/>
            <wp:effectExtent l="0" t="0" r="10160" b="127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29C1BF6C-99FB-4783-9BC1-AE7CB734DC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14:paraId="682932E7" w14:textId="702B3700" w:rsidR="004F0D96" w:rsidRDefault="004F0D96" w:rsidP="004F0D96">
      <w:pPr>
        <w:rPr>
          <w:lang w:val="de-DE"/>
        </w:rPr>
      </w:pPr>
      <w:r>
        <w:rPr>
          <w:lang w:val="de-DE"/>
        </w:rPr>
        <w:br w:type="page"/>
      </w:r>
    </w:p>
    <w:p w14:paraId="7B639A25" w14:textId="70B8DAA1" w:rsidR="0057750A" w:rsidRPr="0057750A" w:rsidRDefault="0057750A" w:rsidP="0057750A">
      <w:pPr>
        <w:pStyle w:val="af1"/>
        <w:keepNext/>
        <w:jc w:val="center"/>
        <w:rPr>
          <w:i w:val="0"/>
          <w:color w:val="auto"/>
          <w:sz w:val="24"/>
        </w:rPr>
      </w:pPr>
      <w:r w:rsidRPr="0057750A">
        <w:rPr>
          <w:i w:val="0"/>
          <w:color w:val="auto"/>
          <w:sz w:val="24"/>
        </w:rPr>
        <w:lastRenderedPageBreak/>
        <w:t xml:space="preserve">Рисунок </w:t>
      </w:r>
      <w:r w:rsidRPr="0057750A">
        <w:rPr>
          <w:i w:val="0"/>
          <w:color w:val="auto"/>
          <w:sz w:val="24"/>
        </w:rPr>
        <w:fldChar w:fldCharType="begin"/>
      </w:r>
      <w:r w:rsidRPr="0057750A">
        <w:rPr>
          <w:i w:val="0"/>
          <w:color w:val="auto"/>
          <w:sz w:val="24"/>
        </w:rPr>
        <w:instrText xml:space="preserve"> SEQ Рисунок \* ARABIC </w:instrText>
      </w:r>
      <w:r w:rsidRPr="0057750A">
        <w:rPr>
          <w:i w:val="0"/>
          <w:color w:val="auto"/>
          <w:sz w:val="24"/>
        </w:rPr>
        <w:fldChar w:fldCharType="separate"/>
      </w:r>
      <w:r>
        <w:rPr>
          <w:i w:val="0"/>
          <w:noProof/>
          <w:color w:val="auto"/>
          <w:sz w:val="24"/>
        </w:rPr>
        <w:t>6</w:t>
      </w:r>
      <w:r w:rsidRPr="0057750A">
        <w:rPr>
          <w:i w:val="0"/>
          <w:color w:val="auto"/>
          <w:sz w:val="24"/>
        </w:rPr>
        <w:fldChar w:fldCharType="end"/>
      </w:r>
      <w:r w:rsidRPr="0057750A">
        <w:rPr>
          <w:i w:val="0"/>
          <w:color w:val="auto"/>
          <w:sz w:val="24"/>
        </w:rPr>
        <w:t>. Прямые иностранные инвестиции из ФРГ в РФ, млрд. евро</w:t>
      </w:r>
      <w:r>
        <w:rPr>
          <w:i w:val="0"/>
          <w:color w:val="auto"/>
          <w:sz w:val="24"/>
        </w:rPr>
        <w:t xml:space="preserve">. Источник: Банк России. Режим доступа: </w:t>
      </w:r>
      <w:hyperlink r:id="rId58" w:history="1">
        <w:r w:rsidRPr="000703E4">
          <w:rPr>
            <w:rStyle w:val="a8"/>
            <w:i w:val="0"/>
            <w:sz w:val="24"/>
          </w:rPr>
          <w:t>https://cbr.ru/statistics/?PrtId=svs</w:t>
        </w:r>
      </w:hyperlink>
      <w:r>
        <w:rPr>
          <w:i w:val="0"/>
          <w:color w:val="auto"/>
          <w:sz w:val="24"/>
        </w:rPr>
        <w:t xml:space="preserve"> </w:t>
      </w:r>
    </w:p>
    <w:p w14:paraId="44E9F163" w14:textId="3AE1DBDC" w:rsidR="004F0D96" w:rsidRDefault="004F0D96" w:rsidP="0057750A">
      <w:pPr>
        <w:keepNext/>
        <w:jc w:val="center"/>
      </w:pPr>
      <w:r>
        <w:rPr>
          <w:noProof/>
        </w:rPr>
        <w:drawing>
          <wp:inline distT="0" distB="0" distL="0" distR="0" wp14:anchorId="66CA5669" wp14:editId="4D55E5D1">
            <wp:extent cx="5474525" cy="3420093"/>
            <wp:effectExtent l="0" t="0" r="12065" b="9525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3649DF49-A1BF-4B3A-AD35-74EB0727A5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  <w:r>
        <w:br w:type="page"/>
      </w:r>
    </w:p>
    <w:p w14:paraId="0FFE4F82" w14:textId="2677D27D" w:rsidR="0057750A" w:rsidRPr="0057750A" w:rsidRDefault="0057750A" w:rsidP="0057750A">
      <w:pPr>
        <w:pStyle w:val="af1"/>
        <w:keepNext/>
        <w:jc w:val="center"/>
        <w:rPr>
          <w:i w:val="0"/>
          <w:sz w:val="24"/>
        </w:rPr>
      </w:pPr>
      <w:r w:rsidRPr="0057750A">
        <w:rPr>
          <w:i w:val="0"/>
          <w:color w:val="auto"/>
          <w:sz w:val="24"/>
        </w:rPr>
        <w:lastRenderedPageBreak/>
        <w:t xml:space="preserve">Рисунок </w:t>
      </w:r>
      <w:r w:rsidRPr="0057750A">
        <w:rPr>
          <w:i w:val="0"/>
          <w:color w:val="auto"/>
          <w:sz w:val="24"/>
        </w:rPr>
        <w:fldChar w:fldCharType="begin"/>
      </w:r>
      <w:r w:rsidRPr="0057750A">
        <w:rPr>
          <w:i w:val="0"/>
          <w:color w:val="auto"/>
          <w:sz w:val="24"/>
        </w:rPr>
        <w:instrText xml:space="preserve"> SEQ Рисунок \* ARABIC </w:instrText>
      </w:r>
      <w:r w:rsidRPr="0057750A">
        <w:rPr>
          <w:i w:val="0"/>
          <w:color w:val="auto"/>
          <w:sz w:val="24"/>
        </w:rPr>
        <w:fldChar w:fldCharType="separate"/>
      </w:r>
      <w:r>
        <w:rPr>
          <w:i w:val="0"/>
          <w:noProof/>
          <w:color w:val="auto"/>
          <w:sz w:val="24"/>
        </w:rPr>
        <w:t>7</w:t>
      </w:r>
      <w:r w:rsidRPr="0057750A">
        <w:rPr>
          <w:i w:val="0"/>
          <w:color w:val="auto"/>
          <w:sz w:val="24"/>
        </w:rPr>
        <w:fldChar w:fldCharType="end"/>
      </w:r>
      <w:r w:rsidRPr="0057750A">
        <w:rPr>
          <w:i w:val="0"/>
          <w:color w:val="auto"/>
          <w:sz w:val="24"/>
        </w:rPr>
        <w:t xml:space="preserve">. Степень износа основных фондов, %. Источник: Федеральная служба государственной статистики. Режим доступа: </w:t>
      </w:r>
      <w:hyperlink r:id="rId60" w:history="1">
        <w:r w:rsidRPr="000703E4">
          <w:rPr>
            <w:rStyle w:val="a8"/>
            <w:i w:val="0"/>
            <w:sz w:val="24"/>
          </w:rPr>
          <w:t>https://www.gks.ru/</w:t>
        </w:r>
      </w:hyperlink>
      <w:r>
        <w:rPr>
          <w:i w:val="0"/>
          <w:sz w:val="24"/>
        </w:rPr>
        <w:t xml:space="preserve"> </w:t>
      </w:r>
    </w:p>
    <w:p w14:paraId="4DFF85A7" w14:textId="77777777" w:rsidR="004F0D96" w:rsidRDefault="004F0D96" w:rsidP="004F0D96">
      <w:pPr>
        <w:keepNext/>
        <w:jc w:val="center"/>
      </w:pPr>
      <w:r>
        <w:rPr>
          <w:noProof/>
        </w:rPr>
        <w:drawing>
          <wp:inline distT="0" distB="0" distL="0" distR="0" wp14:anchorId="3512B87A" wp14:editId="23083B7D">
            <wp:extent cx="5557652" cy="3396343"/>
            <wp:effectExtent l="0" t="0" r="5080" b="1397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10169C3B-94E4-4A34-8F84-9DE86B90DA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14:paraId="5EB73254" w14:textId="520DE6F6" w:rsidR="004F0D96" w:rsidRPr="006D6668" w:rsidRDefault="004F0D96" w:rsidP="004F0D96">
      <w:pPr>
        <w:pStyle w:val="af1"/>
        <w:jc w:val="center"/>
        <w:rPr>
          <w:i w:val="0"/>
          <w:iCs w:val="0"/>
          <w:color w:val="auto"/>
          <w:sz w:val="22"/>
          <w:szCs w:val="22"/>
        </w:rPr>
      </w:pPr>
    </w:p>
    <w:p w14:paraId="2E09EE16" w14:textId="2AA7439C" w:rsidR="004F0D96" w:rsidRDefault="004F0D96" w:rsidP="004F0D96">
      <w:r>
        <w:br w:type="page"/>
      </w:r>
    </w:p>
    <w:p w14:paraId="4AD658BA" w14:textId="335685CC" w:rsidR="0057750A" w:rsidRPr="0057750A" w:rsidRDefault="0057750A" w:rsidP="0057750A">
      <w:pPr>
        <w:pStyle w:val="af1"/>
        <w:keepNext/>
        <w:jc w:val="center"/>
        <w:rPr>
          <w:i w:val="0"/>
          <w:color w:val="auto"/>
          <w:sz w:val="24"/>
        </w:rPr>
      </w:pPr>
      <w:r w:rsidRPr="0057750A">
        <w:rPr>
          <w:i w:val="0"/>
          <w:color w:val="auto"/>
          <w:sz w:val="24"/>
        </w:rPr>
        <w:lastRenderedPageBreak/>
        <w:t xml:space="preserve">Рисунок </w:t>
      </w:r>
      <w:r w:rsidRPr="0057750A">
        <w:rPr>
          <w:i w:val="0"/>
          <w:color w:val="auto"/>
          <w:sz w:val="24"/>
        </w:rPr>
        <w:fldChar w:fldCharType="begin"/>
      </w:r>
      <w:r w:rsidRPr="0057750A">
        <w:rPr>
          <w:i w:val="0"/>
          <w:color w:val="auto"/>
          <w:sz w:val="24"/>
        </w:rPr>
        <w:instrText xml:space="preserve"> SEQ Рисунок \* ARABIC </w:instrText>
      </w:r>
      <w:r w:rsidRPr="0057750A">
        <w:rPr>
          <w:i w:val="0"/>
          <w:color w:val="auto"/>
          <w:sz w:val="24"/>
        </w:rPr>
        <w:fldChar w:fldCharType="separate"/>
      </w:r>
      <w:r>
        <w:rPr>
          <w:i w:val="0"/>
          <w:noProof/>
          <w:color w:val="auto"/>
          <w:sz w:val="24"/>
        </w:rPr>
        <w:t>8</w:t>
      </w:r>
      <w:r w:rsidRPr="0057750A">
        <w:rPr>
          <w:i w:val="0"/>
          <w:color w:val="auto"/>
          <w:sz w:val="24"/>
        </w:rPr>
        <w:fldChar w:fldCharType="end"/>
      </w:r>
      <w:r w:rsidRPr="0057750A">
        <w:rPr>
          <w:i w:val="0"/>
          <w:color w:val="auto"/>
          <w:sz w:val="24"/>
        </w:rPr>
        <w:t>. Экспорт природного газа Группой Газпром, млрд. м3. Источник: годовые отчеты ПАО "Газпром"</w:t>
      </w:r>
    </w:p>
    <w:p w14:paraId="617D4B2B" w14:textId="77777777" w:rsidR="004F0D96" w:rsidRDefault="004F0D96" w:rsidP="004F0D96">
      <w:pPr>
        <w:keepNext/>
        <w:jc w:val="center"/>
      </w:pPr>
      <w:r>
        <w:rPr>
          <w:noProof/>
        </w:rPr>
        <w:drawing>
          <wp:inline distT="0" distB="0" distL="0" distR="0" wp14:anchorId="4F8E7C34" wp14:editId="735E7184">
            <wp:extent cx="5260768" cy="3123210"/>
            <wp:effectExtent l="0" t="0" r="16510" b="127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291D3A2F-63D7-4966-9B7D-F8A229308E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14:paraId="6DD992B5" w14:textId="77777777" w:rsidR="004F0D96" w:rsidRPr="004F0D96" w:rsidRDefault="004F0D96" w:rsidP="004F0D96"/>
    <w:p w14:paraId="6E112224" w14:textId="77777777" w:rsidR="001B7137" w:rsidRPr="001B7137" w:rsidRDefault="001B7137" w:rsidP="001B7137">
      <w:pPr>
        <w:rPr>
          <w:lang w:eastAsia="en-US"/>
        </w:rPr>
      </w:pPr>
    </w:p>
    <w:p w14:paraId="26425CD7" w14:textId="77777777" w:rsidR="0057750A" w:rsidRDefault="0057750A" w:rsidP="0057750A">
      <w:pPr>
        <w:pStyle w:val="af1"/>
        <w:keepNext/>
        <w:jc w:val="center"/>
        <w:rPr>
          <w:i w:val="0"/>
          <w:color w:val="auto"/>
          <w:sz w:val="24"/>
        </w:rPr>
      </w:pPr>
      <w:r>
        <w:rPr>
          <w:i w:val="0"/>
          <w:color w:val="auto"/>
          <w:sz w:val="24"/>
        </w:rPr>
        <w:br w:type="page"/>
      </w:r>
    </w:p>
    <w:p w14:paraId="7F3BB176" w14:textId="397C4FB4" w:rsidR="0057750A" w:rsidRPr="0057750A" w:rsidRDefault="0057750A" w:rsidP="0057750A">
      <w:pPr>
        <w:pStyle w:val="af1"/>
        <w:keepNext/>
        <w:jc w:val="center"/>
        <w:rPr>
          <w:i w:val="0"/>
          <w:color w:val="auto"/>
          <w:sz w:val="24"/>
        </w:rPr>
      </w:pPr>
      <w:r w:rsidRPr="0057750A">
        <w:rPr>
          <w:i w:val="0"/>
          <w:color w:val="auto"/>
          <w:sz w:val="24"/>
        </w:rPr>
        <w:lastRenderedPageBreak/>
        <w:t xml:space="preserve">Рисунок </w:t>
      </w:r>
      <w:r w:rsidRPr="0057750A">
        <w:rPr>
          <w:i w:val="0"/>
          <w:color w:val="auto"/>
          <w:sz w:val="24"/>
        </w:rPr>
        <w:fldChar w:fldCharType="begin"/>
      </w:r>
      <w:r w:rsidRPr="0057750A">
        <w:rPr>
          <w:i w:val="0"/>
          <w:color w:val="auto"/>
          <w:sz w:val="24"/>
        </w:rPr>
        <w:instrText xml:space="preserve"> SEQ Рисунок \* ARABIC </w:instrText>
      </w:r>
      <w:r w:rsidRPr="0057750A">
        <w:rPr>
          <w:i w:val="0"/>
          <w:color w:val="auto"/>
          <w:sz w:val="24"/>
        </w:rPr>
        <w:fldChar w:fldCharType="separate"/>
      </w:r>
      <w:r>
        <w:rPr>
          <w:i w:val="0"/>
          <w:noProof/>
          <w:color w:val="auto"/>
          <w:sz w:val="24"/>
        </w:rPr>
        <w:t>9</w:t>
      </w:r>
      <w:r w:rsidRPr="0057750A">
        <w:rPr>
          <w:i w:val="0"/>
          <w:color w:val="auto"/>
          <w:sz w:val="24"/>
        </w:rPr>
        <w:fldChar w:fldCharType="end"/>
      </w:r>
      <w:r w:rsidRPr="0057750A">
        <w:rPr>
          <w:i w:val="0"/>
          <w:color w:val="auto"/>
          <w:sz w:val="24"/>
        </w:rPr>
        <w:t xml:space="preserve">. Прогноз структуры первичного энергопотребления ТНК </w:t>
      </w:r>
      <w:proofErr w:type="spellStart"/>
      <w:r w:rsidRPr="0057750A">
        <w:rPr>
          <w:i w:val="0"/>
          <w:color w:val="auto"/>
          <w:sz w:val="24"/>
        </w:rPr>
        <w:t>Royal</w:t>
      </w:r>
      <w:proofErr w:type="spellEnd"/>
      <w:r w:rsidRPr="0057750A">
        <w:rPr>
          <w:i w:val="0"/>
          <w:color w:val="auto"/>
          <w:sz w:val="24"/>
        </w:rPr>
        <w:t xml:space="preserve"> </w:t>
      </w:r>
      <w:proofErr w:type="spellStart"/>
      <w:r w:rsidRPr="0057750A">
        <w:rPr>
          <w:i w:val="0"/>
          <w:color w:val="auto"/>
          <w:sz w:val="24"/>
        </w:rPr>
        <w:t>Dutch</w:t>
      </w:r>
      <w:proofErr w:type="spellEnd"/>
      <w:r w:rsidRPr="0057750A">
        <w:rPr>
          <w:i w:val="0"/>
          <w:color w:val="auto"/>
          <w:sz w:val="24"/>
        </w:rPr>
        <w:t xml:space="preserve"> </w:t>
      </w:r>
      <w:proofErr w:type="spellStart"/>
      <w:r w:rsidRPr="0057750A">
        <w:rPr>
          <w:i w:val="0"/>
          <w:color w:val="auto"/>
          <w:sz w:val="24"/>
        </w:rPr>
        <w:t>Shell</w:t>
      </w:r>
      <w:proofErr w:type="spellEnd"/>
      <w:r w:rsidRPr="0057750A">
        <w:rPr>
          <w:i w:val="0"/>
          <w:color w:val="auto"/>
          <w:sz w:val="24"/>
        </w:rPr>
        <w:t xml:space="preserve">. Источник: </w:t>
      </w:r>
      <w:proofErr w:type="spellStart"/>
      <w:r w:rsidRPr="0057750A">
        <w:rPr>
          <w:i w:val="0"/>
          <w:color w:val="auto"/>
          <w:sz w:val="24"/>
        </w:rPr>
        <w:t>Shell</w:t>
      </w:r>
      <w:proofErr w:type="spellEnd"/>
      <w:r w:rsidRPr="0057750A">
        <w:rPr>
          <w:i w:val="0"/>
          <w:color w:val="auto"/>
          <w:sz w:val="24"/>
        </w:rPr>
        <w:t xml:space="preserve"> </w:t>
      </w:r>
      <w:proofErr w:type="spellStart"/>
      <w:r w:rsidRPr="0057750A">
        <w:rPr>
          <w:i w:val="0"/>
          <w:color w:val="auto"/>
          <w:sz w:val="24"/>
        </w:rPr>
        <w:t>Energy</w:t>
      </w:r>
      <w:proofErr w:type="spellEnd"/>
      <w:r w:rsidRPr="0057750A">
        <w:rPr>
          <w:i w:val="0"/>
          <w:color w:val="auto"/>
          <w:sz w:val="24"/>
        </w:rPr>
        <w:t xml:space="preserve"> </w:t>
      </w:r>
      <w:proofErr w:type="spellStart"/>
      <w:r w:rsidRPr="0057750A">
        <w:rPr>
          <w:i w:val="0"/>
          <w:color w:val="auto"/>
          <w:sz w:val="24"/>
        </w:rPr>
        <w:t>Transition</w:t>
      </w:r>
      <w:proofErr w:type="spellEnd"/>
      <w:r w:rsidRPr="0057750A">
        <w:rPr>
          <w:i w:val="0"/>
          <w:color w:val="auto"/>
          <w:sz w:val="24"/>
        </w:rPr>
        <w:t xml:space="preserve"> </w:t>
      </w:r>
      <w:proofErr w:type="spellStart"/>
      <w:r w:rsidRPr="0057750A">
        <w:rPr>
          <w:i w:val="0"/>
          <w:color w:val="auto"/>
          <w:sz w:val="24"/>
        </w:rPr>
        <w:t>Report</w:t>
      </w:r>
      <w:proofErr w:type="spellEnd"/>
      <w:r w:rsidRPr="0057750A">
        <w:rPr>
          <w:i w:val="0"/>
          <w:color w:val="auto"/>
          <w:sz w:val="24"/>
        </w:rPr>
        <w:t>, 2019 Стр. 21</w:t>
      </w:r>
    </w:p>
    <w:p w14:paraId="6BB8EEEA" w14:textId="77777777" w:rsidR="00352E0D" w:rsidRDefault="004965B9" w:rsidP="00352E0D">
      <w:pPr>
        <w:keepNext/>
      </w:pPr>
      <w:r w:rsidRPr="009618E5">
        <w:rPr>
          <w:noProof/>
          <w:szCs w:val="24"/>
        </w:rPr>
        <w:drawing>
          <wp:inline distT="0" distB="0" distL="0" distR="0" wp14:anchorId="1CF8D95E" wp14:editId="526F7A79">
            <wp:extent cx="5827606" cy="2604977"/>
            <wp:effectExtent l="19050" t="19050" r="20955" b="241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13" cy="26201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FDA22A" w14:textId="77777777" w:rsidR="0057750A" w:rsidRDefault="0057750A" w:rsidP="0057750A">
      <w:pPr>
        <w:pStyle w:val="af1"/>
        <w:keepNext/>
        <w:jc w:val="center"/>
        <w:rPr>
          <w:i w:val="0"/>
          <w:color w:val="auto"/>
          <w:sz w:val="24"/>
        </w:rPr>
      </w:pPr>
      <w:r>
        <w:rPr>
          <w:i w:val="0"/>
          <w:color w:val="auto"/>
          <w:sz w:val="24"/>
        </w:rPr>
        <w:br w:type="page"/>
      </w:r>
    </w:p>
    <w:p w14:paraId="462D3F11" w14:textId="51653DC6" w:rsidR="0057750A" w:rsidRPr="0057750A" w:rsidRDefault="0057750A" w:rsidP="0057750A">
      <w:pPr>
        <w:pStyle w:val="af1"/>
        <w:keepNext/>
        <w:jc w:val="center"/>
        <w:rPr>
          <w:i w:val="0"/>
          <w:color w:val="auto"/>
          <w:sz w:val="24"/>
        </w:rPr>
      </w:pPr>
      <w:r w:rsidRPr="0057750A">
        <w:rPr>
          <w:i w:val="0"/>
          <w:color w:val="auto"/>
          <w:sz w:val="24"/>
        </w:rPr>
        <w:lastRenderedPageBreak/>
        <w:t xml:space="preserve">Рисунок </w:t>
      </w:r>
      <w:r w:rsidRPr="0057750A">
        <w:rPr>
          <w:i w:val="0"/>
          <w:color w:val="auto"/>
          <w:sz w:val="24"/>
        </w:rPr>
        <w:fldChar w:fldCharType="begin"/>
      </w:r>
      <w:r w:rsidRPr="0057750A">
        <w:rPr>
          <w:i w:val="0"/>
          <w:color w:val="auto"/>
          <w:sz w:val="24"/>
        </w:rPr>
        <w:instrText xml:space="preserve"> SEQ Рисунок \* ARABIC </w:instrText>
      </w:r>
      <w:r w:rsidRPr="0057750A">
        <w:rPr>
          <w:i w:val="0"/>
          <w:color w:val="auto"/>
          <w:sz w:val="24"/>
        </w:rPr>
        <w:fldChar w:fldCharType="separate"/>
      </w:r>
      <w:r>
        <w:rPr>
          <w:i w:val="0"/>
          <w:noProof/>
          <w:color w:val="auto"/>
          <w:sz w:val="24"/>
        </w:rPr>
        <w:t>10</w:t>
      </w:r>
      <w:r w:rsidRPr="0057750A">
        <w:rPr>
          <w:i w:val="0"/>
          <w:color w:val="auto"/>
          <w:sz w:val="24"/>
        </w:rPr>
        <w:fldChar w:fldCharType="end"/>
      </w:r>
      <w:r w:rsidRPr="0057750A">
        <w:rPr>
          <w:i w:val="0"/>
          <w:color w:val="auto"/>
          <w:sz w:val="24"/>
        </w:rPr>
        <w:t>. Прогноз потребления энергоресурсов по регионам. Источник</w:t>
      </w:r>
      <w:r w:rsidRPr="0057750A">
        <w:rPr>
          <w:i w:val="0"/>
          <w:color w:val="auto"/>
          <w:sz w:val="24"/>
          <w:lang w:val="en-US"/>
        </w:rPr>
        <w:t xml:space="preserve">: </w:t>
      </w:r>
      <w:r w:rsidRPr="0057750A">
        <w:rPr>
          <w:i w:val="0"/>
          <w:color w:val="auto"/>
          <w:sz w:val="24"/>
        </w:rPr>
        <w:t>ТНК</w:t>
      </w:r>
      <w:r w:rsidRPr="0057750A">
        <w:rPr>
          <w:i w:val="0"/>
          <w:color w:val="auto"/>
          <w:sz w:val="24"/>
          <w:lang w:val="en-US"/>
        </w:rPr>
        <w:t xml:space="preserve"> Royal Dutch Shell. </w:t>
      </w:r>
      <w:r w:rsidRPr="0057750A">
        <w:rPr>
          <w:i w:val="0"/>
          <w:color w:val="auto"/>
          <w:sz w:val="24"/>
        </w:rPr>
        <w:t>Источник</w:t>
      </w:r>
      <w:r w:rsidRPr="0057750A">
        <w:rPr>
          <w:i w:val="0"/>
          <w:color w:val="auto"/>
          <w:sz w:val="24"/>
          <w:lang w:val="en-US"/>
        </w:rPr>
        <w:t xml:space="preserve">: Shell Energy Transition Report, 2019. </w:t>
      </w:r>
      <w:r w:rsidRPr="0057750A">
        <w:rPr>
          <w:i w:val="0"/>
          <w:color w:val="auto"/>
          <w:sz w:val="24"/>
        </w:rPr>
        <w:t>Стр. 21</w:t>
      </w:r>
    </w:p>
    <w:p w14:paraId="34270697" w14:textId="77777777" w:rsidR="00352E0D" w:rsidRDefault="004965B9" w:rsidP="00352E0D">
      <w:pPr>
        <w:keepNext/>
      </w:pPr>
      <w:r w:rsidRPr="009618E5">
        <w:rPr>
          <w:noProof/>
          <w:szCs w:val="24"/>
        </w:rPr>
        <w:drawing>
          <wp:inline distT="0" distB="0" distL="0" distR="0" wp14:anchorId="23469B98" wp14:editId="67E98E43">
            <wp:extent cx="5816009" cy="4567451"/>
            <wp:effectExtent l="19050" t="19050" r="13335" b="241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305" cy="4606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3D73AE" w14:textId="114080B7" w:rsidR="004965B9" w:rsidRPr="006554B9" w:rsidRDefault="004965B9" w:rsidP="0057750A">
      <w:pPr>
        <w:pStyle w:val="af1"/>
        <w:rPr>
          <w:i w:val="0"/>
          <w:iCs w:val="0"/>
          <w:color w:val="auto"/>
          <w:sz w:val="22"/>
          <w:szCs w:val="32"/>
        </w:rPr>
      </w:pPr>
    </w:p>
    <w:p w14:paraId="18A5A4D2" w14:textId="449A4B20" w:rsidR="0057750A" w:rsidRPr="0057750A" w:rsidRDefault="0057750A" w:rsidP="0057750A">
      <w:pPr>
        <w:pStyle w:val="af1"/>
        <w:keepNext/>
        <w:jc w:val="center"/>
        <w:rPr>
          <w:i w:val="0"/>
          <w:color w:val="auto"/>
          <w:sz w:val="24"/>
        </w:rPr>
      </w:pPr>
      <w:r w:rsidRPr="0057750A">
        <w:rPr>
          <w:i w:val="0"/>
          <w:color w:val="auto"/>
          <w:sz w:val="24"/>
        </w:rPr>
        <w:lastRenderedPageBreak/>
        <w:t xml:space="preserve">Рисунок </w:t>
      </w:r>
      <w:r w:rsidRPr="0057750A">
        <w:rPr>
          <w:i w:val="0"/>
          <w:color w:val="auto"/>
          <w:sz w:val="24"/>
        </w:rPr>
        <w:fldChar w:fldCharType="begin"/>
      </w:r>
      <w:r w:rsidRPr="0057750A">
        <w:rPr>
          <w:i w:val="0"/>
          <w:color w:val="auto"/>
          <w:sz w:val="24"/>
        </w:rPr>
        <w:instrText xml:space="preserve"> SEQ Рисунок \* ARABIC </w:instrText>
      </w:r>
      <w:r w:rsidRPr="0057750A">
        <w:rPr>
          <w:i w:val="0"/>
          <w:color w:val="auto"/>
          <w:sz w:val="24"/>
        </w:rPr>
        <w:fldChar w:fldCharType="separate"/>
      </w:r>
      <w:r>
        <w:rPr>
          <w:i w:val="0"/>
          <w:noProof/>
          <w:color w:val="auto"/>
          <w:sz w:val="24"/>
        </w:rPr>
        <w:t>11</w:t>
      </w:r>
      <w:r w:rsidRPr="0057750A">
        <w:rPr>
          <w:i w:val="0"/>
          <w:color w:val="auto"/>
          <w:sz w:val="24"/>
        </w:rPr>
        <w:fldChar w:fldCharType="end"/>
      </w:r>
      <w:r w:rsidRPr="0057750A">
        <w:rPr>
          <w:i w:val="0"/>
          <w:color w:val="auto"/>
          <w:sz w:val="24"/>
        </w:rPr>
        <w:t xml:space="preserve">. Прогноз первичного энергопотребления до 2040 года ТНК </w:t>
      </w:r>
      <w:proofErr w:type="spellStart"/>
      <w:r w:rsidRPr="0057750A">
        <w:rPr>
          <w:i w:val="0"/>
          <w:color w:val="auto"/>
          <w:sz w:val="24"/>
        </w:rPr>
        <w:t>Exxon</w:t>
      </w:r>
      <w:proofErr w:type="spellEnd"/>
      <w:r w:rsidRPr="0057750A">
        <w:rPr>
          <w:i w:val="0"/>
          <w:color w:val="auto"/>
          <w:sz w:val="24"/>
        </w:rPr>
        <w:t xml:space="preserve"> </w:t>
      </w:r>
      <w:proofErr w:type="spellStart"/>
      <w:r w:rsidRPr="0057750A">
        <w:rPr>
          <w:i w:val="0"/>
          <w:color w:val="auto"/>
          <w:sz w:val="24"/>
        </w:rPr>
        <w:t>Mobil</w:t>
      </w:r>
      <w:proofErr w:type="spellEnd"/>
      <w:r w:rsidRPr="0057750A">
        <w:rPr>
          <w:i w:val="0"/>
          <w:color w:val="auto"/>
          <w:sz w:val="24"/>
        </w:rPr>
        <w:t xml:space="preserve">. Источник: </w:t>
      </w:r>
      <w:proofErr w:type="spellStart"/>
      <w:r w:rsidRPr="0057750A">
        <w:rPr>
          <w:i w:val="0"/>
          <w:color w:val="auto"/>
          <w:sz w:val="24"/>
        </w:rPr>
        <w:t>Outlook</w:t>
      </w:r>
      <w:proofErr w:type="spellEnd"/>
      <w:r w:rsidRPr="0057750A">
        <w:rPr>
          <w:i w:val="0"/>
          <w:color w:val="auto"/>
          <w:sz w:val="24"/>
        </w:rPr>
        <w:t xml:space="preserve"> </w:t>
      </w:r>
      <w:proofErr w:type="spellStart"/>
      <w:r w:rsidRPr="0057750A">
        <w:rPr>
          <w:i w:val="0"/>
          <w:color w:val="auto"/>
          <w:sz w:val="24"/>
        </w:rPr>
        <w:t>for</w:t>
      </w:r>
      <w:proofErr w:type="spellEnd"/>
      <w:r w:rsidRPr="0057750A">
        <w:rPr>
          <w:i w:val="0"/>
          <w:color w:val="auto"/>
          <w:sz w:val="24"/>
        </w:rPr>
        <w:t xml:space="preserve"> </w:t>
      </w:r>
      <w:proofErr w:type="spellStart"/>
      <w:r w:rsidRPr="0057750A">
        <w:rPr>
          <w:i w:val="0"/>
          <w:color w:val="auto"/>
          <w:sz w:val="24"/>
        </w:rPr>
        <w:t>energy</w:t>
      </w:r>
      <w:proofErr w:type="spellEnd"/>
      <w:r w:rsidRPr="0057750A">
        <w:rPr>
          <w:i w:val="0"/>
          <w:color w:val="auto"/>
          <w:sz w:val="24"/>
        </w:rPr>
        <w:t xml:space="preserve">: a </w:t>
      </w:r>
      <w:proofErr w:type="spellStart"/>
      <w:r w:rsidRPr="0057750A">
        <w:rPr>
          <w:i w:val="0"/>
          <w:color w:val="auto"/>
          <w:sz w:val="24"/>
        </w:rPr>
        <w:t>perspective</w:t>
      </w:r>
      <w:proofErr w:type="spellEnd"/>
      <w:r w:rsidRPr="0057750A">
        <w:rPr>
          <w:i w:val="0"/>
          <w:color w:val="auto"/>
          <w:sz w:val="24"/>
        </w:rPr>
        <w:t xml:space="preserve"> </w:t>
      </w:r>
      <w:proofErr w:type="spellStart"/>
      <w:r w:rsidRPr="0057750A">
        <w:rPr>
          <w:i w:val="0"/>
          <w:color w:val="auto"/>
          <w:sz w:val="24"/>
        </w:rPr>
        <w:t>to</w:t>
      </w:r>
      <w:proofErr w:type="spellEnd"/>
      <w:r w:rsidRPr="0057750A">
        <w:rPr>
          <w:i w:val="0"/>
          <w:color w:val="auto"/>
          <w:sz w:val="24"/>
        </w:rPr>
        <w:t xml:space="preserve"> 2040, 2019 г. Стр. 12</w:t>
      </w:r>
    </w:p>
    <w:p w14:paraId="7BA90D9D" w14:textId="59C889DF" w:rsidR="0057750A" w:rsidRPr="0057750A" w:rsidRDefault="004965B9" w:rsidP="0057750A">
      <w:pPr>
        <w:keepNext/>
      </w:pPr>
      <w:r w:rsidRPr="009618E5">
        <w:rPr>
          <w:noProof/>
          <w:szCs w:val="24"/>
        </w:rPr>
        <w:drawing>
          <wp:inline distT="0" distB="0" distL="0" distR="0" wp14:anchorId="60B65C80" wp14:editId="1896BD58">
            <wp:extent cx="5922339" cy="3264195"/>
            <wp:effectExtent l="19050" t="19050" r="21590" b="127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5"/>
                    <a:stretch/>
                  </pic:blipFill>
                  <pic:spPr bwMode="auto">
                    <a:xfrm>
                      <a:off x="0" y="0"/>
                      <a:ext cx="5968754" cy="32897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D4740C" w14:textId="77777777" w:rsidR="0057750A" w:rsidRDefault="0057750A" w:rsidP="0057750A">
      <w:pPr>
        <w:pStyle w:val="af1"/>
        <w:keepNext/>
      </w:pPr>
      <w:r>
        <w:br w:type="page"/>
      </w:r>
    </w:p>
    <w:p w14:paraId="6C9FA68D" w14:textId="49ECA494" w:rsidR="0057750A" w:rsidRPr="0057750A" w:rsidRDefault="0057750A" w:rsidP="0057750A">
      <w:pPr>
        <w:pStyle w:val="af1"/>
        <w:keepNext/>
        <w:jc w:val="center"/>
        <w:rPr>
          <w:i w:val="0"/>
          <w:color w:val="auto"/>
          <w:sz w:val="24"/>
        </w:rPr>
      </w:pPr>
      <w:r w:rsidRPr="0057750A">
        <w:rPr>
          <w:i w:val="0"/>
          <w:color w:val="auto"/>
          <w:sz w:val="24"/>
        </w:rPr>
        <w:lastRenderedPageBreak/>
        <w:t xml:space="preserve">Рисунок </w:t>
      </w:r>
      <w:r w:rsidRPr="0057750A">
        <w:rPr>
          <w:i w:val="0"/>
          <w:color w:val="auto"/>
          <w:sz w:val="24"/>
        </w:rPr>
        <w:fldChar w:fldCharType="begin"/>
      </w:r>
      <w:r w:rsidRPr="0057750A">
        <w:rPr>
          <w:i w:val="0"/>
          <w:color w:val="auto"/>
          <w:sz w:val="24"/>
        </w:rPr>
        <w:instrText xml:space="preserve"> SEQ Рисунок \* ARABIC </w:instrText>
      </w:r>
      <w:r w:rsidRPr="0057750A">
        <w:rPr>
          <w:i w:val="0"/>
          <w:color w:val="auto"/>
          <w:sz w:val="24"/>
        </w:rPr>
        <w:fldChar w:fldCharType="separate"/>
      </w:r>
      <w:r>
        <w:rPr>
          <w:i w:val="0"/>
          <w:noProof/>
          <w:color w:val="auto"/>
          <w:sz w:val="24"/>
        </w:rPr>
        <w:t>12</w:t>
      </w:r>
      <w:r w:rsidRPr="0057750A">
        <w:rPr>
          <w:i w:val="0"/>
          <w:color w:val="auto"/>
          <w:sz w:val="24"/>
        </w:rPr>
        <w:fldChar w:fldCharType="end"/>
      </w:r>
      <w:r w:rsidRPr="0057750A">
        <w:rPr>
          <w:i w:val="0"/>
          <w:color w:val="auto"/>
          <w:sz w:val="24"/>
        </w:rPr>
        <w:t xml:space="preserve">. Прогноз структуры первичного энергопотребления к 2040 г. от ТНК British Petroleum. Источник: BP </w:t>
      </w:r>
      <w:proofErr w:type="spellStart"/>
      <w:r w:rsidRPr="0057750A">
        <w:rPr>
          <w:i w:val="0"/>
          <w:color w:val="auto"/>
          <w:sz w:val="24"/>
        </w:rPr>
        <w:t>Energy</w:t>
      </w:r>
      <w:proofErr w:type="spellEnd"/>
      <w:r w:rsidRPr="0057750A">
        <w:rPr>
          <w:i w:val="0"/>
          <w:color w:val="auto"/>
          <w:sz w:val="24"/>
        </w:rPr>
        <w:t xml:space="preserve"> </w:t>
      </w:r>
      <w:proofErr w:type="spellStart"/>
      <w:r w:rsidRPr="0057750A">
        <w:rPr>
          <w:i w:val="0"/>
          <w:color w:val="auto"/>
          <w:sz w:val="24"/>
        </w:rPr>
        <w:t>Outlook</w:t>
      </w:r>
      <w:proofErr w:type="spellEnd"/>
      <w:r w:rsidRPr="0057750A">
        <w:rPr>
          <w:i w:val="0"/>
          <w:color w:val="auto"/>
          <w:sz w:val="24"/>
        </w:rPr>
        <w:t xml:space="preserve"> 2019 </w:t>
      </w:r>
      <w:proofErr w:type="spellStart"/>
      <w:r w:rsidRPr="0057750A">
        <w:rPr>
          <w:i w:val="0"/>
          <w:color w:val="auto"/>
          <w:sz w:val="24"/>
        </w:rPr>
        <w:t>Edition</w:t>
      </w:r>
      <w:proofErr w:type="spellEnd"/>
      <w:r w:rsidRPr="0057750A">
        <w:rPr>
          <w:i w:val="0"/>
          <w:color w:val="auto"/>
          <w:sz w:val="24"/>
        </w:rPr>
        <w:t>. Стр. 78</w:t>
      </w:r>
    </w:p>
    <w:p w14:paraId="6DB37BA2" w14:textId="77777777" w:rsidR="006554B9" w:rsidRDefault="004A7A19" w:rsidP="006554B9">
      <w:pPr>
        <w:keepNext/>
      </w:pPr>
      <w:r w:rsidRPr="009618E5">
        <w:rPr>
          <w:noProof/>
          <w:szCs w:val="24"/>
        </w:rPr>
        <w:drawing>
          <wp:inline distT="0" distB="0" distL="0" distR="0" wp14:anchorId="0FFD81FE" wp14:editId="77454942">
            <wp:extent cx="6018028" cy="2761205"/>
            <wp:effectExtent l="19050" t="19050" r="20955" b="203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92"/>
                    <a:stretch/>
                  </pic:blipFill>
                  <pic:spPr bwMode="auto">
                    <a:xfrm>
                      <a:off x="0" y="0"/>
                      <a:ext cx="6023131" cy="27635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8A1562" w14:textId="741EFEB0" w:rsidR="004A7A19" w:rsidRPr="00D4101A" w:rsidRDefault="006554B9" w:rsidP="0057750A">
      <w:pPr>
        <w:pStyle w:val="af1"/>
        <w:rPr>
          <w:i w:val="0"/>
          <w:iCs w:val="0"/>
          <w:color w:val="auto"/>
          <w:sz w:val="22"/>
          <w:szCs w:val="22"/>
        </w:rPr>
      </w:pPr>
      <w:r w:rsidRPr="006554B9">
        <w:rPr>
          <w:i w:val="0"/>
          <w:iCs w:val="0"/>
          <w:color w:val="auto"/>
          <w:sz w:val="22"/>
          <w:szCs w:val="22"/>
        </w:rPr>
        <w:t xml:space="preserve"> </w:t>
      </w:r>
      <w:r w:rsidR="0057750A">
        <w:rPr>
          <w:i w:val="0"/>
          <w:iCs w:val="0"/>
          <w:color w:val="auto"/>
          <w:sz w:val="22"/>
          <w:szCs w:val="22"/>
        </w:rPr>
        <w:br w:type="page"/>
      </w:r>
    </w:p>
    <w:p w14:paraId="6DF43FEB" w14:textId="5C956DD9" w:rsidR="0057750A" w:rsidRPr="0057750A" w:rsidRDefault="0057750A" w:rsidP="0057750A">
      <w:pPr>
        <w:pStyle w:val="af1"/>
        <w:keepNext/>
        <w:jc w:val="center"/>
        <w:rPr>
          <w:i w:val="0"/>
          <w:color w:val="auto"/>
          <w:sz w:val="24"/>
        </w:rPr>
      </w:pPr>
      <w:r w:rsidRPr="0057750A">
        <w:rPr>
          <w:i w:val="0"/>
          <w:color w:val="auto"/>
          <w:sz w:val="24"/>
        </w:rPr>
        <w:lastRenderedPageBreak/>
        <w:t xml:space="preserve">Рисунок </w:t>
      </w:r>
      <w:r w:rsidRPr="0057750A">
        <w:rPr>
          <w:i w:val="0"/>
          <w:color w:val="auto"/>
          <w:sz w:val="24"/>
        </w:rPr>
        <w:fldChar w:fldCharType="begin"/>
      </w:r>
      <w:r w:rsidRPr="0057750A">
        <w:rPr>
          <w:i w:val="0"/>
          <w:color w:val="auto"/>
          <w:sz w:val="24"/>
        </w:rPr>
        <w:instrText xml:space="preserve"> SEQ Рисунок \* ARABIC </w:instrText>
      </w:r>
      <w:r w:rsidRPr="0057750A">
        <w:rPr>
          <w:i w:val="0"/>
          <w:color w:val="auto"/>
          <w:sz w:val="24"/>
        </w:rPr>
        <w:fldChar w:fldCharType="separate"/>
      </w:r>
      <w:r>
        <w:rPr>
          <w:i w:val="0"/>
          <w:noProof/>
          <w:color w:val="auto"/>
          <w:sz w:val="24"/>
        </w:rPr>
        <w:t>13</w:t>
      </w:r>
      <w:r w:rsidRPr="0057750A">
        <w:rPr>
          <w:i w:val="0"/>
          <w:color w:val="auto"/>
          <w:sz w:val="24"/>
        </w:rPr>
        <w:fldChar w:fldCharType="end"/>
      </w:r>
      <w:r w:rsidRPr="0057750A">
        <w:rPr>
          <w:i w:val="0"/>
          <w:color w:val="auto"/>
          <w:sz w:val="24"/>
        </w:rPr>
        <w:t xml:space="preserve">. Прогноз первичного энергопотребления по расчетам ФСЭГ. Источник: </w:t>
      </w:r>
      <w:proofErr w:type="spellStart"/>
      <w:r w:rsidRPr="0057750A">
        <w:rPr>
          <w:i w:val="0"/>
          <w:color w:val="auto"/>
          <w:sz w:val="24"/>
        </w:rPr>
        <w:t>Global</w:t>
      </w:r>
      <w:proofErr w:type="spellEnd"/>
      <w:r w:rsidRPr="0057750A">
        <w:rPr>
          <w:i w:val="0"/>
          <w:color w:val="auto"/>
          <w:sz w:val="24"/>
        </w:rPr>
        <w:t xml:space="preserve"> </w:t>
      </w:r>
      <w:proofErr w:type="spellStart"/>
      <w:r w:rsidRPr="0057750A">
        <w:rPr>
          <w:i w:val="0"/>
          <w:color w:val="auto"/>
          <w:sz w:val="24"/>
        </w:rPr>
        <w:t>gas</w:t>
      </w:r>
      <w:proofErr w:type="spellEnd"/>
      <w:r w:rsidRPr="0057750A">
        <w:rPr>
          <w:i w:val="0"/>
          <w:color w:val="auto"/>
          <w:sz w:val="24"/>
        </w:rPr>
        <w:t xml:space="preserve"> </w:t>
      </w:r>
      <w:proofErr w:type="spellStart"/>
      <w:r w:rsidRPr="0057750A">
        <w:rPr>
          <w:i w:val="0"/>
          <w:color w:val="auto"/>
          <w:sz w:val="24"/>
        </w:rPr>
        <w:t>outlook</w:t>
      </w:r>
      <w:proofErr w:type="spellEnd"/>
      <w:r w:rsidRPr="0057750A">
        <w:rPr>
          <w:i w:val="0"/>
          <w:color w:val="auto"/>
          <w:sz w:val="24"/>
        </w:rPr>
        <w:t xml:space="preserve"> 2050 </w:t>
      </w:r>
      <w:proofErr w:type="spellStart"/>
      <w:r w:rsidRPr="0057750A">
        <w:rPr>
          <w:i w:val="0"/>
          <w:color w:val="auto"/>
          <w:sz w:val="24"/>
        </w:rPr>
        <w:t>Synopsis</w:t>
      </w:r>
      <w:proofErr w:type="spellEnd"/>
      <w:r w:rsidRPr="0057750A">
        <w:rPr>
          <w:i w:val="0"/>
          <w:color w:val="auto"/>
          <w:sz w:val="24"/>
        </w:rPr>
        <w:t>, стр. 53</w:t>
      </w:r>
    </w:p>
    <w:p w14:paraId="7EC1BB97" w14:textId="2F7C3F1E" w:rsidR="004A7A19" w:rsidRPr="0057750A" w:rsidRDefault="004A7A19" w:rsidP="0057750A">
      <w:pPr>
        <w:keepNext/>
      </w:pPr>
      <w:r>
        <w:rPr>
          <w:noProof/>
        </w:rPr>
        <w:drawing>
          <wp:inline distT="0" distB="0" distL="0" distR="0" wp14:anchorId="532CC9B0" wp14:editId="210E38CF">
            <wp:extent cx="5940425" cy="2588260"/>
            <wp:effectExtent l="19050" t="19050" r="22225" b="215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8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2AB9CD" w14:textId="77777777" w:rsidR="0057750A" w:rsidRDefault="0057750A" w:rsidP="0057750A">
      <w:pPr>
        <w:pStyle w:val="af1"/>
        <w:keepNext/>
        <w:jc w:val="center"/>
        <w:rPr>
          <w:i w:val="0"/>
          <w:color w:val="auto"/>
          <w:sz w:val="24"/>
        </w:rPr>
      </w:pPr>
      <w:r>
        <w:rPr>
          <w:i w:val="0"/>
          <w:color w:val="auto"/>
          <w:sz w:val="24"/>
        </w:rPr>
        <w:br w:type="page"/>
      </w:r>
    </w:p>
    <w:p w14:paraId="14DCC901" w14:textId="06B65D6C" w:rsidR="0057750A" w:rsidRPr="0057750A" w:rsidRDefault="0057750A" w:rsidP="0057750A">
      <w:pPr>
        <w:pStyle w:val="af1"/>
        <w:keepNext/>
        <w:jc w:val="center"/>
        <w:rPr>
          <w:i w:val="0"/>
          <w:color w:val="auto"/>
          <w:sz w:val="24"/>
        </w:rPr>
      </w:pPr>
      <w:r w:rsidRPr="0057750A">
        <w:rPr>
          <w:i w:val="0"/>
          <w:color w:val="auto"/>
          <w:sz w:val="24"/>
        </w:rPr>
        <w:lastRenderedPageBreak/>
        <w:t xml:space="preserve">Рисунок </w:t>
      </w:r>
      <w:r w:rsidRPr="0057750A">
        <w:rPr>
          <w:i w:val="0"/>
          <w:color w:val="auto"/>
          <w:sz w:val="24"/>
        </w:rPr>
        <w:fldChar w:fldCharType="begin"/>
      </w:r>
      <w:r w:rsidRPr="0057750A">
        <w:rPr>
          <w:i w:val="0"/>
          <w:color w:val="auto"/>
          <w:sz w:val="24"/>
        </w:rPr>
        <w:instrText xml:space="preserve"> SEQ Рисунок \* ARABIC </w:instrText>
      </w:r>
      <w:r w:rsidRPr="0057750A">
        <w:rPr>
          <w:i w:val="0"/>
          <w:color w:val="auto"/>
          <w:sz w:val="24"/>
        </w:rPr>
        <w:fldChar w:fldCharType="separate"/>
      </w:r>
      <w:r w:rsidRPr="0057750A">
        <w:rPr>
          <w:i w:val="0"/>
          <w:noProof/>
          <w:color w:val="auto"/>
          <w:sz w:val="24"/>
        </w:rPr>
        <w:t>14</w:t>
      </w:r>
      <w:r w:rsidRPr="0057750A">
        <w:rPr>
          <w:i w:val="0"/>
          <w:color w:val="auto"/>
          <w:sz w:val="24"/>
        </w:rPr>
        <w:fldChar w:fldCharType="end"/>
      </w:r>
      <w:r w:rsidRPr="0057750A">
        <w:rPr>
          <w:i w:val="0"/>
          <w:color w:val="auto"/>
          <w:sz w:val="24"/>
        </w:rPr>
        <w:t xml:space="preserve">. Прогноз структуры первичного энергопотребления МЭА. Источник: </w:t>
      </w:r>
      <w:proofErr w:type="spellStart"/>
      <w:r w:rsidRPr="0057750A">
        <w:rPr>
          <w:i w:val="0"/>
          <w:color w:val="auto"/>
          <w:sz w:val="24"/>
        </w:rPr>
        <w:t>World</w:t>
      </w:r>
      <w:proofErr w:type="spellEnd"/>
      <w:r w:rsidRPr="0057750A">
        <w:rPr>
          <w:i w:val="0"/>
          <w:color w:val="auto"/>
          <w:sz w:val="24"/>
        </w:rPr>
        <w:t xml:space="preserve"> </w:t>
      </w:r>
      <w:proofErr w:type="spellStart"/>
      <w:r w:rsidRPr="0057750A">
        <w:rPr>
          <w:i w:val="0"/>
          <w:color w:val="auto"/>
          <w:sz w:val="24"/>
        </w:rPr>
        <w:t>Energy</w:t>
      </w:r>
      <w:proofErr w:type="spellEnd"/>
      <w:r w:rsidRPr="0057750A">
        <w:rPr>
          <w:i w:val="0"/>
          <w:color w:val="auto"/>
          <w:sz w:val="24"/>
        </w:rPr>
        <w:t xml:space="preserve"> </w:t>
      </w:r>
      <w:proofErr w:type="spellStart"/>
      <w:r w:rsidRPr="0057750A">
        <w:rPr>
          <w:i w:val="0"/>
          <w:color w:val="auto"/>
          <w:sz w:val="24"/>
        </w:rPr>
        <w:t>Outlook</w:t>
      </w:r>
      <w:proofErr w:type="spellEnd"/>
      <w:r w:rsidRPr="0057750A">
        <w:rPr>
          <w:i w:val="0"/>
          <w:color w:val="auto"/>
          <w:sz w:val="24"/>
        </w:rPr>
        <w:t xml:space="preserve"> 2019, стр. 35</w:t>
      </w:r>
    </w:p>
    <w:p w14:paraId="607D9B1A" w14:textId="56F2B73C" w:rsidR="004A7A19" w:rsidRPr="0057750A" w:rsidRDefault="004A7A19" w:rsidP="0057750A">
      <w:pPr>
        <w:keepNext/>
      </w:pPr>
      <w:r>
        <w:rPr>
          <w:noProof/>
        </w:rPr>
        <w:drawing>
          <wp:inline distT="0" distB="0" distL="0" distR="0" wp14:anchorId="1A836AA5" wp14:editId="016D689C">
            <wp:extent cx="5967080" cy="2673225"/>
            <wp:effectExtent l="19050" t="19050" r="15240" b="133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0" cy="26961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A7A19" w:rsidRPr="0057750A" w:rsidSect="00FA5870">
      <w:footerReference w:type="default" r:id="rId6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0" w:author="Oksana Grigoreva" w:date="2020-05-29T21:51:00Z" w:initials="OG">
    <w:p w14:paraId="1BDE5B91" w14:textId="77777777" w:rsidR="003B6A89" w:rsidRDefault="003B6A89" w:rsidP="0057750A">
      <w:pPr>
        <w:pStyle w:val="ab"/>
      </w:pPr>
      <w:r>
        <w:rPr>
          <w:rStyle w:val="aa"/>
        </w:rPr>
        <w:annotationRef/>
      </w:r>
      <w:r>
        <w:t>Статистика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DE5B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DE5B91" w16cid:durableId="227C02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171B5" w14:textId="77777777" w:rsidR="002C6C11" w:rsidRDefault="002C6C11" w:rsidP="001717E0">
      <w:pPr>
        <w:spacing w:after="0" w:line="240" w:lineRule="auto"/>
      </w:pPr>
      <w:r>
        <w:separator/>
      </w:r>
    </w:p>
  </w:endnote>
  <w:endnote w:type="continuationSeparator" w:id="0">
    <w:p w14:paraId="7FD9C2C0" w14:textId="77777777" w:rsidR="002C6C11" w:rsidRDefault="002C6C11" w:rsidP="0017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551869"/>
      <w:docPartObj>
        <w:docPartGallery w:val="Page Numbers (Bottom of Page)"/>
        <w:docPartUnique/>
      </w:docPartObj>
    </w:sdtPr>
    <w:sdtEndPr/>
    <w:sdtContent>
      <w:p w14:paraId="7675CC15" w14:textId="03929ED7" w:rsidR="003B6A89" w:rsidRDefault="003B6A8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F6FE14" w14:textId="77777777" w:rsidR="003B6A89" w:rsidRDefault="003B6A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B3D4C" w14:textId="77777777" w:rsidR="002C6C11" w:rsidRDefault="002C6C11" w:rsidP="001717E0">
      <w:pPr>
        <w:spacing w:after="0" w:line="240" w:lineRule="auto"/>
      </w:pPr>
      <w:r>
        <w:separator/>
      </w:r>
    </w:p>
  </w:footnote>
  <w:footnote w:type="continuationSeparator" w:id="0">
    <w:p w14:paraId="59D6DA0B" w14:textId="77777777" w:rsidR="002C6C11" w:rsidRDefault="002C6C11" w:rsidP="001717E0">
      <w:pPr>
        <w:spacing w:after="0" w:line="240" w:lineRule="auto"/>
      </w:pPr>
      <w:r>
        <w:continuationSeparator/>
      </w:r>
    </w:p>
  </w:footnote>
  <w:footnote w:id="1">
    <w:p w14:paraId="2C4213B9" w14:textId="2B9D634A" w:rsidR="003B6A89" w:rsidRPr="00B84A74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bookmarkStart w:id="3" w:name="_Hlk41502389"/>
      <w:r>
        <w:t>Брагинский О.Б. Нефтегазовый комплекс мира – М.: Изд-во «Нефть и газ» РГУ нефти и газа им. И.М. Губкина, 2006</w:t>
      </w:r>
    </w:p>
    <w:bookmarkEnd w:id="3"/>
  </w:footnote>
  <w:footnote w:id="2">
    <w:p w14:paraId="49506D7D" w14:textId="1CAD1291" w:rsidR="003B6A89" w:rsidRDefault="003B6A89" w:rsidP="00EB4D92">
      <w:pPr>
        <w:pStyle w:val="af3"/>
      </w:pPr>
      <w:r>
        <w:rPr>
          <w:rStyle w:val="af5"/>
        </w:rPr>
        <w:footnoteRef/>
      </w:r>
      <w:r>
        <w:t xml:space="preserve"> </w:t>
      </w:r>
      <w:r w:rsidRPr="00003819">
        <w:t>Ромашкин Т.В. Становление и развитие ТНК в условиях глобализации. – Саратов: ООО Издательский центр «Наука», 2016. − 160 с.</w:t>
      </w:r>
    </w:p>
  </w:footnote>
  <w:footnote w:id="3">
    <w:p w14:paraId="232F8E1C" w14:textId="4EFE73AA" w:rsidR="003B6A89" w:rsidRDefault="003B6A89" w:rsidP="00EB4D92">
      <w:pPr>
        <w:pStyle w:val="af3"/>
      </w:pPr>
      <w:r>
        <w:rPr>
          <w:rStyle w:val="af5"/>
        </w:rPr>
        <w:footnoteRef/>
      </w:r>
      <w:r>
        <w:t xml:space="preserve"> Жизнин С.З. Энергетическая дипломатия России: экономика, политика, практика / С. З. Жизнин; Союз нефтегазопромышленников России; Центр </w:t>
      </w:r>
      <w:proofErr w:type="spellStart"/>
      <w:r>
        <w:t>энергет</w:t>
      </w:r>
      <w:proofErr w:type="spellEnd"/>
      <w:r>
        <w:t xml:space="preserve">. дипломатии и геополитики. - М.: </w:t>
      </w:r>
      <w:proofErr w:type="spellStart"/>
      <w:r>
        <w:t>Ист</w:t>
      </w:r>
      <w:proofErr w:type="spellEnd"/>
      <w:r>
        <w:t xml:space="preserve"> Брук, 2005. - 638 с.</w:t>
      </w:r>
    </w:p>
  </w:footnote>
  <w:footnote w:id="4">
    <w:p w14:paraId="7008B4A9" w14:textId="77777777" w:rsidR="003B6A89" w:rsidRDefault="003B6A89" w:rsidP="00202E97">
      <w:pPr>
        <w:pStyle w:val="af3"/>
      </w:pPr>
      <w:r>
        <w:rPr>
          <w:rStyle w:val="af5"/>
        </w:rPr>
        <w:footnoteRef/>
      </w:r>
      <w:r>
        <w:t xml:space="preserve"> </w:t>
      </w:r>
      <w:r w:rsidRPr="00491567">
        <w:t xml:space="preserve">Романова Т.А. </w:t>
      </w:r>
      <w:bookmarkStart w:id="4" w:name="_Hlk41753270"/>
      <w:r w:rsidRPr="00491567">
        <w:t xml:space="preserve">Энергетический диалог России и Европейского союза: эволюция и перспективы развития </w:t>
      </w:r>
      <w:bookmarkEnd w:id="4"/>
      <w:r w:rsidRPr="00491567">
        <w:t xml:space="preserve">// Отношения России с Евросоюзом. Под ред. С. Белена, К. </w:t>
      </w:r>
      <w:proofErr w:type="spellStart"/>
      <w:r w:rsidRPr="00491567">
        <w:t>Худолея</w:t>
      </w:r>
      <w:proofErr w:type="spellEnd"/>
      <w:r w:rsidRPr="00491567">
        <w:t>, Т. Романовой. СПб: Издательство Санкт-Петербургского университета, 2012.</w:t>
      </w:r>
    </w:p>
  </w:footnote>
  <w:footnote w:id="5">
    <w:p w14:paraId="4732449A" w14:textId="5D4E549E" w:rsidR="003B6A89" w:rsidRDefault="003B6A89" w:rsidP="00EB4D92">
      <w:pPr>
        <w:pStyle w:val="af3"/>
      </w:pPr>
      <w:r>
        <w:rPr>
          <w:rStyle w:val="af5"/>
        </w:rPr>
        <w:footnoteRef/>
      </w:r>
      <w:r>
        <w:t xml:space="preserve"> </w:t>
      </w:r>
      <w:proofErr w:type="spellStart"/>
      <w:r w:rsidRPr="00003819">
        <w:t>Ёргин</w:t>
      </w:r>
      <w:proofErr w:type="spellEnd"/>
      <w:r w:rsidRPr="00003819">
        <w:t xml:space="preserve"> Д. Добыча, всемирная история борьбы за нефть, деньги и власть. М.: </w:t>
      </w:r>
      <w:proofErr w:type="spellStart"/>
      <w:r w:rsidRPr="00003819">
        <w:t>De</w:t>
      </w:r>
      <w:proofErr w:type="spellEnd"/>
      <w:r w:rsidRPr="00003819">
        <w:t>-Ново, 1999</w:t>
      </w:r>
    </w:p>
  </w:footnote>
  <w:footnote w:id="6">
    <w:p w14:paraId="01B0A3FB" w14:textId="23BA4E14" w:rsidR="003B6A89" w:rsidRDefault="003B6A89" w:rsidP="00EB4D92">
      <w:pPr>
        <w:pStyle w:val="af3"/>
      </w:pPr>
      <w:r>
        <w:rPr>
          <w:rStyle w:val="af5"/>
        </w:rPr>
        <w:footnoteRef/>
      </w:r>
      <w:r>
        <w:t xml:space="preserve"> </w:t>
      </w:r>
      <w:r w:rsidRPr="00003819">
        <w:t xml:space="preserve">Павлов Н.В. Россия и Германия: несостоявшийся альянс (история с продолжением): Научное издание / Н. В. Павлов. — М.: </w:t>
      </w:r>
      <w:r>
        <w:t>Изд-во</w:t>
      </w:r>
      <w:r w:rsidRPr="00003819">
        <w:t xml:space="preserve"> «Аспект Пресс», 2017. — 560 с.</w:t>
      </w:r>
    </w:p>
  </w:footnote>
  <w:footnote w:id="7">
    <w:p w14:paraId="413EAB17" w14:textId="16D8FBAA" w:rsidR="003B6A89" w:rsidRDefault="003B6A89" w:rsidP="00EB4D92">
      <w:pPr>
        <w:pStyle w:val="af3"/>
      </w:pPr>
      <w:r>
        <w:rPr>
          <w:rStyle w:val="af5"/>
        </w:rPr>
        <w:footnoteRef/>
      </w:r>
      <w:r>
        <w:t xml:space="preserve"> </w:t>
      </w:r>
      <w:r w:rsidRPr="00003819">
        <w:t xml:space="preserve">Россия и Германия в пространстве европейских коммуникаций: коллективная монография / [К. </w:t>
      </w:r>
      <w:proofErr w:type="spellStart"/>
      <w:r w:rsidRPr="00003819">
        <w:t>Зегберс</w:t>
      </w:r>
      <w:proofErr w:type="spellEnd"/>
      <w:r w:rsidRPr="00003819">
        <w:t>, А. Макарычев и др.];</w:t>
      </w:r>
      <w:r>
        <w:t xml:space="preserve"> </w:t>
      </w:r>
      <w:r w:rsidRPr="00003819">
        <w:t>Тюмень: Изд-во Тюменского гос. ун-та, 2013.</w:t>
      </w:r>
      <w:r>
        <w:t xml:space="preserve"> – 271 с.</w:t>
      </w:r>
    </w:p>
  </w:footnote>
  <w:footnote w:id="8">
    <w:p w14:paraId="0A5C6F51" w14:textId="2BB6434B" w:rsidR="003B6A89" w:rsidRDefault="003B6A89" w:rsidP="00EB4D92">
      <w:pPr>
        <w:pStyle w:val="af3"/>
      </w:pPr>
      <w:r>
        <w:rPr>
          <w:rStyle w:val="af5"/>
        </w:rPr>
        <w:footnoteRef/>
      </w:r>
      <w:r>
        <w:t xml:space="preserve"> Россия и Германия в системе международных отношений: через века истории. // Петербургский диалог – 2012: сборник научных статей. / СПбГУ (СПб.), Исторический факультет; под ред. В. Н. Барышникова, А. Ю. Прокопьева. СПб.: Изд-во </w:t>
      </w:r>
      <w:r w:rsidRPr="0086756F">
        <w:t>ООО «Сезам-принт», 2012.</w:t>
      </w:r>
      <w:r>
        <w:t xml:space="preserve"> – 208 с.</w:t>
      </w:r>
    </w:p>
  </w:footnote>
  <w:footnote w:id="9">
    <w:p w14:paraId="7C66FA81" w14:textId="6A18EED7" w:rsidR="003B6A89" w:rsidRPr="00A54B4E" w:rsidRDefault="003B6A89" w:rsidP="00A54B4E">
      <w:pPr>
        <w:pStyle w:val="af3"/>
      </w:pPr>
      <w:r>
        <w:rPr>
          <w:rStyle w:val="af5"/>
        </w:rPr>
        <w:footnoteRef/>
      </w:r>
      <w:r w:rsidRPr="00A54B4E">
        <w:t xml:space="preserve"> </w:t>
      </w:r>
      <w:r>
        <w:t xml:space="preserve">Германия. 2019 / [В.Б. Белов и др.; отв. ред. В.Б. Белов]. – М.: Ин-т Европы РАН, 2020. – 144 с.; </w:t>
      </w:r>
      <w:r w:rsidRPr="00A54B4E">
        <w:t>Белов В.Б. Российско-германские отношения в условиях конфронтации России с коллективным Западом // Европейская аналитика 2018 / Отв. ред. К. Н. Гусев. — М.: ИЕ РАН; СПб.: Нестор-История, 2018. — С. 36-45</w:t>
      </w:r>
    </w:p>
  </w:footnote>
  <w:footnote w:id="10">
    <w:p w14:paraId="1D5F7FEC" w14:textId="77777777" w:rsidR="003B6A89" w:rsidRPr="00866C41" w:rsidRDefault="003B6A89" w:rsidP="00B86436">
      <w:pPr>
        <w:pStyle w:val="af3"/>
      </w:pPr>
      <w:r>
        <w:rPr>
          <w:rStyle w:val="af5"/>
        </w:rPr>
        <w:footnoteRef/>
      </w:r>
      <w:r w:rsidRPr="00866C41">
        <w:t xml:space="preserve"> Ткаченко С.Л. Некоторые аспекты экономических отношений России и ЕС в 1990-1995 гг. // Вестник Санкт-Петербургского университета. 1996. Серия 6. в„–1. С. 103-113.</w:t>
      </w:r>
      <w:r>
        <w:t xml:space="preserve">; </w:t>
      </w:r>
      <w:r w:rsidRPr="00866C41">
        <w:t>Григорьева О.В. Роль дипломатии государства в мировом энергетическом пространстве: современные теоретические подходы. // Вестник Санкт-Петербургского университета. Серия 6: Политология. Международные отношения. 2015. № 2. С. 130-140.</w:t>
      </w:r>
    </w:p>
  </w:footnote>
  <w:footnote w:id="11">
    <w:p w14:paraId="59AEC79C" w14:textId="40B51679" w:rsidR="003B6A89" w:rsidRPr="00A06959" w:rsidRDefault="003B6A89" w:rsidP="00EB4D92">
      <w:pPr>
        <w:pStyle w:val="af3"/>
        <w:rPr>
          <w:lang w:val="en-US"/>
        </w:rPr>
      </w:pPr>
      <w:r>
        <w:rPr>
          <w:rStyle w:val="af5"/>
        </w:rPr>
        <w:footnoteRef/>
      </w:r>
      <w:r w:rsidRPr="000A19CB">
        <w:rPr>
          <w:lang w:val="en-US"/>
        </w:rPr>
        <w:t xml:space="preserve"> </w:t>
      </w:r>
      <w:r w:rsidRPr="00EB4D92">
        <w:rPr>
          <w:lang w:val="en-US"/>
        </w:rPr>
        <w:t>Robert</w:t>
      </w:r>
      <w:r w:rsidRPr="000A19CB">
        <w:rPr>
          <w:lang w:val="en-US"/>
        </w:rPr>
        <w:t xml:space="preserve"> </w:t>
      </w:r>
      <w:r w:rsidRPr="00EB4D92">
        <w:rPr>
          <w:lang w:val="en-US"/>
        </w:rPr>
        <w:t>O</w:t>
      </w:r>
      <w:r w:rsidRPr="000A19CB">
        <w:rPr>
          <w:lang w:val="en-US"/>
        </w:rPr>
        <w:t xml:space="preserve">. </w:t>
      </w:r>
      <w:r w:rsidRPr="00EB4D92">
        <w:rPr>
          <w:lang w:val="en-US"/>
        </w:rPr>
        <w:t>Keohane</w:t>
      </w:r>
      <w:r w:rsidRPr="000A19CB">
        <w:rPr>
          <w:lang w:val="en-US"/>
        </w:rPr>
        <w:t xml:space="preserve">, </w:t>
      </w:r>
      <w:r w:rsidRPr="00EB4D92">
        <w:rPr>
          <w:lang w:val="en-US"/>
        </w:rPr>
        <w:t>Joseph</w:t>
      </w:r>
      <w:r w:rsidRPr="000A19CB">
        <w:rPr>
          <w:lang w:val="en-US"/>
        </w:rPr>
        <w:t xml:space="preserve"> </w:t>
      </w:r>
      <w:r w:rsidRPr="00EB4D92">
        <w:rPr>
          <w:lang w:val="en-US"/>
        </w:rPr>
        <w:t>S</w:t>
      </w:r>
      <w:r w:rsidRPr="000A19CB">
        <w:rPr>
          <w:lang w:val="en-US"/>
        </w:rPr>
        <w:t xml:space="preserve">. </w:t>
      </w:r>
      <w:r w:rsidRPr="00EB4D92">
        <w:rPr>
          <w:lang w:val="en-US"/>
        </w:rPr>
        <w:t>Nye</w:t>
      </w:r>
      <w:r w:rsidRPr="000A19CB">
        <w:rPr>
          <w:lang w:val="en-US"/>
        </w:rPr>
        <w:t xml:space="preserve">. </w:t>
      </w:r>
      <w:r>
        <w:rPr>
          <w:lang w:val="en-US"/>
        </w:rPr>
        <w:t xml:space="preserve">Power and Interdependence / </w:t>
      </w:r>
      <w:r w:rsidRPr="00EB4D92">
        <w:rPr>
          <w:lang w:val="en-US"/>
        </w:rPr>
        <w:t>Robert O. Keohane, Joseph S. Nye. —</w:t>
      </w:r>
      <w:r>
        <w:rPr>
          <w:lang w:val="en-US"/>
        </w:rPr>
        <w:t xml:space="preserve"> </w:t>
      </w:r>
      <w:r w:rsidRPr="00EB4D92">
        <w:rPr>
          <w:lang w:val="en-US"/>
        </w:rPr>
        <w:t>4th ed.</w:t>
      </w:r>
      <w:r w:rsidRPr="00DB26FA">
        <w:rPr>
          <w:lang w:val="en-US"/>
        </w:rPr>
        <w:t xml:space="preserve"> Publisher</w:t>
      </w:r>
      <w:r w:rsidRPr="00A06959">
        <w:rPr>
          <w:lang w:val="en-US"/>
        </w:rPr>
        <w:t xml:space="preserve">: </w:t>
      </w:r>
      <w:r w:rsidRPr="00DB26FA">
        <w:rPr>
          <w:lang w:val="en-US"/>
        </w:rPr>
        <w:t>Pearson</w:t>
      </w:r>
      <w:r w:rsidRPr="00A06959">
        <w:rPr>
          <w:lang w:val="en-US"/>
        </w:rPr>
        <w:t xml:space="preserve">, 2011 – 327 </w:t>
      </w:r>
      <w:r>
        <w:rPr>
          <w:lang w:val="en-US"/>
        </w:rPr>
        <w:t>p</w:t>
      </w:r>
      <w:r w:rsidRPr="00A06959">
        <w:rPr>
          <w:lang w:val="en-US"/>
        </w:rPr>
        <w:t xml:space="preserve">. </w:t>
      </w:r>
    </w:p>
  </w:footnote>
  <w:footnote w:id="12">
    <w:p w14:paraId="76858B03" w14:textId="147E4108" w:rsidR="003B6A89" w:rsidRPr="00DB26FA" w:rsidRDefault="003B6A89">
      <w:pPr>
        <w:pStyle w:val="af3"/>
      </w:pPr>
      <w:r>
        <w:rPr>
          <w:rStyle w:val="af5"/>
        </w:rPr>
        <w:footnoteRef/>
      </w:r>
      <w:r w:rsidRPr="000A19CB">
        <w:t xml:space="preserve"> </w:t>
      </w:r>
      <w:r w:rsidRPr="00DB26FA">
        <w:t>Киссинджер</w:t>
      </w:r>
      <w:r w:rsidRPr="000A19CB">
        <w:t xml:space="preserve"> </w:t>
      </w:r>
      <w:r w:rsidRPr="00DB26FA">
        <w:t>Г</w:t>
      </w:r>
      <w:r w:rsidRPr="000A19CB">
        <w:t xml:space="preserve">., </w:t>
      </w:r>
      <w:r w:rsidRPr="00DB26FA">
        <w:t>Дипломатия</w:t>
      </w:r>
      <w:r w:rsidRPr="000A19CB">
        <w:t xml:space="preserve"> / </w:t>
      </w:r>
      <w:r>
        <w:t>Генри</w:t>
      </w:r>
      <w:r w:rsidRPr="000A19CB">
        <w:t xml:space="preserve"> </w:t>
      </w:r>
      <w:r>
        <w:t>Киссинджер</w:t>
      </w:r>
      <w:r w:rsidRPr="000A19CB">
        <w:t>; [</w:t>
      </w:r>
      <w:r>
        <w:t>пер</w:t>
      </w:r>
      <w:r w:rsidRPr="000A19CB">
        <w:t xml:space="preserve">. </w:t>
      </w:r>
      <w:r>
        <w:t>с</w:t>
      </w:r>
      <w:r w:rsidRPr="000A19CB">
        <w:t xml:space="preserve"> </w:t>
      </w:r>
      <w:r>
        <w:t>англ</w:t>
      </w:r>
      <w:r w:rsidRPr="000A19CB">
        <w:t xml:space="preserve">. </w:t>
      </w:r>
      <w:r>
        <w:t xml:space="preserve">В. </w:t>
      </w:r>
      <w:proofErr w:type="spellStart"/>
      <w:r>
        <w:t>Верченко</w:t>
      </w:r>
      <w:proofErr w:type="spellEnd"/>
      <w:r w:rsidRPr="00DB26FA">
        <w:t>]</w:t>
      </w:r>
      <w:r>
        <w:t xml:space="preserve">. – М.: Изд-во </w:t>
      </w:r>
      <w:r>
        <w:rPr>
          <w:lang w:val="en-US"/>
        </w:rPr>
        <w:t>ACT</w:t>
      </w:r>
      <w:r>
        <w:t>, 2018 – 896 с.</w:t>
      </w:r>
    </w:p>
  </w:footnote>
  <w:footnote w:id="13">
    <w:p w14:paraId="652F8559" w14:textId="3F44867D" w:rsidR="003B6A89" w:rsidRPr="0043073D" w:rsidRDefault="003B6A89">
      <w:pPr>
        <w:pStyle w:val="af3"/>
        <w:rPr>
          <w:lang w:val="en-US"/>
        </w:rPr>
      </w:pPr>
      <w:r>
        <w:rPr>
          <w:rStyle w:val="af5"/>
        </w:rPr>
        <w:footnoteRef/>
      </w:r>
      <w:r w:rsidRPr="0043073D">
        <w:rPr>
          <w:lang w:val="en-US"/>
        </w:rPr>
        <w:t xml:space="preserve"> </w:t>
      </w:r>
      <w:bookmarkStart w:id="9" w:name="_Hlk41502463"/>
      <w:r w:rsidRPr="0043073D">
        <w:rPr>
          <w:lang w:val="en-US"/>
        </w:rPr>
        <w:t>Keohane R., Nye J. Power and Interdependence: World Politics in Transition. Boston: Little Brown and Company, 1977.</w:t>
      </w:r>
      <w:bookmarkEnd w:id="9"/>
    </w:p>
  </w:footnote>
  <w:footnote w:id="14">
    <w:p w14:paraId="2B273A69" w14:textId="14984BFC" w:rsidR="003B6A89" w:rsidRPr="001B44FE" w:rsidRDefault="003B6A89" w:rsidP="001B44FE">
      <w:pPr>
        <w:pStyle w:val="af3"/>
        <w:rPr>
          <w:lang w:val="en-US"/>
        </w:rPr>
      </w:pPr>
      <w:r>
        <w:rPr>
          <w:rStyle w:val="af5"/>
        </w:rPr>
        <w:footnoteRef/>
      </w:r>
      <w:r w:rsidRPr="001B44FE">
        <w:rPr>
          <w:lang w:val="en-US"/>
        </w:rPr>
        <w:t xml:space="preserve"> Walker C. Depression and Globalization: The Politics of Mental Health in 21st Century / Walker </w:t>
      </w:r>
      <w:r>
        <w:t>С</w:t>
      </w:r>
      <w:r w:rsidRPr="001B44FE">
        <w:rPr>
          <w:lang w:val="en-US"/>
        </w:rPr>
        <w:t xml:space="preserve">. N. Y.: Springer, 2008. </w:t>
      </w:r>
      <w:r>
        <w:rPr>
          <w:lang w:val="en-US"/>
        </w:rPr>
        <w:t>–</w:t>
      </w:r>
      <w:r w:rsidRPr="001B44FE">
        <w:rPr>
          <w:lang w:val="en-US"/>
        </w:rPr>
        <w:t xml:space="preserve"> </w:t>
      </w:r>
      <w:r>
        <w:rPr>
          <w:lang w:val="en-US"/>
        </w:rPr>
        <w:t>p. 108.</w:t>
      </w:r>
    </w:p>
  </w:footnote>
  <w:footnote w:id="15">
    <w:p w14:paraId="549544AC" w14:textId="6A9CF05A" w:rsidR="003B6A89" w:rsidRPr="0027374D" w:rsidRDefault="003B6A89">
      <w:pPr>
        <w:pStyle w:val="af3"/>
      </w:pPr>
      <w:r>
        <w:rPr>
          <w:rStyle w:val="af5"/>
        </w:rPr>
        <w:footnoteRef/>
      </w:r>
      <w:r w:rsidRPr="001B44FE">
        <w:rPr>
          <w:lang w:val="en-US"/>
        </w:rPr>
        <w:t xml:space="preserve"> Williamson </w:t>
      </w:r>
      <w:r>
        <w:rPr>
          <w:lang w:val="en-US"/>
        </w:rPr>
        <w:t xml:space="preserve">J. </w:t>
      </w:r>
      <w:r w:rsidRPr="001B44FE">
        <w:rPr>
          <w:lang w:val="en-US"/>
        </w:rPr>
        <w:t>The Washington Consensus as Policy Prescription for Development</w:t>
      </w:r>
      <w:r>
        <w:rPr>
          <w:lang w:val="en-US"/>
        </w:rPr>
        <w:t xml:space="preserve"> / </w:t>
      </w:r>
      <w:r w:rsidRPr="001B44FE">
        <w:rPr>
          <w:lang w:val="en-US"/>
        </w:rPr>
        <w:t>John Williamson</w:t>
      </w:r>
      <w:r>
        <w:rPr>
          <w:lang w:val="en-US"/>
        </w:rPr>
        <w:t xml:space="preserve"> // </w:t>
      </w:r>
      <w:r w:rsidRPr="001B44FE">
        <w:rPr>
          <w:lang w:val="en-US"/>
        </w:rPr>
        <w:t>A lecture in the series "Practitioners of Development"</w:t>
      </w:r>
      <w:r>
        <w:rPr>
          <w:lang w:val="en-US"/>
        </w:rPr>
        <w:t xml:space="preserve"> </w:t>
      </w:r>
      <w:r w:rsidRPr="001B44FE">
        <w:rPr>
          <w:lang w:val="en-US"/>
        </w:rPr>
        <w:t>at the World Bank</w:t>
      </w:r>
      <w:r>
        <w:rPr>
          <w:lang w:val="en-US"/>
        </w:rPr>
        <w:t xml:space="preserve">. </w:t>
      </w:r>
      <w:r w:rsidRPr="00C626D3">
        <w:rPr>
          <w:lang w:val="en-US"/>
        </w:rPr>
        <w:t>Institute</w:t>
      </w:r>
      <w:r w:rsidRPr="0027374D">
        <w:t xml:space="preserve"> </w:t>
      </w:r>
      <w:r w:rsidRPr="00C626D3">
        <w:rPr>
          <w:lang w:val="en-US"/>
        </w:rPr>
        <w:t>for</w:t>
      </w:r>
      <w:r w:rsidRPr="0027374D">
        <w:t xml:space="preserve"> </w:t>
      </w:r>
      <w:r w:rsidRPr="00C626D3">
        <w:rPr>
          <w:lang w:val="en-US"/>
        </w:rPr>
        <w:t>International</w:t>
      </w:r>
      <w:r w:rsidRPr="0027374D">
        <w:t xml:space="preserve"> </w:t>
      </w:r>
      <w:r w:rsidRPr="00C626D3">
        <w:rPr>
          <w:lang w:val="en-US"/>
        </w:rPr>
        <w:t>Economics</w:t>
      </w:r>
      <w:r w:rsidRPr="0027374D">
        <w:t xml:space="preserve">, 2004 – </w:t>
      </w:r>
      <w:r>
        <w:rPr>
          <w:lang w:val="en-US"/>
        </w:rPr>
        <w:t>p</w:t>
      </w:r>
      <w:r w:rsidRPr="0027374D">
        <w:t>. 3-10</w:t>
      </w:r>
    </w:p>
  </w:footnote>
  <w:footnote w:id="16">
    <w:p w14:paraId="30C45365" w14:textId="64250968" w:rsidR="003B6A89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bookmarkStart w:id="14" w:name="_Hlk41502499"/>
      <w:r w:rsidRPr="0027374D">
        <w:t xml:space="preserve">ИЭИ РАН. Эволюция мировых энергетических рынков и её последствия для России, 2015. </w:t>
      </w:r>
      <w:r>
        <w:t>С</w:t>
      </w:r>
      <w:r w:rsidRPr="0027374D">
        <w:t>тр. 27-39</w:t>
      </w:r>
      <w:bookmarkEnd w:id="14"/>
    </w:p>
  </w:footnote>
  <w:footnote w:id="17">
    <w:p w14:paraId="0909A45C" w14:textId="6CBE03FE" w:rsidR="003B6A89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r w:rsidRPr="00A557F6">
        <w:t>ИЭИ РАН. Эволюция мировых энергетических рынков и её последствия для России, 2015. Стр. 39-59</w:t>
      </w:r>
    </w:p>
  </w:footnote>
  <w:footnote w:id="18">
    <w:p w14:paraId="45701ECD" w14:textId="21934023" w:rsidR="003B6A89" w:rsidRDefault="003B6A89">
      <w:pPr>
        <w:pStyle w:val="af3"/>
      </w:pPr>
      <w:r>
        <w:rPr>
          <w:rStyle w:val="af5"/>
        </w:rPr>
        <w:footnoteRef/>
      </w:r>
      <w:r>
        <w:t xml:space="preserve"> Указ Президента Российской Федерации от 13.05.2019 г. «Об утверждении Доктрины энергетической безопасности Российской Федерации» - 2019. Стр. 1-2</w:t>
      </w:r>
    </w:p>
  </w:footnote>
  <w:footnote w:id="19">
    <w:p w14:paraId="22B0C235" w14:textId="78F9A378" w:rsidR="003B6A89" w:rsidRPr="003B6A89" w:rsidRDefault="003B6A89">
      <w:pPr>
        <w:pStyle w:val="af3"/>
        <w:rPr>
          <w:lang w:val="en-US"/>
        </w:rPr>
      </w:pPr>
      <w:r>
        <w:rPr>
          <w:rStyle w:val="af5"/>
        </w:rPr>
        <w:footnoteRef/>
      </w:r>
      <w:r>
        <w:t xml:space="preserve"> Жизнин, С.З. Российская энергетическая дипломатия и международная энергетическая безопасность (геополитика и экономика) / </w:t>
      </w:r>
      <w:r w:rsidRPr="00B5419A">
        <w:t>С. З.</w:t>
      </w:r>
      <w:r>
        <w:t xml:space="preserve"> Жизнин // Энергетика в современном мире и международная энергетическая политика – Калининград: Изд-во Балтийский федеральный университет им. И</w:t>
      </w:r>
      <w:r w:rsidRPr="003B6A89">
        <w:rPr>
          <w:lang w:val="en-US"/>
        </w:rPr>
        <w:t xml:space="preserve">. </w:t>
      </w:r>
      <w:r>
        <w:t>Канта</w:t>
      </w:r>
      <w:r w:rsidRPr="003B6A89">
        <w:rPr>
          <w:lang w:val="en-US"/>
        </w:rPr>
        <w:t xml:space="preserve">, 2010. </w:t>
      </w:r>
      <w:r>
        <w:t>С</w:t>
      </w:r>
      <w:r w:rsidRPr="003B6A89">
        <w:rPr>
          <w:lang w:val="en-US"/>
        </w:rPr>
        <w:t>. 8-21</w:t>
      </w:r>
    </w:p>
  </w:footnote>
  <w:footnote w:id="20">
    <w:p w14:paraId="4BAED1F8" w14:textId="63CC6E18" w:rsidR="003B6A89" w:rsidRPr="003B6A89" w:rsidRDefault="003B6A89">
      <w:pPr>
        <w:pStyle w:val="af3"/>
        <w:rPr>
          <w:lang w:val="en-US"/>
        </w:rPr>
      </w:pPr>
      <w:r>
        <w:rPr>
          <w:rStyle w:val="af5"/>
        </w:rPr>
        <w:footnoteRef/>
      </w:r>
      <w:r w:rsidRPr="003B6A89">
        <w:rPr>
          <w:lang w:val="en-US"/>
        </w:rPr>
        <w:t xml:space="preserve"> </w:t>
      </w:r>
      <w:r>
        <w:t>Там</w:t>
      </w:r>
      <w:r w:rsidRPr="003B6A89">
        <w:rPr>
          <w:lang w:val="en-US"/>
        </w:rPr>
        <w:t xml:space="preserve"> </w:t>
      </w:r>
      <w:r>
        <w:t>же</w:t>
      </w:r>
      <w:r w:rsidRPr="003B6A89">
        <w:rPr>
          <w:lang w:val="en-US"/>
        </w:rPr>
        <w:t xml:space="preserve">, </w:t>
      </w:r>
      <w:r>
        <w:t>с</w:t>
      </w:r>
      <w:r w:rsidRPr="003B6A89">
        <w:rPr>
          <w:lang w:val="en-US"/>
        </w:rPr>
        <w:t>. 9</w:t>
      </w:r>
    </w:p>
  </w:footnote>
  <w:footnote w:id="21">
    <w:p w14:paraId="4312EC9B" w14:textId="4B1BD7CF" w:rsidR="003B6A89" w:rsidRPr="002E526F" w:rsidRDefault="003B6A89">
      <w:pPr>
        <w:pStyle w:val="af3"/>
      </w:pPr>
      <w:r>
        <w:rPr>
          <w:rStyle w:val="af5"/>
        </w:rPr>
        <w:footnoteRef/>
      </w:r>
      <w:r w:rsidRPr="002E526F">
        <w:rPr>
          <w:lang w:val="en-US"/>
        </w:rPr>
        <w:t xml:space="preserve"> </w:t>
      </w:r>
      <w:bookmarkStart w:id="16" w:name="_Hlk41502529"/>
      <w:r>
        <w:rPr>
          <w:lang w:val="en-US"/>
        </w:rPr>
        <w:t>Organization</w:t>
      </w:r>
      <w:r w:rsidRPr="002E526F">
        <w:rPr>
          <w:lang w:val="en-US"/>
        </w:rPr>
        <w:t xml:space="preserve"> </w:t>
      </w:r>
      <w:r>
        <w:rPr>
          <w:lang w:val="en-US"/>
        </w:rPr>
        <w:t>of</w:t>
      </w:r>
      <w:r w:rsidRPr="002E526F">
        <w:rPr>
          <w:lang w:val="en-US"/>
        </w:rPr>
        <w:t xml:space="preserve"> </w:t>
      </w:r>
      <w:r>
        <w:rPr>
          <w:lang w:val="en-US"/>
        </w:rPr>
        <w:t>the</w:t>
      </w:r>
      <w:r w:rsidRPr="002E526F">
        <w:rPr>
          <w:lang w:val="en-US"/>
        </w:rPr>
        <w:t xml:space="preserve"> </w:t>
      </w:r>
      <w:r>
        <w:rPr>
          <w:lang w:val="en-US"/>
        </w:rPr>
        <w:t>Petroleum</w:t>
      </w:r>
      <w:r w:rsidRPr="002E526F">
        <w:rPr>
          <w:lang w:val="en-US"/>
        </w:rPr>
        <w:t xml:space="preserve"> </w:t>
      </w:r>
      <w:r>
        <w:rPr>
          <w:lang w:val="en-US"/>
        </w:rPr>
        <w:t xml:space="preserve">Exporting Countries </w:t>
      </w:r>
      <w:r w:rsidRPr="002E526F">
        <w:rPr>
          <w:lang w:val="en-US"/>
        </w:rPr>
        <w:t>[Electronic resource]</w:t>
      </w:r>
      <w:r>
        <w:rPr>
          <w:lang w:val="en-US"/>
        </w:rPr>
        <w:t xml:space="preserve"> // </w:t>
      </w:r>
      <w:r>
        <w:t>Официальный</w:t>
      </w:r>
      <w:r w:rsidRPr="002E526F">
        <w:rPr>
          <w:lang w:val="en-US"/>
        </w:rPr>
        <w:t xml:space="preserve"> </w:t>
      </w:r>
      <w:r>
        <w:t>сайт</w:t>
      </w:r>
      <w:r w:rsidRPr="002E526F">
        <w:rPr>
          <w:lang w:val="en-US"/>
        </w:rPr>
        <w:t xml:space="preserve"> Организаци</w:t>
      </w:r>
      <w:r>
        <w:t>и</w:t>
      </w:r>
      <w:r w:rsidRPr="002E526F">
        <w:rPr>
          <w:lang w:val="en-US"/>
        </w:rPr>
        <w:t xml:space="preserve"> стран – экспортёров нефти. </w:t>
      </w:r>
      <w:r>
        <w:t xml:space="preserve">Режим доступа: </w:t>
      </w:r>
      <w:hyperlink r:id="rId1" w:history="1">
        <w:r w:rsidRPr="00A47EE0">
          <w:rPr>
            <w:rStyle w:val="a8"/>
          </w:rPr>
          <w:t>https://www.opec.org/opec_web/en/about_us/24.htm</w:t>
        </w:r>
      </w:hyperlink>
      <w:r>
        <w:t xml:space="preserve"> (дата обращения 07.03.2020)</w:t>
      </w:r>
    </w:p>
    <w:bookmarkEnd w:id="16"/>
  </w:footnote>
  <w:footnote w:id="22">
    <w:p w14:paraId="224F443A" w14:textId="3F7DE4E1" w:rsidR="003B6A89" w:rsidRDefault="003B6A89">
      <w:pPr>
        <w:pStyle w:val="af3"/>
      </w:pPr>
      <w:r>
        <w:rPr>
          <w:rStyle w:val="af5"/>
        </w:rPr>
        <w:footnoteRef/>
      </w:r>
      <w:r w:rsidRPr="002E526F">
        <w:t xml:space="preserve"> </w:t>
      </w:r>
      <w:r w:rsidRPr="002E526F">
        <w:rPr>
          <w:lang w:val="en-US"/>
        </w:rPr>
        <w:t>Organization</w:t>
      </w:r>
      <w:r w:rsidRPr="002E526F">
        <w:t xml:space="preserve"> </w:t>
      </w:r>
      <w:r w:rsidRPr="002E526F">
        <w:rPr>
          <w:lang w:val="en-US"/>
        </w:rPr>
        <w:t>of</w:t>
      </w:r>
      <w:r w:rsidRPr="002E526F">
        <w:t xml:space="preserve"> </w:t>
      </w:r>
      <w:r w:rsidRPr="002E526F">
        <w:rPr>
          <w:lang w:val="en-US"/>
        </w:rPr>
        <w:t>Arab</w:t>
      </w:r>
      <w:r w:rsidRPr="002E526F">
        <w:t xml:space="preserve"> </w:t>
      </w:r>
      <w:r w:rsidRPr="002E526F">
        <w:rPr>
          <w:lang w:val="en-US"/>
        </w:rPr>
        <w:t>Petroleum</w:t>
      </w:r>
      <w:r w:rsidRPr="002E526F">
        <w:t xml:space="preserve"> </w:t>
      </w:r>
      <w:r w:rsidRPr="002E526F">
        <w:rPr>
          <w:lang w:val="en-US"/>
        </w:rPr>
        <w:t>Exporting</w:t>
      </w:r>
      <w:r w:rsidRPr="002E526F">
        <w:t xml:space="preserve"> </w:t>
      </w:r>
      <w:r w:rsidRPr="002E526F">
        <w:rPr>
          <w:lang w:val="en-US"/>
        </w:rPr>
        <w:t>Countries</w:t>
      </w:r>
      <w:r w:rsidRPr="002E526F">
        <w:t xml:space="preserve"> [</w:t>
      </w:r>
      <w:r w:rsidRPr="002E526F">
        <w:rPr>
          <w:lang w:val="en-US"/>
        </w:rPr>
        <w:t>Electronic</w:t>
      </w:r>
      <w:r w:rsidRPr="002E526F">
        <w:t xml:space="preserve"> </w:t>
      </w:r>
      <w:r w:rsidRPr="002E526F">
        <w:rPr>
          <w:lang w:val="en-US"/>
        </w:rPr>
        <w:t>resource</w:t>
      </w:r>
      <w:r w:rsidRPr="002E526F">
        <w:t xml:space="preserve">] // </w:t>
      </w:r>
      <w:r>
        <w:t>Официальный</w:t>
      </w:r>
      <w:r w:rsidRPr="002E526F">
        <w:t xml:space="preserve"> </w:t>
      </w:r>
      <w:r>
        <w:t>сайт</w:t>
      </w:r>
      <w:r w:rsidRPr="002E526F">
        <w:t xml:space="preserve"> Организац</w:t>
      </w:r>
      <w:r>
        <w:t>ии</w:t>
      </w:r>
      <w:r w:rsidRPr="002E526F">
        <w:t xml:space="preserve"> арабских стран</w:t>
      </w:r>
      <w:r>
        <w:t xml:space="preserve"> –</w:t>
      </w:r>
      <w:r w:rsidRPr="002E526F">
        <w:t xml:space="preserve"> экспортёров нефти</w:t>
      </w:r>
      <w:r>
        <w:t xml:space="preserve">. Режим доступа: </w:t>
      </w:r>
      <w:hyperlink r:id="rId2" w:history="1">
        <w:r w:rsidRPr="00A47EE0">
          <w:rPr>
            <w:rStyle w:val="a8"/>
          </w:rPr>
          <w:t>http://www.oapecorg.org/Home/About-Us/Objective-of-the-Organization</w:t>
        </w:r>
      </w:hyperlink>
      <w:r>
        <w:t xml:space="preserve"> (дата обращения 07.03.2020)</w:t>
      </w:r>
    </w:p>
    <w:p w14:paraId="74D64A7F" w14:textId="77777777" w:rsidR="003B6A89" w:rsidRPr="002E526F" w:rsidRDefault="003B6A89">
      <w:pPr>
        <w:pStyle w:val="af3"/>
      </w:pPr>
    </w:p>
  </w:footnote>
  <w:footnote w:id="23">
    <w:p w14:paraId="632CFE56" w14:textId="6EB0303E" w:rsidR="003B6A89" w:rsidRPr="002E526F" w:rsidRDefault="003B6A89">
      <w:pPr>
        <w:pStyle w:val="af3"/>
      </w:pPr>
      <w:r>
        <w:rPr>
          <w:rStyle w:val="af5"/>
        </w:rPr>
        <w:footnoteRef/>
      </w:r>
      <w:r w:rsidRPr="002E526F">
        <w:rPr>
          <w:lang w:val="en-US"/>
        </w:rPr>
        <w:t xml:space="preserve"> Gas Exporting Countries Forum </w:t>
      </w:r>
      <w:bookmarkStart w:id="17" w:name="_Hlk41333832"/>
      <w:r w:rsidRPr="002E526F">
        <w:rPr>
          <w:lang w:val="en-US"/>
        </w:rPr>
        <w:t xml:space="preserve">[Electronic resource] // </w:t>
      </w:r>
      <w:r w:rsidRPr="002E526F">
        <w:t>Официальный</w:t>
      </w:r>
      <w:r w:rsidRPr="002E526F">
        <w:rPr>
          <w:lang w:val="en-US"/>
        </w:rPr>
        <w:t xml:space="preserve"> </w:t>
      </w:r>
      <w:r w:rsidRPr="002E526F">
        <w:t>сайт</w:t>
      </w:r>
      <w:r w:rsidRPr="002E526F">
        <w:rPr>
          <w:lang w:val="en-US"/>
        </w:rPr>
        <w:t xml:space="preserve"> </w:t>
      </w:r>
      <w:bookmarkEnd w:id="17"/>
      <w:r>
        <w:t>Форума</w:t>
      </w:r>
      <w:r w:rsidRPr="002E526F">
        <w:rPr>
          <w:lang w:val="en-US"/>
        </w:rPr>
        <w:t xml:space="preserve"> </w:t>
      </w:r>
      <w:r>
        <w:t>стран</w:t>
      </w:r>
      <w:r w:rsidRPr="002E526F">
        <w:rPr>
          <w:lang w:val="en-US"/>
        </w:rPr>
        <w:t xml:space="preserve"> </w:t>
      </w:r>
      <w:r>
        <w:rPr>
          <w:lang w:val="en-US"/>
        </w:rPr>
        <w:t>–</w:t>
      </w:r>
      <w:r w:rsidRPr="002E526F">
        <w:rPr>
          <w:lang w:val="en-US"/>
        </w:rPr>
        <w:t xml:space="preserve"> </w:t>
      </w:r>
      <w:r>
        <w:t>экспортеров</w:t>
      </w:r>
      <w:r w:rsidRPr="002E526F">
        <w:rPr>
          <w:lang w:val="en-US"/>
        </w:rPr>
        <w:t xml:space="preserve"> </w:t>
      </w:r>
      <w:r>
        <w:t>газа</w:t>
      </w:r>
      <w:r w:rsidRPr="002E526F">
        <w:rPr>
          <w:lang w:val="en-US"/>
        </w:rPr>
        <w:t xml:space="preserve">. </w:t>
      </w:r>
      <w:r>
        <w:t xml:space="preserve">Режим доступа: </w:t>
      </w:r>
      <w:hyperlink r:id="rId3" w:history="1">
        <w:r w:rsidRPr="00A47EE0">
          <w:rPr>
            <w:rStyle w:val="a8"/>
          </w:rPr>
          <w:t>https://www.gecf.org/about/overview.aspx</w:t>
        </w:r>
      </w:hyperlink>
      <w:r>
        <w:t xml:space="preserve"> (дата обращения 07.03.2020)</w:t>
      </w:r>
    </w:p>
  </w:footnote>
  <w:footnote w:id="24">
    <w:p w14:paraId="7F5EFC6E" w14:textId="3F8859AA" w:rsidR="003B6A89" w:rsidRPr="003A5AD7" w:rsidRDefault="003B6A89">
      <w:pPr>
        <w:pStyle w:val="af3"/>
      </w:pPr>
      <w:r>
        <w:rPr>
          <w:rStyle w:val="af5"/>
        </w:rPr>
        <w:footnoteRef/>
      </w:r>
      <w:r w:rsidRPr="003A5AD7">
        <w:t xml:space="preserve"> </w:t>
      </w:r>
      <w:r>
        <w:rPr>
          <w:lang w:val="en-US"/>
        </w:rPr>
        <w:t>International</w:t>
      </w:r>
      <w:r w:rsidRPr="003A5AD7">
        <w:t xml:space="preserve"> </w:t>
      </w:r>
      <w:r>
        <w:rPr>
          <w:lang w:val="en-US"/>
        </w:rPr>
        <w:t>Energy</w:t>
      </w:r>
      <w:r w:rsidRPr="003A5AD7">
        <w:t xml:space="preserve"> </w:t>
      </w:r>
      <w:r>
        <w:rPr>
          <w:lang w:val="en-US"/>
        </w:rPr>
        <w:t>Agency</w:t>
      </w:r>
      <w:r w:rsidRPr="003A5AD7">
        <w:t xml:space="preserve"> [</w:t>
      </w:r>
      <w:r w:rsidRPr="003A5AD7">
        <w:rPr>
          <w:lang w:val="en-US"/>
        </w:rPr>
        <w:t>Electronic</w:t>
      </w:r>
      <w:r w:rsidRPr="003A5AD7">
        <w:t xml:space="preserve"> </w:t>
      </w:r>
      <w:r w:rsidRPr="003A5AD7">
        <w:rPr>
          <w:lang w:val="en-US"/>
        </w:rPr>
        <w:t>resource</w:t>
      </w:r>
      <w:r w:rsidRPr="003A5AD7">
        <w:t xml:space="preserve">] // Официальный сайт </w:t>
      </w:r>
      <w:r>
        <w:t>Международного</w:t>
      </w:r>
      <w:r w:rsidRPr="003A5AD7">
        <w:t xml:space="preserve"> </w:t>
      </w:r>
      <w:r>
        <w:t xml:space="preserve">энергетического агентства. Режим доступа: </w:t>
      </w:r>
      <w:hyperlink r:id="rId4" w:history="1">
        <w:r w:rsidRPr="00A47EE0">
          <w:rPr>
            <w:rStyle w:val="a8"/>
          </w:rPr>
          <w:t>https://www.iea.org/about/mission</w:t>
        </w:r>
      </w:hyperlink>
      <w:r>
        <w:t xml:space="preserve"> (дата обращения 07.03.2020)</w:t>
      </w:r>
    </w:p>
  </w:footnote>
  <w:footnote w:id="25">
    <w:p w14:paraId="65702303" w14:textId="3AA65EF5" w:rsidR="003B6A89" w:rsidRPr="003A5AD7" w:rsidRDefault="003B6A89">
      <w:pPr>
        <w:pStyle w:val="af3"/>
      </w:pPr>
      <w:r>
        <w:rPr>
          <w:rStyle w:val="af5"/>
        </w:rPr>
        <w:footnoteRef/>
      </w:r>
      <w:r w:rsidRPr="003A5AD7">
        <w:t xml:space="preserve"> </w:t>
      </w:r>
      <w:r>
        <w:rPr>
          <w:lang w:val="en-US"/>
        </w:rPr>
        <w:t>International</w:t>
      </w:r>
      <w:r w:rsidRPr="003A5AD7">
        <w:t xml:space="preserve"> </w:t>
      </w:r>
      <w:r>
        <w:rPr>
          <w:lang w:val="en-US"/>
        </w:rPr>
        <w:t>Energy</w:t>
      </w:r>
      <w:r w:rsidRPr="003A5AD7">
        <w:t xml:space="preserve"> </w:t>
      </w:r>
      <w:r>
        <w:rPr>
          <w:lang w:val="en-US"/>
        </w:rPr>
        <w:t>Forum</w:t>
      </w:r>
      <w:r w:rsidRPr="003A5AD7">
        <w:t xml:space="preserve"> [</w:t>
      </w:r>
      <w:r w:rsidRPr="003A5AD7">
        <w:rPr>
          <w:lang w:val="en-US"/>
        </w:rPr>
        <w:t>Electronic</w:t>
      </w:r>
      <w:r w:rsidRPr="003A5AD7">
        <w:t xml:space="preserve"> </w:t>
      </w:r>
      <w:r w:rsidRPr="003A5AD7">
        <w:rPr>
          <w:lang w:val="en-US"/>
        </w:rPr>
        <w:t>resource</w:t>
      </w:r>
      <w:r w:rsidRPr="003A5AD7">
        <w:t xml:space="preserve">] // Официальный сайт </w:t>
      </w:r>
      <w:r>
        <w:t>Международного</w:t>
      </w:r>
      <w:r w:rsidRPr="003A5AD7">
        <w:t xml:space="preserve"> </w:t>
      </w:r>
      <w:r>
        <w:t xml:space="preserve">энергетического форума. Режим доступа: </w:t>
      </w:r>
      <w:hyperlink r:id="rId5" w:history="1">
        <w:r w:rsidRPr="00A47EE0">
          <w:rPr>
            <w:rStyle w:val="a8"/>
          </w:rPr>
          <w:t>https://www.ief.org/about-ief/history.aspx</w:t>
        </w:r>
      </w:hyperlink>
      <w:r>
        <w:t xml:space="preserve"> (дата обращения 07.03.2020)</w:t>
      </w:r>
    </w:p>
  </w:footnote>
  <w:footnote w:id="26">
    <w:p w14:paraId="35A73ACF" w14:textId="63769084" w:rsidR="003B6A89" w:rsidRPr="003A5AD7" w:rsidRDefault="003B6A89">
      <w:pPr>
        <w:pStyle w:val="af3"/>
      </w:pPr>
      <w:r>
        <w:rPr>
          <w:rStyle w:val="af5"/>
        </w:rPr>
        <w:footnoteRef/>
      </w:r>
      <w:r w:rsidRPr="003A5AD7">
        <w:rPr>
          <w:lang w:val="en-US"/>
        </w:rPr>
        <w:t xml:space="preserve"> Joint </w:t>
      </w:r>
      <w:proofErr w:type="spellStart"/>
      <w:r w:rsidRPr="003A5AD7">
        <w:rPr>
          <w:lang w:val="en-US"/>
        </w:rPr>
        <w:t>Organisations</w:t>
      </w:r>
      <w:proofErr w:type="spellEnd"/>
      <w:r w:rsidRPr="003A5AD7">
        <w:rPr>
          <w:lang w:val="en-US"/>
        </w:rPr>
        <w:t xml:space="preserve"> Data Initiative</w:t>
      </w:r>
      <w:r>
        <w:rPr>
          <w:lang w:val="en-US"/>
        </w:rPr>
        <w:t xml:space="preserve"> </w:t>
      </w:r>
      <w:r w:rsidRPr="003A5AD7">
        <w:rPr>
          <w:lang w:val="en-US"/>
        </w:rPr>
        <w:t xml:space="preserve">[Electronic resource] // </w:t>
      </w:r>
      <w:r w:rsidRPr="003A5AD7">
        <w:t>Официальный</w:t>
      </w:r>
      <w:r w:rsidRPr="003A5AD7">
        <w:rPr>
          <w:lang w:val="en-US"/>
        </w:rPr>
        <w:t xml:space="preserve"> </w:t>
      </w:r>
      <w:r w:rsidRPr="003A5AD7">
        <w:t>сайт</w:t>
      </w:r>
      <w:r w:rsidRPr="003A5AD7">
        <w:rPr>
          <w:lang w:val="en-US"/>
        </w:rPr>
        <w:t xml:space="preserve"> </w:t>
      </w:r>
      <w:r>
        <w:rPr>
          <w:lang w:val="en-US"/>
        </w:rPr>
        <w:t xml:space="preserve">JODI. </w:t>
      </w:r>
      <w:r>
        <w:t xml:space="preserve">Режим доступа: </w:t>
      </w:r>
      <w:hyperlink r:id="rId6" w:history="1">
        <w:r w:rsidRPr="00A47EE0">
          <w:rPr>
            <w:rStyle w:val="a8"/>
          </w:rPr>
          <w:t>https://www.jodidata.org/about-jodi/history.aspx</w:t>
        </w:r>
      </w:hyperlink>
      <w:r>
        <w:t xml:space="preserve"> (дата обращения 07.03.2020)</w:t>
      </w:r>
    </w:p>
  </w:footnote>
  <w:footnote w:id="27">
    <w:p w14:paraId="111D15AE" w14:textId="0E513ADA" w:rsidR="003B6A89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r w:rsidRPr="00E71F11">
        <w:t xml:space="preserve">Брагинский О.Б. Нефтегазовый комплекс мира – М.: Изд-во «Нефть и газ» РГУ нефти и газа им. И.М. Губкина, 2006 – </w:t>
      </w:r>
      <w:r>
        <w:t>стр. 96</w:t>
      </w:r>
    </w:p>
  </w:footnote>
  <w:footnote w:id="28">
    <w:p w14:paraId="408EC065" w14:textId="29B60F2A" w:rsidR="003B6A89" w:rsidRPr="00E71F11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bookmarkStart w:id="18" w:name="_Hlk41502573"/>
      <w:r>
        <w:rPr>
          <w:lang w:val="en-US"/>
        </w:rPr>
        <w:t>Forbes</w:t>
      </w:r>
      <w:r w:rsidRPr="00E71F11">
        <w:t xml:space="preserve"> [</w:t>
      </w:r>
      <w:r>
        <w:rPr>
          <w:lang w:val="en-US"/>
        </w:rPr>
        <w:t>Electronic</w:t>
      </w:r>
      <w:r w:rsidRPr="00E71F11">
        <w:t xml:space="preserve"> </w:t>
      </w:r>
      <w:r>
        <w:rPr>
          <w:lang w:val="en-US"/>
        </w:rPr>
        <w:t>resource</w:t>
      </w:r>
      <w:r w:rsidRPr="00E71F11">
        <w:t xml:space="preserve">] // </w:t>
      </w:r>
      <w:r>
        <w:t>Официальный сайт интернет-журнала «</w:t>
      </w:r>
      <w:proofErr w:type="spellStart"/>
      <w:r>
        <w:t>Форбс</w:t>
      </w:r>
      <w:proofErr w:type="spellEnd"/>
      <w:r>
        <w:t xml:space="preserve">». Режим доступа: </w:t>
      </w:r>
      <w:hyperlink r:id="rId7" w:anchor="5e6f117335d8" w:history="1">
        <w:r w:rsidRPr="00A47EE0">
          <w:rPr>
            <w:rStyle w:val="a8"/>
          </w:rPr>
          <w:t>https://www.forbes.com/global2000/#5e6f117335d8</w:t>
        </w:r>
      </w:hyperlink>
      <w:r>
        <w:t xml:space="preserve"> (дата обращения 0</w:t>
      </w:r>
      <w:r w:rsidRPr="00E71F11">
        <w:t>8</w:t>
      </w:r>
      <w:r>
        <w:t>.03.2020)</w:t>
      </w:r>
      <w:bookmarkEnd w:id="18"/>
    </w:p>
  </w:footnote>
  <w:footnote w:id="29">
    <w:p w14:paraId="6469E0B3" w14:textId="528DB5B0" w:rsidR="003B6A89" w:rsidRDefault="003B6A89" w:rsidP="00013213">
      <w:pPr>
        <w:spacing w:line="240" w:lineRule="auto"/>
      </w:pPr>
      <w:r w:rsidRPr="003B6A89">
        <w:rPr>
          <w:rStyle w:val="af5"/>
          <w:sz w:val="20"/>
        </w:rPr>
        <w:footnoteRef/>
      </w:r>
      <w:r>
        <w:t xml:space="preserve"> </w:t>
      </w:r>
      <w:r w:rsidRPr="00433B53">
        <w:rPr>
          <w:sz w:val="20"/>
          <w:szCs w:val="20"/>
        </w:rPr>
        <w:t>Г. Киссинджер «Дипломатия», М</w:t>
      </w:r>
      <w:r>
        <w:rPr>
          <w:sz w:val="20"/>
          <w:szCs w:val="20"/>
        </w:rPr>
        <w:t>.</w:t>
      </w:r>
      <w:r w:rsidRPr="00433B53">
        <w:rPr>
          <w:sz w:val="20"/>
          <w:szCs w:val="20"/>
        </w:rPr>
        <w:t xml:space="preserve">: </w:t>
      </w:r>
      <w:r>
        <w:rPr>
          <w:sz w:val="20"/>
          <w:szCs w:val="20"/>
        </w:rPr>
        <w:t>Изд-во</w:t>
      </w:r>
      <w:r w:rsidRPr="00433B53">
        <w:rPr>
          <w:sz w:val="20"/>
          <w:szCs w:val="20"/>
        </w:rPr>
        <w:t xml:space="preserve"> ACT, 2018. –</w:t>
      </w:r>
      <w:r>
        <w:rPr>
          <w:sz w:val="20"/>
          <w:szCs w:val="20"/>
        </w:rPr>
        <w:t xml:space="preserve"> с. 9</w:t>
      </w:r>
    </w:p>
  </w:footnote>
  <w:footnote w:id="30">
    <w:p w14:paraId="55B36993" w14:textId="2FADDE62" w:rsidR="003B6A89" w:rsidRPr="00433B53" w:rsidRDefault="003B6A89" w:rsidP="00013213">
      <w:pPr>
        <w:pStyle w:val="af3"/>
      </w:pPr>
      <w:r w:rsidRPr="00013213">
        <w:rPr>
          <w:rStyle w:val="af5"/>
        </w:rPr>
        <w:footnoteRef/>
      </w:r>
      <w:r w:rsidRPr="00433B53">
        <w:rPr>
          <w:lang w:val="en-US"/>
        </w:rPr>
        <w:t xml:space="preserve"> IEA World Energy Balances 2019 </w:t>
      </w:r>
      <w:r>
        <w:rPr>
          <w:lang w:val="en-US"/>
        </w:rPr>
        <w:t xml:space="preserve">[Electronic resource] // </w:t>
      </w:r>
      <w:r>
        <w:t>Официальный</w:t>
      </w:r>
      <w:r w:rsidRPr="00433B53">
        <w:rPr>
          <w:lang w:val="en-US"/>
        </w:rPr>
        <w:t xml:space="preserve"> </w:t>
      </w:r>
      <w:r>
        <w:t>сайт</w:t>
      </w:r>
      <w:r w:rsidRPr="00433B53">
        <w:rPr>
          <w:lang w:val="en-US"/>
        </w:rPr>
        <w:t xml:space="preserve"> </w:t>
      </w:r>
      <w:r>
        <w:t>МЭА</w:t>
      </w:r>
      <w:r w:rsidRPr="00433B53">
        <w:rPr>
          <w:lang w:val="en-US"/>
        </w:rPr>
        <w:t xml:space="preserve">. </w:t>
      </w:r>
      <w:r>
        <w:t>Режим</w:t>
      </w:r>
      <w:r w:rsidRPr="00433B53">
        <w:t xml:space="preserve"> </w:t>
      </w:r>
      <w:r>
        <w:t>доступа</w:t>
      </w:r>
      <w:r w:rsidRPr="00433B53">
        <w:t xml:space="preserve">: </w:t>
      </w:r>
      <w:hyperlink r:id="rId8" w:history="1">
        <w:r w:rsidRPr="00A47EE0">
          <w:rPr>
            <w:rStyle w:val="a8"/>
            <w:lang w:val="en-US"/>
          </w:rPr>
          <w:t>https</w:t>
        </w:r>
        <w:r w:rsidRPr="00433B53">
          <w:rPr>
            <w:rStyle w:val="a8"/>
          </w:rPr>
          <w:t>://</w:t>
        </w:r>
        <w:r w:rsidRPr="00A47EE0">
          <w:rPr>
            <w:rStyle w:val="a8"/>
            <w:lang w:val="en-US"/>
          </w:rPr>
          <w:t>www</w:t>
        </w:r>
        <w:r w:rsidRPr="00433B53">
          <w:rPr>
            <w:rStyle w:val="a8"/>
          </w:rPr>
          <w:t>.</w:t>
        </w:r>
        <w:proofErr w:type="spellStart"/>
        <w:r w:rsidRPr="00A47EE0">
          <w:rPr>
            <w:rStyle w:val="a8"/>
            <w:lang w:val="en-US"/>
          </w:rPr>
          <w:t>iea</w:t>
        </w:r>
        <w:proofErr w:type="spellEnd"/>
        <w:r w:rsidRPr="00433B53">
          <w:rPr>
            <w:rStyle w:val="a8"/>
          </w:rPr>
          <w:t>.</w:t>
        </w:r>
        <w:r w:rsidRPr="00A47EE0">
          <w:rPr>
            <w:rStyle w:val="a8"/>
            <w:lang w:val="en-US"/>
          </w:rPr>
          <w:t>org</w:t>
        </w:r>
        <w:r w:rsidRPr="00433B53">
          <w:rPr>
            <w:rStyle w:val="a8"/>
          </w:rPr>
          <w:t>/</w:t>
        </w:r>
        <w:r w:rsidRPr="00A47EE0">
          <w:rPr>
            <w:rStyle w:val="a8"/>
            <w:lang w:val="en-US"/>
          </w:rPr>
          <w:t>subscribe</w:t>
        </w:r>
        <w:r w:rsidRPr="00433B53">
          <w:rPr>
            <w:rStyle w:val="a8"/>
          </w:rPr>
          <w:t>-</w:t>
        </w:r>
        <w:r w:rsidRPr="00A47EE0">
          <w:rPr>
            <w:rStyle w:val="a8"/>
            <w:lang w:val="en-US"/>
          </w:rPr>
          <w:t>to</w:t>
        </w:r>
        <w:r w:rsidRPr="00433B53">
          <w:rPr>
            <w:rStyle w:val="a8"/>
          </w:rPr>
          <w:t>-</w:t>
        </w:r>
        <w:r w:rsidRPr="00A47EE0">
          <w:rPr>
            <w:rStyle w:val="a8"/>
            <w:lang w:val="en-US"/>
          </w:rPr>
          <w:t>data</w:t>
        </w:r>
        <w:r w:rsidRPr="00433B53">
          <w:rPr>
            <w:rStyle w:val="a8"/>
          </w:rPr>
          <w:t>-</w:t>
        </w:r>
        <w:r w:rsidRPr="00A47EE0">
          <w:rPr>
            <w:rStyle w:val="a8"/>
            <w:lang w:val="en-US"/>
          </w:rPr>
          <w:t>services</w:t>
        </w:r>
        <w:r w:rsidRPr="00433B53">
          <w:rPr>
            <w:rStyle w:val="a8"/>
          </w:rPr>
          <w:t>/</w:t>
        </w:r>
        <w:r w:rsidRPr="00A47EE0">
          <w:rPr>
            <w:rStyle w:val="a8"/>
            <w:lang w:val="en-US"/>
          </w:rPr>
          <w:t>world</w:t>
        </w:r>
        <w:r w:rsidRPr="00433B53">
          <w:rPr>
            <w:rStyle w:val="a8"/>
          </w:rPr>
          <w:t>-</w:t>
        </w:r>
        <w:r w:rsidRPr="00A47EE0">
          <w:rPr>
            <w:rStyle w:val="a8"/>
            <w:lang w:val="en-US"/>
          </w:rPr>
          <w:t>energy</w:t>
        </w:r>
        <w:r w:rsidRPr="00433B53">
          <w:rPr>
            <w:rStyle w:val="a8"/>
          </w:rPr>
          <w:t>-</w:t>
        </w:r>
        <w:r w:rsidRPr="00A47EE0">
          <w:rPr>
            <w:rStyle w:val="a8"/>
            <w:lang w:val="en-US"/>
          </w:rPr>
          <w:t>balances</w:t>
        </w:r>
        <w:r w:rsidRPr="00433B53">
          <w:rPr>
            <w:rStyle w:val="a8"/>
          </w:rPr>
          <w:t>-</w:t>
        </w:r>
        <w:r w:rsidRPr="00A47EE0">
          <w:rPr>
            <w:rStyle w:val="a8"/>
            <w:lang w:val="en-US"/>
          </w:rPr>
          <w:t>and</w:t>
        </w:r>
        <w:r w:rsidRPr="00433B53">
          <w:rPr>
            <w:rStyle w:val="a8"/>
          </w:rPr>
          <w:t>-</w:t>
        </w:r>
        <w:r w:rsidRPr="00A47EE0">
          <w:rPr>
            <w:rStyle w:val="a8"/>
            <w:lang w:val="en-US"/>
          </w:rPr>
          <w:t>statistics</w:t>
        </w:r>
      </w:hyperlink>
      <w:r w:rsidRPr="00433B53">
        <w:t xml:space="preserve"> </w:t>
      </w:r>
      <w:r>
        <w:t>(дата обращения: 14.03.2020)</w:t>
      </w:r>
    </w:p>
  </w:footnote>
  <w:footnote w:id="31">
    <w:p w14:paraId="2D1FA30F" w14:textId="734A8AAF" w:rsidR="003B6A89" w:rsidRPr="004965B9" w:rsidRDefault="003B6A89">
      <w:pPr>
        <w:pStyle w:val="af3"/>
        <w:rPr>
          <w:lang w:val="en-US"/>
        </w:rPr>
      </w:pPr>
      <w:r>
        <w:rPr>
          <w:rStyle w:val="af5"/>
        </w:rPr>
        <w:footnoteRef/>
      </w:r>
      <w:r w:rsidRPr="004965B9">
        <w:rPr>
          <w:lang w:val="en-US"/>
        </w:rPr>
        <w:t xml:space="preserve"> </w:t>
      </w:r>
      <w:bookmarkStart w:id="21" w:name="_Hlk41502592"/>
      <w:r>
        <w:rPr>
          <w:lang w:val="en-US"/>
        </w:rPr>
        <w:t>Shell</w:t>
      </w:r>
      <w:r w:rsidRPr="004965B9">
        <w:rPr>
          <w:lang w:val="en-US"/>
        </w:rPr>
        <w:t xml:space="preserve"> </w:t>
      </w:r>
      <w:r>
        <w:rPr>
          <w:lang w:val="en-US"/>
        </w:rPr>
        <w:t>Energy</w:t>
      </w:r>
      <w:r w:rsidRPr="004965B9">
        <w:rPr>
          <w:lang w:val="en-US"/>
        </w:rPr>
        <w:t xml:space="preserve"> </w:t>
      </w:r>
      <w:r>
        <w:rPr>
          <w:lang w:val="en-US"/>
        </w:rPr>
        <w:t>Transition</w:t>
      </w:r>
      <w:r w:rsidRPr="004965B9">
        <w:rPr>
          <w:lang w:val="en-US"/>
        </w:rPr>
        <w:t xml:space="preserve"> </w:t>
      </w:r>
      <w:r>
        <w:rPr>
          <w:lang w:val="en-US"/>
        </w:rPr>
        <w:t xml:space="preserve">Report // </w:t>
      </w:r>
      <w:r>
        <w:t>Официальный</w:t>
      </w:r>
      <w:r w:rsidRPr="00736BCE">
        <w:rPr>
          <w:lang w:val="en-US"/>
        </w:rPr>
        <w:t xml:space="preserve"> </w:t>
      </w:r>
      <w:r>
        <w:t>прогноз</w:t>
      </w:r>
      <w:r w:rsidRPr="00736BCE">
        <w:rPr>
          <w:lang w:val="en-US"/>
        </w:rPr>
        <w:t xml:space="preserve"> </w:t>
      </w:r>
      <w:r>
        <w:t>ТНК</w:t>
      </w:r>
      <w:r w:rsidRPr="00736BCE">
        <w:rPr>
          <w:lang w:val="en-US"/>
        </w:rPr>
        <w:t xml:space="preserve"> </w:t>
      </w:r>
      <w:r>
        <w:rPr>
          <w:lang w:val="en-US"/>
        </w:rPr>
        <w:t>Royal Dutch Shell,</w:t>
      </w:r>
      <w:r w:rsidRPr="004965B9">
        <w:rPr>
          <w:lang w:val="en-US"/>
        </w:rPr>
        <w:t xml:space="preserve"> 2019 – 41 </w:t>
      </w:r>
      <w:r>
        <w:t>стр</w:t>
      </w:r>
      <w:r w:rsidRPr="004965B9">
        <w:rPr>
          <w:lang w:val="en-US"/>
        </w:rPr>
        <w:t>.</w:t>
      </w:r>
      <w:bookmarkEnd w:id="21"/>
    </w:p>
  </w:footnote>
  <w:footnote w:id="32">
    <w:p w14:paraId="714E536F" w14:textId="6A7FC2E1" w:rsidR="003B6A89" w:rsidRPr="004965B9" w:rsidRDefault="003B6A89">
      <w:pPr>
        <w:pStyle w:val="af3"/>
      </w:pPr>
      <w:r>
        <w:rPr>
          <w:rStyle w:val="af5"/>
        </w:rPr>
        <w:footnoteRef/>
      </w:r>
      <w:r w:rsidRPr="004965B9">
        <w:t xml:space="preserve"> </w:t>
      </w:r>
      <w:r>
        <w:t>Там</w:t>
      </w:r>
      <w:r w:rsidRPr="004965B9">
        <w:t xml:space="preserve"> </w:t>
      </w:r>
      <w:r>
        <w:t>же, с</w:t>
      </w:r>
      <w:r w:rsidRPr="004965B9">
        <w:t>. 19</w:t>
      </w:r>
    </w:p>
  </w:footnote>
  <w:footnote w:id="33">
    <w:p w14:paraId="6A42C5A8" w14:textId="616F71FA" w:rsidR="003B6A89" w:rsidRDefault="003B6A89">
      <w:pPr>
        <w:pStyle w:val="af3"/>
      </w:pPr>
      <w:r>
        <w:rPr>
          <w:rStyle w:val="af5"/>
        </w:rPr>
        <w:footnoteRef/>
      </w:r>
      <w:r>
        <w:t xml:space="preserve"> См. </w:t>
      </w:r>
      <w:r w:rsidR="00B17EFB">
        <w:t>П</w:t>
      </w:r>
      <w:r>
        <w:t>риложения</w:t>
      </w:r>
      <w:r w:rsidR="00B17EFB">
        <w:t xml:space="preserve"> рисунок </w:t>
      </w:r>
      <w:r>
        <w:t>9</w:t>
      </w:r>
      <w:r w:rsidR="00B17EFB">
        <w:t xml:space="preserve"> и 10</w:t>
      </w:r>
    </w:p>
  </w:footnote>
  <w:footnote w:id="34">
    <w:p w14:paraId="7E47AB76" w14:textId="0D851BA7" w:rsidR="003B6A89" w:rsidRPr="000A19CB" w:rsidRDefault="003B6A89">
      <w:pPr>
        <w:pStyle w:val="af3"/>
        <w:rPr>
          <w:lang w:val="en-US"/>
        </w:rPr>
      </w:pPr>
      <w:r>
        <w:rPr>
          <w:rStyle w:val="af5"/>
        </w:rPr>
        <w:footnoteRef/>
      </w:r>
      <w:r w:rsidRPr="000A19CB">
        <w:rPr>
          <w:lang w:val="en-US"/>
        </w:rPr>
        <w:t xml:space="preserve"> </w:t>
      </w:r>
      <w:r>
        <w:t>См</w:t>
      </w:r>
      <w:r w:rsidRPr="000A19CB">
        <w:rPr>
          <w:lang w:val="en-US"/>
        </w:rPr>
        <w:t xml:space="preserve">. </w:t>
      </w:r>
      <w:r w:rsidR="00B17EFB">
        <w:t>П</w:t>
      </w:r>
      <w:r>
        <w:t>риложения</w:t>
      </w:r>
      <w:r w:rsidR="00B17EFB" w:rsidRPr="000A19CB">
        <w:rPr>
          <w:lang w:val="en-US"/>
        </w:rPr>
        <w:t xml:space="preserve"> </w:t>
      </w:r>
      <w:r w:rsidR="00B17EFB">
        <w:t>рисунок</w:t>
      </w:r>
      <w:r w:rsidRPr="000A19CB">
        <w:rPr>
          <w:lang w:val="en-US"/>
        </w:rPr>
        <w:t xml:space="preserve"> 11</w:t>
      </w:r>
    </w:p>
  </w:footnote>
  <w:footnote w:id="35">
    <w:p w14:paraId="45D78571" w14:textId="0C0E43DB" w:rsidR="003B6A89" w:rsidRPr="000A19CB" w:rsidRDefault="003B6A89">
      <w:pPr>
        <w:pStyle w:val="af3"/>
        <w:rPr>
          <w:lang w:val="en-US"/>
        </w:rPr>
      </w:pPr>
      <w:r>
        <w:rPr>
          <w:rStyle w:val="af5"/>
        </w:rPr>
        <w:footnoteRef/>
      </w:r>
      <w:r w:rsidRPr="000A19CB">
        <w:rPr>
          <w:lang w:val="en-US"/>
        </w:rPr>
        <w:t xml:space="preserve"> </w:t>
      </w:r>
      <w:bookmarkStart w:id="22" w:name="_Hlk41502597"/>
      <w:r>
        <w:rPr>
          <w:lang w:val="en-US"/>
        </w:rPr>
        <w:t>Outlook</w:t>
      </w:r>
      <w:r w:rsidRPr="000A19CB">
        <w:rPr>
          <w:lang w:val="en-US"/>
        </w:rPr>
        <w:t xml:space="preserve"> </w:t>
      </w:r>
      <w:r>
        <w:rPr>
          <w:lang w:val="en-US"/>
        </w:rPr>
        <w:t>for</w:t>
      </w:r>
      <w:r w:rsidRPr="000A19CB">
        <w:rPr>
          <w:lang w:val="en-US"/>
        </w:rPr>
        <w:t xml:space="preserve"> </w:t>
      </w:r>
      <w:r>
        <w:rPr>
          <w:lang w:val="en-US"/>
        </w:rPr>
        <w:t>Energy</w:t>
      </w:r>
      <w:r w:rsidRPr="000A19CB">
        <w:rPr>
          <w:lang w:val="en-US"/>
        </w:rPr>
        <w:t xml:space="preserve">: </w:t>
      </w:r>
      <w:r>
        <w:rPr>
          <w:lang w:val="en-US"/>
        </w:rPr>
        <w:t>a</w:t>
      </w:r>
      <w:r w:rsidRPr="000A19CB">
        <w:rPr>
          <w:lang w:val="en-US"/>
        </w:rPr>
        <w:t xml:space="preserve"> </w:t>
      </w:r>
      <w:r>
        <w:rPr>
          <w:lang w:val="en-US"/>
        </w:rPr>
        <w:t>perspective</w:t>
      </w:r>
      <w:r w:rsidRPr="000A19CB">
        <w:rPr>
          <w:lang w:val="en-US"/>
        </w:rPr>
        <w:t xml:space="preserve"> </w:t>
      </w:r>
      <w:r>
        <w:rPr>
          <w:lang w:val="en-US"/>
        </w:rPr>
        <w:t>to</w:t>
      </w:r>
      <w:r w:rsidRPr="000A19CB">
        <w:rPr>
          <w:lang w:val="en-US"/>
        </w:rPr>
        <w:t xml:space="preserve"> 2040 // </w:t>
      </w:r>
      <w:r>
        <w:t>Официальный</w:t>
      </w:r>
      <w:r w:rsidRPr="000A19CB">
        <w:rPr>
          <w:lang w:val="en-US"/>
        </w:rPr>
        <w:t xml:space="preserve"> </w:t>
      </w:r>
      <w:r>
        <w:t>прогноз</w:t>
      </w:r>
      <w:r w:rsidRPr="000A19CB">
        <w:rPr>
          <w:lang w:val="en-US"/>
        </w:rPr>
        <w:t xml:space="preserve"> </w:t>
      </w:r>
      <w:r>
        <w:rPr>
          <w:lang w:val="en-US"/>
        </w:rPr>
        <w:t>Exxon</w:t>
      </w:r>
      <w:r w:rsidRPr="000A19CB">
        <w:rPr>
          <w:lang w:val="en-US"/>
        </w:rPr>
        <w:t xml:space="preserve"> </w:t>
      </w:r>
      <w:r>
        <w:rPr>
          <w:lang w:val="en-US"/>
        </w:rPr>
        <w:t>Mobil</w:t>
      </w:r>
      <w:r w:rsidRPr="000A19CB">
        <w:rPr>
          <w:lang w:val="en-US"/>
        </w:rPr>
        <w:t xml:space="preserve">, 2019 – </w:t>
      </w:r>
      <w:r>
        <w:t>С</w:t>
      </w:r>
      <w:r w:rsidRPr="000A19CB">
        <w:rPr>
          <w:lang w:val="en-US"/>
        </w:rPr>
        <w:t>. 10-12</w:t>
      </w:r>
      <w:bookmarkEnd w:id="22"/>
    </w:p>
  </w:footnote>
  <w:footnote w:id="36">
    <w:p w14:paraId="64A9386F" w14:textId="37CE3924" w:rsidR="003B6A89" w:rsidRPr="00D16DC0" w:rsidRDefault="003B6A89">
      <w:pPr>
        <w:pStyle w:val="af3"/>
        <w:rPr>
          <w:lang w:val="en-US"/>
        </w:rPr>
      </w:pPr>
      <w:r>
        <w:rPr>
          <w:rStyle w:val="af5"/>
        </w:rPr>
        <w:footnoteRef/>
      </w:r>
      <w:r w:rsidRPr="00D16DC0">
        <w:rPr>
          <w:lang w:val="en-US"/>
        </w:rPr>
        <w:t xml:space="preserve"> </w:t>
      </w:r>
      <w:bookmarkStart w:id="23" w:name="_Hlk41502605"/>
      <w:r>
        <w:rPr>
          <w:lang w:val="en-US"/>
        </w:rPr>
        <w:t>British</w:t>
      </w:r>
      <w:r w:rsidRPr="00D16DC0">
        <w:rPr>
          <w:lang w:val="en-US"/>
        </w:rPr>
        <w:t xml:space="preserve"> </w:t>
      </w:r>
      <w:r>
        <w:rPr>
          <w:lang w:val="en-US"/>
        </w:rPr>
        <w:t>Petroleum</w:t>
      </w:r>
      <w:r w:rsidRPr="00D16DC0">
        <w:rPr>
          <w:lang w:val="en-US"/>
        </w:rPr>
        <w:t xml:space="preserve"> </w:t>
      </w:r>
      <w:r>
        <w:rPr>
          <w:lang w:val="en-US"/>
        </w:rPr>
        <w:t>Energy</w:t>
      </w:r>
      <w:r w:rsidRPr="00D16DC0">
        <w:rPr>
          <w:lang w:val="en-US"/>
        </w:rPr>
        <w:t xml:space="preserve"> </w:t>
      </w:r>
      <w:r>
        <w:rPr>
          <w:lang w:val="en-US"/>
        </w:rPr>
        <w:t>Outlook</w:t>
      </w:r>
      <w:r w:rsidRPr="00D16DC0">
        <w:rPr>
          <w:lang w:val="en-US"/>
        </w:rPr>
        <w:t xml:space="preserve"> // </w:t>
      </w:r>
      <w:r>
        <w:t>Официальный</w:t>
      </w:r>
      <w:r w:rsidRPr="00D16DC0">
        <w:rPr>
          <w:lang w:val="en-US"/>
        </w:rPr>
        <w:t xml:space="preserve"> </w:t>
      </w:r>
      <w:r>
        <w:t>прогноз</w:t>
      </w:r>
      <w:r w:rsidRPr="00D16DC0">
        <w:rPr>
          <w:lang w:val="en-US"/>
        </w:rPr>
        <w:t xml:space="preserve"> </w:t>
      </w:r>
      <w:r>
        <w:t>ТНК</w:t>
      </w:r>
      <w:r w:rsidRPr="00D16DC0">
        <w:rPr>
          <w:lang w:val="en-US"/>
        </w:rPr>
        <w:t xml:space="preserve"> </w:t>
      </w:r>
      <w:r>
        <w:rPr>
          <w:lang w:val="en-US"/>
        </w:rPr>
        <w:t>BP</w:t>
      </w:r>
      <w:r w:rsidRPr="00D16DC0">
        <w:rPr>
          <w:lang w:val="en-US"/>
        </w:rPr>
        <w:t xml:space="preserve">, 2019 </w:t>
      </w:r>
      <w:r>
        <w:rPr>
          <w:lang w:val="en-US"/>
        </w:rPr>
        <w:t>–</w:t>
      </w:r>
      <w:r w:rsidRPr="00D16DC0">
        <w:rPr>
          <w:lang w:val="en-US"/>
        </w:rPr>
        <w:t xml:space="preserve"> </w:t>
      </w:r>
      <w:r>
        <w:t>С</w:t>
      </w:r>
      <w:r w:rsidRPr="00D16DC0">
        <w:rPr>
          <w:lang w:val="en-US"/>
        </w:rPr>
        <w:t xml:space="preserve">. </w:t>
      </w:r>
      <w:r>
        <w:rPr>
          <w:lang w:val="en-US"/>
        </w:rPr>
        <w:t>79</w:t>
      </w:r>
      <w:bookmarkEnd w:id="23"/>
    </w:p>
  </w:footnote>
  <w:footnote w:id="37">
    <w:p w14:paraId="616F12FB" w14:textId="507A379A" w:rsidR="003B6A89" w:rsidRPr="004A7A19" w:rsidRDefault="003B6A89">
      <w:pPr>
        <w:pStyle w:val="af3"/>
      </w:pPr>
      <w:r>
        <w:rPr>
          <w:rStyle w:val="af5"/>
        </w:rPr>
        <w:footnoteRef/>
      </w:r>
      <w:r w:rsidRPr="004A7A19">
        <w:t xml:space="preserve"> </w:t>
      </w:r>
      <w:r>
        <w:t xml:space="preserve">См. </w:t>
      </w:r>
      <w:r w:rsidR="00B17EFB">
        <w:t>П</w:t>
      </w:r>
      <w:r>
        <w:t>риложения рисунок 12</w:t>
      </w:r>
    </w:p>
  </w:footnote>
  <w:footnote w:id="38">
    <w:p w14:paraId="5508EE9F" w14:textId="1D9649E5" w:rsidR="003B6A89" w:rsidRDefault="003B6A89" w:rsidP="004A7A19">
      <w:pPr>
        <w:pStyle w:val="af3"/>
      </w:pPr>
      <w:r>
        <w:rPr>
          <w:rStyle w:val="af5"/>
        </w:rPr>
        <w:footnoteRef/>
      </w:r>
      <w:r>
        <w:t xml:space="preserve"> </w:t>
      </w:r>
      <w:r>
        <w:rPr>
          <w:lang w:val="en-US"/>
        </w:rPr>
        <w:t>World</w:t>
      </w:r>
      <w:r w:rsidRPr="00D16DC0">
        <w:t xml:space="preserve"> </w:t>
      </w:r>
      <w:r>
        <w:rPr>
          <w:lang w:val="en-US"/>
        </w:rPr>
        <w:t>Oil</w:t>
      </w:r>
      <w:r w:rsidRPr="00D16DC0">
        <w:t xml:space="preserve"> </w:t>
      </w:r>
      <w:r>
        <w:rPr>
          <w:lang w:val="en-US"/>
        </w:rPr>
        <w:t>Outlook</w:t>
      </w:r>
      <w:r w:rsidRPr="00D16DC0">
        <w:t xml:space="preserve"> 2040 // </w:t>
      </w:r>
      <w:r>
        <w:t xml:space="preserve">Официальный прогноз ОПЕК, 2017 – С. 62-66 </w:t>
      </w:r>
    </w:p>
  </w:footnote>
  <w:footnote w:id="39">
    <w:p w14:paraId="3A478EB5" w14:textId="270B6CCD" w:rsidR="003B6A89" w:rsidRPr="00DA2619" w:rsidRDefault="003B6A89">
      <w:pPr>
        <w:pStyle w:val="af3"/>
      </w:pPr>
      <w:r>
        <w:rPr>
          <w:rStyle w:val="af5"/>
        </w:rPr>
        <w:footnoteRef/>
      </w:r>
      <w:r w:rsidRPr="00DA2619">
        <w:t xml:space="preserve"> </w:t>
      </w:r>
      <w:r>
        <w:rPr>
          <w:lang w:val="en-US"/>
        </w:rPr>
        <w:t>Global</w:t>
      </w:r>
      <w:r w:rsidRPr="00DA2619">
        <w:t xml:space="preserve"> </w:t>
      </w:r>
      <w:r>
        <w:rPr>
          <w:lang w:val="en-US"/>
        </w:rPr>
        <w:t>Gas</w:t>
      </w:r>
      <w:r w:rsidRPr="00DA2619">
        <w:t xml:space="preserve"> </w:t>
      </w:r>
      <w:r>
        <w:rPr>
          <w:lang w:val="en-US"/>
        </w:rPr>
        <w:t>Outlook</w:t>
      </w:r>
      <w:r w:rsidRPr="00DA2619">
        <w:t xml:space="preserve"> 2050 </w:t>
      </w:r>
      <w:r>
        <w:rPr>
          <w:lang w:val="en-US"/>
        </w:rPr>
        <w:t>Synopsis</w:t>
      </w:r>
      <w:r w:rsidRPr="00DA2619">
        <w:t xml:space="preserve"> // </w:t>
      </w:r>
      <w:r>
        <w:t>Официальный</w:t>
      </w:r>
      <w:r w:rsidRPr="00DA2619">
        <w:t xml:space="preserve"> </w:t>
      </w:r>
      <w:r>
        <w:t>прогноз</w:t>
      </w:r>
      <w:r w:rsidRPr="00DA2619">
        <w:t xml:space="preserve"> </w:t>
      </w:r>
      <w:r>
        <w:t>ФСЭГ</w:t>
      </w:r>
      <w:r w:rsidRPr="00DA2619">
        <w:t xml:space="preserve">, 2020. – </w:t>
      </w:r>
      <w:r>
        <w:t>С</w:t>
      </w:r>
      <w:r w:rsidRPr="00DA2619">
        <w:t xml:space="preserve">. 51-54; </w:t>
      </w:r>
      <w:r>
        <w:t>см</w:t>
      </w:r>
      <w:r w:rsidRPr="00DA2619">
        <w:t xml:space="preserve">. </w:t>
      </w:r>
      <w:r>
        <w:t>в приложениях рисунок 13</w:t>
      </w:r>
    </w:p>
  </w:footnote>
  <w:footnote w:id="40">
    <w:p w14:paraId="2E5B48F5" w14:textId="5319BE24" w:rsidR="003B6A89" w:rsidRDefault="003B6A89">
      <w:pPr>
        <w:pStyle w:val="af3"/>
      </w:pPr>
      <w:r>
        <w:rPr>
          <w:rStyle w:val="af5"/>
        </w:rPr>
        <w:footnoteRef/>
      </w:r>
      <w:r>
        <w:t xml:space="preserve"> Там же, с. 52</w:t>
      </w:r>
    </w:p>
  </w:footnote>
  <w:footnote w:id="41">
    <w:p w14:paraId="28F6BFBE" w14:textId="5984A63E" w:rsidR="003B6A89" w:rsidRDefault="003B6A89">
      <w:pPr>
        <w:pStyle w:val="af3"/>
      </w:pPr>
      <w:r>
        <w:rPr>
          <w:rStyle w:val="af5"/>
        </w:rPr>
        <w:footnoteRef/>
      </w:r>
      <w:r>
        <w:t xml:space="preserve"> Там же, с. 54</w:t>
      </w:r>
    </w:p>
  </w:footnote>
  <w:footnote w:id="42">
    <w:p w14:paraId="76F171AE" w14:textId="59A0B58B" w:rsidR="003B6A89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bookmarkStart w:id="24" w:name="_Hlk41502626"/>
      <w:r>
        <w:rPr>
          <w:lang w:val="en-US"/>
        </w:rPr>
        <w:t>World</w:t>
      </w:r>
      <w:r w:rsidRPr="00736BCE">
        <w:t xml:space="preserve"> </w:t>
      </w:r>
      <w:r>
        <w:rPr>
          <w:lang w:val="en-US"/>
        </w:rPr>
        <w:t>Energy</w:t>
      </w:r>
      <w:r w:rsidRPr="00736BCE">
        <w:t xml:space="preserve"> </w:t>
      </w:r>
      <w:r>
        <w:rPr>
          <w:lang w:val="en-US"/>
        </w:rPr>
        <w:t>Outlook</w:t>
      </w:r>
      <w:r w:rsidRPr="00736BCE">
        <w:t xml:space="preserve"> // </w:t>
      </w:r>
      <w:r>
        <w:t>Официальный</w:t>
      </w:r>
      <w:r w:rsidRPr="00736BCE">
        <w:t xml:space="preserve"> </w:t>
      </w:r>
      <w:r>
        <w:t>прогноз</w:t>
      </w:r>
      <w:r w:rsidRPr="00736BCE">
        <w:t xml:space="preserve"> </w:t>
      </w:r>
      <w:r>
        <w:t xml:space="preserve">МЭА, </w:t>
      </w:r>
      <w:r w:rsidRPr="00736BCE">
        <w:t xml:space="preserve">2019 – </w:t>
      </w:r>
      <w:r>
        <w:t>С. 129</w:t>
      </w:r>
      <w:bookmarkEnd w:id="24"/>
      <w:r>
        <w:t xml:space="preserve">; см. </w:t>
      </w:r>
      <w:r w:rsidR="00B17EFB">
        <w:t>П</w:t>
      </w:r>
      <w:r>
        <w:t>риложения рисунок 14</w:t>
      </w:r>
    </w:p>
  </w:footnote>
  <w:footnote w:id="43">
    <w:p w14:paraId="5D759959" w14:textId="380C0576" w:rsidR="003B6A89" w:rsidRDefault="003B6A89">
      <w:pPr>
        <w:pStyle w:val="af3"/>
      </w:pPr>
      <w:r>
        <w:rPr>
          <w:rStyle w:val="af5"/>
        </w:rPr>
        <w:footnoteRef/>
      </w:r>
      <w:r>
        <w:t xml:space="preserve"> Там же, с. 180</w:t>
      </w:r>
    </w:p>
  </w:footnote>
  <w:footnote w:id="44">
    <w:p w14:paraId="2FE14B83" w14:textId="0C4245B6" w:rsidR="003B6A89" w:rsidRDefault="003B6A89" w:rsidP="00B254F2">
      <w:pPr>
        <w:pStyle w:val="af3"/>
      </w:pPr>
      <w:r>
        <w:rPr>
          <w:rStyle w:val="af5"/>
        </w:rPr>
        <w:footnoteRef/>
      </w:r>
      <w:r>
        <w:t xml:space="preserve"> Захаров В.Ю. К вопросу о проведении первой модернизации в истории России / В.Ю. Захаров // Вестник Московского гос. обл. университета. Серия: история и политические науки. – 2014. №3. – С. 121</w:t>
      </w:r>
    </w:p>
  </w:footnote>
  <w:footnote w:id="45">
    <w:p w14:paraId="0E2514B0" w14:textId="69C057D4" w:rsidR="003B6A89" w:rsidRDefault="003B6A89">
      <w:pPr>
        <w:pStyle w:val="af3"/>
      </w:pPr>
      <w:r>
        <w:rPr>
          <w:rStyle w:val="af5"/>
        </w:rPr>
        <w:footnoteRef/>
      </w:r>
      <w:r>
        <w:t xml:space="preserve"> Дунаева В.Ю. Модернизация в России: основные теоретические подходы (обзор литературы) / В.Ю. Дунаева // Политическая наука. – 2003. №2. – С. 191</w:t>
      </w:r>
    </w:p>
  </w:footnote>
  <w:footnote w:id="46">
    <w:p w14:paraId="08641AEE" w14:textId="4F530BCF" w:rsidR="003B6A89" w:rsidRDefault="003B6A89" w:rsidP="004443BA">
      <w:pPr>
        <w:pStyle w:val="af3"/>
      </w:pPr>
      <w:r>
        <w:rPr>
          <w:rStyle w:val="af5"/>
        </w:rPr>
        <w:footnoteRef/>
      </w:r>
      <w:r>
        <w:t xml:space="preserve"> Сталин, И. В. О задачах хозяйственников: Речь на Первой Всесоюзной конференции работников социалистической промышленности 4 февраля 1931 г. [Электронный ресурс]. Режим доступа: </w:t>
      </w:r>
      <w:hyperlink r:id="rId9" w:history="1">
        <w:r w:rsidRPr="00361005">
          <w:rPr>
            <w:rStyle w:val="a8"/>
          </w:rPr>
          <w:t>http://grachev62.narod.ru/stalin/t13/t13_06.htm</w:t>
        </w:r>
      </w:hyperlink>
      <w:r>
        <w:t xml:space="preserve"> (дата обращения: 10.04.2020)</w:t>
      </w:r>
    </w:p>
  </w:footnote>
  <w:footnote w:id="47">
    <w:p w14:paraId="4AD806E1" w14:textId="0C24F47A" w:rsidR="003B6A89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r w:rsidRPr="004443BA">
        <w:t>Ермаков Н.П. Становление, состояние и перспективы развития российско-германских торговых и инвестиционных отношений</w:t>
      </w:r>
      <w:r>
        <w:t xml:space="preserve"> / Н.П. Ермаков // Экономический вестник Ростовского гос. университета. – 2008. Т.6 №1-2. – С. 119</w:t>
      </w:r>
    </w:p>
  </w:footnote>
  <w:footnote w:id="48">
    <w:p w14:paraId="31FBDF01" w14:textId="12F598E2" w:rsidR="003B6A89" w:rsidRPr="002F5E7F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bookmarkStart w:id="29" w:name="_Hlk41502663"/>
      <w:r>
        <w:t xml:space="preserve">Захаров, В.Н. Западноевропейские купцы в российской торговле </w:t>
      </w:r>
      <w:r>
        <w:rPr>
          <w:lang w:val="en-US"/>
        </w:rPr>
        <w:t>XVIII</w:t>
      </w:r>
      <w:r w:rsidRPr="002F5E7F">
        <w:t xml:space="preserve"> </w:t>
      </w:r>
      <w:r>
        <w:t xml:space="preserve">века / Захаров, В.Н. – М.: Изд-во Наука, 2005. – 345 Стр. </w:t>
      </w:r>
      <w:bookmarkEnd w:id="29"/>
    </w:p>
  </w:footnote>
  <w:footnote w:id="49">
    <w:p w14:paraId="2BA49544" w14:textId="309E261D" w:rsidR="003B6A89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r w:rsidRPr="009E19BD">
        <w:t>Ермаков Н.П. Становление, состояние и перспективы развития российско-германских торговых и инвестиционных отношений / Н.П. Ермаков // Экономический вестник Ростовского гос. университета. – 2008. Т.6 №1-2. – С. 119</w:t>
      </w:r>
    </w:p>
  </w:footnote>
  <w:footnote w:id="50">
    <w:p w14:paraId="65E1B082" w14:textId="664BEE07" w:rsidR="003B6A89" w:rsidRPr="009E19BD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proofErr w:type="spellStart"/>
      <w:r w:rsidRPr="009E19BD">
        <w:t>Шпотов</w:t>
      </w:r>
      <w:proofErr w:type="spellEnd"/>
      <w:r>
        <w:t>,</w:t>
      </w:r>
      <w:r w:rsidRPr="009E19BD">
        <w:t xml:space="preserve"> Б.М. Американский бизнес и Советский Союз в 1920-1930-е годы: Лабиринты экономического сотрудничества</w:t>
      </w:r>
      <w:r>
        <w:t xml:space="preserve"> /</w:t>
      </w:r>
      <w:r w:rsidRPr="009E19BD">
        <w:t xml:space="preserve"> </w:t>
      </w:r>
      <w:proofErr w:type="spellStart"/>
      <w:r w:rsidRPr="009E19BD">
        <w:t>Шпотов</w:t>
      </w:r>
      <w:proofErr w:type="spellEnd"/>
      <w:r>
        <w:t>,</w:t>
      </w:r>
      <w:r w:rsidRPr="009E19BD">
        <w:t xml:space="preserve"> Б.М. – М.: </w:t>
      </w:r>
      <w:proofErr w:type="spellStart"/>
      <w:r w:rsidRPr="009E19BD">
        <w:t>Либроком</w:t>
      </w:r>
      <w:proofErr w:type="spellEnd"/>
      <w:r>
        <w:t xml:space="preserve">, </w:t>
      </w:r>
      <w:r w:rsidRPr="009E19BD">
        <w:t>2013</w:t>
      </w:r>
      <w:r>
        <w:t xml:space="preserve">, с. 133 ; Кашина Е.А. Государство и иностранный капитал в нефтяной и газовой промышленности России </w:t>
      </w:r>
      <w:r>
        <w:rPr>
          <w:lang w:val="en-US"/>
        </w:rPr>
        <w:t>XIX</w:t>
      </w:r>
      <w:r w:rsidRPr="009E19BD">
        <w:t>-</w:t>
      </w:r>
      <w:r>
        <w:rPr>
          <w:lang w:val="en-US"/>
        </w:rPr>
        <w:t>XX</w:t>
      </w:r>
      <w:r w:rsidRPr="009E19BD">
        <w:t xml:space="preserve"> </w:t>
      </w:r>
      <w:r>
        <w:t>вв. / Е.А. Кашина // Государственное и муниципальное управление. Ученые записки. – 2018 №4. – С. 246</w:t>
      </w:r>
    </w:p>
  </w:footnote>
  <w:footnote w:id="51">
    <w:p w14:paraId="388AF44B" w14:textId="6A416E1D" w:rsidR="003B6A89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proofErr w:type="spellStart"/>
      <w:r>
        <w:t>Донгаров</w:t>
      </w:r>
      <w:proofErr w:type="spellEnd"/>
      <w:r>
        <w:t xml:space="preserve">, А.Г. Иностранный капитал в России и СССР / </w:t>
      </w:r>
      <w:proofErr w:type="spellStart"/>
      <w:r>
        <w:t>Донгаров</w:t>
      </w:r>
      <w:proofErr w:type="spellEnd"/>
      <w:r>
        <w:t>, А.Г. – М.: Международные отношения, 1990, с. 27</w:t>
      </w:r>
    </w:p>
  </w:footnote>
  <w:footnote w:id="52">
    <w:p w14:paraId="0B3FA104" w14:textId="75D3B294" w:rsidR="003B6A89" w:rsidRDefault="003B6A89">
      <w:pPr>
        <w:pStyle w:val="af3"/>
      </w:pPr>
      <w:r>
        <w:rPr>
          <w:rStyle w:val="af5"/>
        </w:rPr>
        <w:footnoteRef/>
      </w:r>
      <w:r>
        <w:t xml:space="preserve">  </w:t>
      </w:r>
      <w:r w:rsidRPr="00E765BB">
        <w:t>Эвентов</w:t>
      </w:r>
      <w:r>
        <w:t>,</w:t>
      </w:r>
      <w:r w:rsidRPr="00E765BB">
        <w:t xml:space="preserve"> Л.</w:t>
      </w:r>
      <w:r>
        <w:t>Н.</w:t>
      </w:r>
      <w:r w:rsidRPr="00E765BB">
        <w:t xml:space="preserve"> Иностранный капитал в нефтяной промышленности России (1874–1917 гг.)</w:t>
      </w:r>
      <w:r>
        <w:t xml:space="preserve"> / </w:t>
      </w:r>
      <w:r w:rsidRPr="00E765BB">
        <w:t>Эвентов</w:t>
      </w:r>
      <w:r>
        <w:t>,</w:t>
      </w:r>
      <w:r w:rsidRPr="00E765BB">
        <w:t xml:space="preserve"> Л.</w:t>
      </w:r>
      <w:r>
        <w:t>Н.</w:t>
      </w:r>
      <w:r w:rsidRPr="00E765BB">
        <w:t xml:space="preserve">  М.–Л., 1925. С. 15.</w:t>
      </w:r>
    </w:p>
  </w:footnote>
  <w:footnote w:id="53">
    <w:p w14:paraId="0E8A5A41" w14:textId="21CBA1F3" w:rsidR="003B6A89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r w:rsidRPr="009E19BD">
        <w:t>Ермаков Н.П. Становление, состояние и перспективы развития российско-германских торговых и инвестиционных отношений / Н.П. Ермаков // Экономический вестник Ростовского гос. университета. – 2008. Т.6 №1-2. – С. 119</w:t>
      </w:r>
    </w:p>
  </w:footnote>
  <w:footnote w:id="54">
    <w:p w14:paraId="363D433F" w14:textId="7FE1FD65" w:rsidR="003B6A89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proofErr w:type="spellStart"/>
      <w:r>
        <w:t>Донгаров</w:t>
      </w:r>
      <w:proofErr w:type="spellEnd"/>
      <w:r>
        <w:t xml:space="preserve">, А.Г. Иностранный капитал в России и СССР / </w:t>
      </w:r>
      <w:proofErr w:type="spellStart"/>
      <w:r>
        <w:t>Донгаров</w:t>
      </w:r>
      <w:proofErr w:type="spellEnd"/>
      <w:r>
        <w:t>, А.Г. – М.: Международные отношения, 1990, с. 20-21</w:t>
      </w:r>
    </w:p>
  </w:footnote>
  <w:footnote w:id="55">
    <w:p w14:paraId="53D59BAC" w14:textId="50C6A99E" w:rsidR="003B6A89" w:rsidRDefault="003B6A89" w:rsidP="00E765BB">
      <w:pPr>
        <w:pStyle w:val="af3"/>
      </w:pPr>
      <w:r>
        <w:rPr>
          <w:rStyle w:val="af5"/>
        </w:rPr>
        <w:footnoteRef/>
      </w:r>
      <w:r>
        <w:t xml:space="preserve"> Зив, В.С. Иностранные капиталы в русских акционерных предприятиях. Германские капиталы / Зив, В.С. Вып. 1. </w:t>
      </w:r>
      <w:proofErr w:type="spellStart"/>
      <w:r>
        <w:t>Пг</w:t>
      </w:r>
      <w:proofErr w:type="spellEnd"/>
      <w:r>
        <w:t>.: Типография редакции периодических изданий Министерства финансов, 1915 – С. 66</w:t>
      </w:r>
    </w:p>
  </w:footnote>
  <w:footnote w:id="56">
    <w:p w14:paraId="0605534A" w14:textId="1600F8F9" w:rsidR="003B6A89" w:rsidRDefault="003B6A89">
      <w:pPr>
        <w:pStyle w:val="af3"/>
      </w:pPr>
      <w:r>
        <w:rPr>
          <w:rStyle w:val="af5"/>
        </w:rPr>
        <w:footnoteRef/>
      </w:r>
      <w:r>
        <w:t xml:space="preserve"> См. </w:t>
      </w:r>
      <w:r w:rsidR="00B17EFB">
        <w:t>Приложения р</w:t>
      </w:r>
      <w:r>
        <w:t>исунок 1.</w:t>
      </w:r>
    </w:p>
  </w:footnote>
  <w:footnote w:id="57">
    <w:p w14:paraId="4D3B7C9A" w14:textId="4E67F7FB" w:rsidR="003B6A89" w:rsidRDefault="003B6A89">
      <w:pPr>
        <w:pStyle w:val="af3"/>
      </w:pPr>
      <w:r>
        <w:rPr>
          <w:rStyle w:val="af5"/>
        </w:rPr>
        <w:footnoteRef/>
      </w:r>
      <w:r>
        <w:t xml:space="preserve"> См. </w:t>
      </w:r>
      <w:r w:rsidR="00B17EFB">
        <w:t xml:space="preserve">Приложения </w:t>
      </w:r>
      <w:r>
        <w:t>рисунок 2</w:t>
      </w:r>
    </w:p>
  </w:footnote>
  <w:footnote w:id="58">
    <w:p w14:paraId="7D1B5DDF" w14:textId="33D76AFB" w:rsidR="003B6A89" w:rsidRDefault="003B6A89" w:rsidP="00621E56">
      <w:pPr>
        <w:pStyle w:val="af3"/>
      </w:pPr>
      <w:r>
        <w:rPr>
          <w:rStyle w:val="af5"/>
        </w:rPr>
        <w:footnoteRef/>
      </w:r>
      <w:r>
        <w:t xml:space="preserve"> </w:t>
      </w:r>
      <w:proofErr w:type="spellStart"/>
      <w:r>
        <w:t>Шпотов</w:t>
      </w:r>
      <w:proofErr w:type="spellEnd"/>
      <w:r>
        <w:t xml:space="preserve">, Б.М. Западные источники индустриализации СССР (конец 1920-х – 1930-е гг.) / </w:t>
      </w:r>
      <w:proofErr w:type="spellStart"/>
      <w:r>
        <w:t>Шпотов</w:t>
      </w:r>
      <w:proofErr w:type="spellEnd"/>
      <w:r>
        <w:t>, Б.М. Институт всеобщей истории РАН (г. Москва)</w:t>
      </w:r>
    </w:p>
  </w:footnote>
  <w:footnote w:id="59">
    <w:p w14:paraId="273C0A9D" w14:textId="0F73E468" w:rsidR="003B6A89" w:rsidRDefault="003B6A89" w:rsidP="00621E56">
      <w:pPr>
        <w:pStyle w:val="af3"/>
      </w:pPr>
      <w:r>
        <w:rPr>
          <w:rStyle w:val="af5"/>
        </w:rPr>
        <w:footnoteRef/>
      </w:r>
      <w:r>
        <w:t xml:space="preserve"> Шевяков А.А. Советско-германские экономические связи в предвоенные годы / А.А. Шевяков // Социологические исследования – 1995. № 5 С. 14</w:t>
      </w:r>
    </w:p>
  </w:footnote>
  <w:footnote w:id="60">
    <w:p w14:paraId="60C8874C" w14:textId="5E0FFE40" w:rsidR="003B6A89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bookmarkStart w:id="30" w:name="_Hlk41502740"/>
      <w:r w:rsidRPr="002E7D92">
        <w:t>Внешняя торговля СССР за 1918-1940 гг.</w:t>
      </w:r>
      <w:r>
        <w:t xml:space="preserve">: </w:t>
      </w:r>
      <w:r w:rsidRPr="002E7D92">
        <w:t xml:space="preserve">статистический </w:t>
      </w:r>
      <w:r>
        <w:t xml:space="preserve">обзор. // Министерство внешней торговли СССР. Главное таможенное управление. – 1960. М.: </w:t>
      </w:r>
      <w:proofErr w:type="spellStart"/>
      <w:r w:rsidRPr="002E7D92">
        <w:t>Внешторгиздат</w:t>
      </w:r>
      <w:proofErr w:type="spellEnd"/>
      <w:r>
        <w:t xml:space="preserve">, - с. 520-563 </w:t>
      </w:r>
      <w:bookmarkEnd w:id="30"/>
    </w:p>
  </w:footnote>
  <w:footnote w:id="61">
    <w:p w14:paraId="126E0708" w14:textId="2D2AE77D" w:rsidR="003B6A89" w:rsidRDefault="003B6A89">
      <w:pPr>
        <w:pStyle w:val="af3"/>
      </w:pPr>
      <w:r>
        <w:rPr>
          <w:rStyle w:val="af5"/>
        </w:rPr>
        <w:footnoteRef/>
      </w:r>
      <w:r>
        <w:t xml:space="preserve"> См. </w:t>
      </w:r>
      <w:r w:rsidR="00B17EFB">
        <w:t xml:space="preserve">Приложения </w:t>
      </w:r>
      <w:r>
        <w:t xml:space="preserve">рисунок 3 и 4 соответственно. </w:t>
      </w:r>
    </w:p>
  </w:footnote>
  <w:footnote w:id="62">
    <w:p w14:paraId="7D199280" w14:textId="78B5F7B6" w:rsidR="003B6A89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r w:rsidRPr="002E7D92">
        <w:t xml:space="preserve">Внешняя торговля СССР за </w:t>
      </w:r>
      <w:r>
        <w:t>1960</w:t>
      </w:r>
      <w:r w:rsidRPr="002E7D92">
        <w:t xml:space="preserve"> г.</w:t>
      </w:r>
      <w:r>
        <w:t xml:space="preserve">: </w:t>
      </w:r>
      <w:r w:rsidRPr="002E7D92">
        <w:t xml:space="preserve">статистический </w:t>
      </w:r>
      <w:r>
        <w:t xml:space="preserve">обзор. // Министерство внешней торговли СССР. Планово-экономическое управление. – 1961. М.: </w:t>
      </w:r>
      <w:proofErr w:type="spellStart"/>
      <w:r w:rsidRPr="002E7D92">
        <w:t>Внешторгиздат</w:t>
      </w:r>
      <w:proofErr w:type="spellEnd"/>
      <w:r>
        <w:t>, - с. 83-92, с. 116-119</w:t>
      </w:r>
    </w:p>
  </w:footnote>
  <w:footnote w:id="63">
    <w:p w14:paraId="30DEB3A0" w14:textId="27E96507" w:rsidR="003B6A89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r w:rsidRPr="002E7D92">
        <w:t xml:space="preserve">Внешняя торговля СССР за </w:t>
      </w:r>
      <w:r>
        <w:t>1980</w:t>
      </w:r>
      <w:r w:rsidRPr="002E7D92">
        <w:t xml:space="preserve"> г.</w:t>
      </w:r>
      <w:r>
        <w:t xml:space="preserve">: </w:t>
      </w:r>
      <w:r w:rsidRPr="002E7D92">
        <w:t xml:space="preserve">статистический </w:t>
      </w:r>
      <w:r>
        <w:t>сборник. // Министерство внешней торговли СССР. Главное планово-экономическое управление. – 1981. М.: Финансы и статистика, - с. 124-133, с. 167-171</w:t>
      </w:r>
    </w:p>
  </w:footnote>
  <w:footnote w:id="64">
    <w:p w14:paraId="7AED5805" w14:textId="2057EFFB" w:rsidR="003B6A89" w:rsidRPr="00192471" w:rsidRDefault="003B6A89">
      <w:pPr>
        <w:pStyle w:val="af3"/>
      </w:pPr>
      <w:r>
        <w:rPr>
          <w:rStyle w:val="af5"/>
        </w:rPr>
        <w:footnoteRef/>
      </w:r>
      <w:r>
        <w:t xml:space="preserve"> Матвейчук А. Первая нефть Западной Сибири </w:t>
      </w:r>
      <w:r w:rsidRPr="005A0002">
        <w:t>[</w:t>
      </w:r>
      <w:r>
        <w:t>Электронный ресурс</w:t>
      </w:r>
      <w:r w:rsidRPr="005A0002">
        <w:t>]</w:t>
      </w:r>
      <w:r>
        <w:t xml:space="preserve"> /</w:t>
      </w:r>
      <w:r w:rsidRPr="00192471">
        <w:t xml:space="preserve"> </w:t>
      </w:r>
      <w:r>
        <w:t xml:space="preserve">А. Матвейчук // Онлайн журнал «Сибирская нефть». – 2019. №165. Режим доступа: </w:t>
      </w:r>
      <w:hyperlink r:id="rId10" w:history="1">
        <w:r w:rsidRPr="00361005">
          <w:rPr>
            <w:rStyle w:val="a8"/>
          </w:rPr>
          <w:t>https://www.gazprom-neft.ru/press-center/sibneft-online/archive/2019-october/3750236/</w:t>
        </w:r>
      </w:hyperlink>
      <w:r>
        <w:t xml:space="preserve"> (дата обращения: 15.04.2020)</w:t>
      </w:r>
    </w:p>
  </w:footnote>
  <w:footnote w:id="65">
    <w:p w14:paraId="450CAC92" w14:textId="0F4841F1" w:rsidR="003B6A89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r w:rsidRPr="005A0002">
        <w:t>Договор между Союзом Советских Социалистических Республик и Федеративной Республикой Германией [Московский договор], 12 августа 1970 г.</w:t>
      </w:r>
    </w:p>
  </w:footnote>
  <w:footnote w:id="66">
    <w:p w14:paraId="15363B6A" w14:textId="51D98B17" w:rsidR="003B6A89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r w:rsidRPr="00192471">
        <w:t>Липкин</w:t>
      </w:r>
      <w:r>
        <w:t xml:space="preserve"> М</w:t>
      </w:r>
      <w:r w:rsidRPr="00192471">
        <w:t>. Советский Союз и интеграционные процессы в Европе: середина 1940-х конец 1960-х годов. М.</w:t>
      </w:r>
      <w:r>
        <w:t xml:space="preserve">: </w:t>
      </w:r>
      <w:r w:rsidRPr="00192471">
        <w:t>Русский фонд содействия образованию, 2016</w:t>
      </w:r>
      <w:r>
        <w:t xml:space="preserve">. – </w:t>
      </w:r>
      <w:r w:rsidRPr="00192471">
        <w:t>С. 457-458</w:t>
      </w:r>
    </w:p>
  </w:footnote>
  <w:footnote w:id="67">
    <w:p w14:paraId="40E7E860" w14:textId="4D000FE1" w:rsidR="003B6A89" w:rsidRDefault="003B6A89">
      <w:pPr>
        <w:pStyle w:val="af3"/>
      </w:pPr>
      <w:r>
        <w:rPr>
          <w:rStyle w:val="af5"/>
        </w:rPr>
        <w:footnoteRef/>
      </w:r>
      <w:r>
        <w:t xml:space="preserve"> Внешние экономические связи</w:t>
      </w:r>
      <w:r w:rsidRPr="002E7D92">
        <w:t xml:space="preserve"> СССР </w:t>
      </w:r>
      <w:r>
        <w:t>в</w:t>
      </w:r>
      <w:r w:rsidRPr="002E7D92">
        <w:t xml:space="preserve"> </w:t>
      </w:r>
      <w:r>
        <w:t>1990</w:t>
      </w:r>
      <w:r w:rsidRPr="002E7D92">
        <w:t xml:space="preserve"> г.</w:t>
      </w:r>
      <w:r>
        <w:t xml:space="preserve">: </w:t>
      </w:r>
      <w:r w:rsidRPr="002E7D92">
        <w:t xml:space="preserve">статистический </w:t>
      </w:r>
      <w:r>
        <w:t>сборник. // Министерство внешних экономических связей СССР, Госкомстат СССР. – 1991. М.: Финансы и статистика, - с. 138-146</w:t>
      </w:r>
    </w:p>
  </w:footnote>
  <w:footnote w:id="68">
    <w:p w14:paraId="3D8CF4AC" w14:textId="6B9589E0" w:rsidR="003B6A89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bookmarkStart w:id="33" w:name="_Hlk41502835"/>
      <w:r>
        <w:t>Грачева М.В. Прямые инвестиции Германии в Россию: анализ статистики Германского федерального банка / М.В. Грачева // Экономический анализ: теория и практика. – 2012. №44(299). – С. 24-25</w:t>
      </w:r>
      <w:bookmarkEnd w:id="33"/>
    </w:p>
  </w:footnote>
  <w:footnote w:id="69">
    <w:p w14:paraId="05277D3E" w14:textId="3EDAD626" w:rsidR="003B6A89" w:rsidRDefault="003B6A89">
      <w:pPr>
        <w:pStyle w:val="af3"/>
      </w:pPr>
      <w:r>
        <w:rPr>
          <w:rStyle w:val="af5"/>
        </w:rPr>
        <w:footnoteRef/>
      </w:r>
      <w:r>
        <w:t xml:space="preserve"> См. </w:t>
      </w:r>
      <w:r w:rsidR="00B17EFB">
        <w:t xml:space="preserve">Приложения </w:t>
      </w:r>
      <w:r>
        <w:t>рисунок 5</w:t>
      </w:r>
    </w:p>
  </w:footnote>
  <w:footnote w:id="70">
    <w:p w14:paraId="7E266080" w14:textId="19EEB3E5" w:rsidR="003B6A89" w:rsidRDefault="003B6A89">
      <w:pPr>
        <w:pStyle w:val="af3"/>
      </w:pPr>
      <w:r>
        <w:rPr>
          <w:rStyle w:val="af5"/>
        </w:rPr>
        <w:footnoteRef/>
      </w:r>
      <w:r>
        <w:t xml:space="preserve"> См. </w:t>
      </w:r>
      <w:r w:rsidR="00B17EFB">
        <w:t xml:space="preserve">Приложения </w:t>
      </w:r>
      <w:r>
        <w:t>рисунок 5</w:t>
      </w:r>
    </w:p>
  </w:footnote>
  <w:footnote w:id="71">
    <w:p w14:paraId="1FE29994" w14:textId="7A1DFD91" w:rsidR="003B6A89" w:rsidRDefault="003B6A89">
      <w:pPr>
        <w:pStyle w:val="af3"/>
      </w:pPr>
      <w:r>
        <w:rPr>
          <w:rStyle w:val="af5"/>
        </w:rPr>
        <w:footnoteRef/>
      </w:r>
      <w:r>
        <w:t xml:space="preserve"> Ерохина О.В., </w:t>
      </w:r>
      <w:proofErr w:type="spellStart"/>
      <w:r>
        <w:t>Токунова</w:t>
      </w:r>
      <w:proofErr w:type="spellEnd"/>
      <w:r>
        <w:t xml:space="preserve"> Г.Ф. Германские инвестиции в российской экономике: вчера и сегодня / О.В. Ерохина, Г.Ф. </w:t>
      </w:r>
      <w:proofErr w:type="spellStart"/>
      <w:r>
        <w:t>Токунова</w:t>
      </w:r>
      <w:proofErr w:type="spellEnd"/>
      <w:r>
        <w:t xml:space="preserve"> // Экономический вестник Ростовского государственного университета. – 2008. Т.6№3. – С. 124;</w:t>
      </w:r>
    </w:p>
  </w:footnote>
  <w:footnote w:id="72">
    <w:p w14:paraId="19FAE531" w14:textId="07999708" w:rsidR="003B6A89" w:rsidRDefault="003B6A89" w:rsidP="0082240F">
      <w:pPr>
        <w:pStyle w:val="af3"/>
      </w:pPr>
      <w:r>
        <w:rPr>
          <w:rStyle w:val="af5"/>
        </w:rPr>
        <w:footnoteRef/>
      </w:r>
      <w:r>
        <w:t xml:space="preserve"> Глазьев С. Дискуссия «Между выборами». Экспертный опрос газеты «Завтра» // Завтра. 2008. № 5 (741). 30 янв. С. 1; </w:t>
      </w:r>
      <w:r w:rsidRPr="0082240F">
        <w:t xml:space="preserve">Магомедов А.К., </w:t>
      </w:r>
      <w:proofErr w:type="spellStart"/>
      <w:r w:rsidRPr="0082240F">
        <w:t>Никеров</w:t>
      </w:r>
      <w:proofErr w:type="spellEnd"/>
      <w:r w:rsidRPr="0082240F">
        <w:t xml:space="preserve"> Р.Н. Нефть России и </w:t>
      </w:r>
      <w:proofErr w:type="spellStart"/>
      <w:r w:rsidRPr="0082240F">
        <w:t>рентоориентированное</w:t>
      </w:r>
      <w:proofErr w:type="spellEnd"/>
      <w:r w:rsidRPr="0082240F">
        <w:t xml:space="preserve"> поведение</w:t>
      </w:r>
      <w:r>
        <w:t xml:space="preserve">: к пониманию природы политических стимулов российской власти / </w:t>
      </w:r>
      <w:r w:rsidRPr="0082240F">
        <w:t xml:space="preserve">А.К. Магомедов, Р.Н. </w:t>
      </w:r>
      <w:proofErr w:type="spellStart"/>
      <w:r w:rsidRPr="0082240F">
        <w:t>Никеров</w:t>
      </w:r>
      <w:proofErr w:type="spellEnd"/>
      <w:r>
        <w:t xml:space="preserve"> // </w:t>
      </w:r>
      <w:r w:rsidRPr="0082240F">
        <w:t xml:space="preserve">Известия Саратовского университета. 2010. Т. 10. Сер. Социология. Политология, </w:t>
      </w:r>
      <w:r>
        <w:t>В</w:t>
      </w:r>
      <w:r w:rsidRPr="0082240F">
        <w:t>ып. 1</w:t>
      </w:r>
      <w:r>
        <w:t>. – С. 105</w:t>
      </w:r>
    </w:p>
  </w:footnote>
  <w:footnote w:id="73">
    <w:p w14:paraId="6DCD4B06" w14:textId="403DF3D9" w:rsidR="003B6A89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bookmarkStart w:id="34" w:name="_Hlk41502869"/>
      <w:r w:rsidRPr="008C2F6E">
        <w:t xml:space="preserve">Павлов Н.В. Россия и Германия: несостоявшийся альянс (история с продолжением): Научное издание / Н. В. Павлов. — М.: Издательство «Аспект Пресс», 2017. — </w:t>
      </w:r>
      <w:r>
        <w:t>С. 488</w:t>
      </w:r>
      <w:bookmarkEnd w:id="34"/>
    </w:p>
  </w:footnote>
  <w:footnote w:id="74">
    <w:p w14:paraId="304A393D" w14:textId="06811A68" w:rsidR="003B6A89" w:rsidRDefault="003B6A89">
      <w:pPr>
        <w:pStyle w:val="af3"/>
      </w:pPr>
      <w:r>
        <w:rPr>
          <w:rStyle w:val="af5"/>
        </w:rPr>
        <w:footnoteRef/>
      </w:r>
      <w:r>
        <w:t xml:space="preserve"> См. </w:t>
      </w:r>
      <w:r w:rsidR="00B17EFB">
        <w:t xml:space="preserve">Приложения </w:t>
      </w:r>
      <w:r>
        <w:t>рисунок 6</w:t>
      </w:r>
    </w:p>
  </w:footnote>
  <w:footnote w:id="75">
    <w:p w14:paraId="1265B8BC" w14:textId="1DC03ED1" w:rsidR="003B6A89" w:rsidRDefault="003B6A89">
      <w:pPr>
        <w:pStyle w:val="af3"/>
      </w:pPr>
      <w:r>
        <w:rPr>
          <w:rStyle w:val="af5"/>
        </w:rPr>
        <w:footnoteRef/>
      </w:r>
      <w:r>
        <w:t xml:space="preserve"> См. </w:t>
      </w:r>
      <w:r w:rsidR="00B17EFB">
        <w:t xml:space="preserve">Приложения </w:t>
      </w:r>
      <w:r>
        <w:t>рисунок 7</w:t>
      </w:r>
    </w:p>
  </w:footnote>
  <w:footnote w:id="76">
    <w:p w14:paraId="370C84A5" w14:textId="144E7D76" w:rsidR="003B6A89" w:rsidRPr="00A771C2" w:rsidRDefault="003B6A89">
      <w:pPr>
        <w:pStyle w:val="af3"/>
        <w:rPr>
          <w:lang w:val="de-DE"/>
        </w:rPr>
      </w:pPr>
      <w:r>
        <w:rPr>
          <w:rStyle w:val="af5"/>
        </w:rPr>
        <w:footnoteRef/>
      </w:r>
      <w:r>
        <w:t xml:space="preserve"> См. </w:t>
      </w:r>
      <w:r w:rsidR="00B17EFB">
        <w:t xml:space="preserve">Приложения </w:t>
      </w:r>
      <w:r>
        <w:t xml:space="preserve">рисунок </w:t>
      </w:r>
      <w:r>
        <w:rPr>
          <w:lang w:val="de-DE"/>
        </w:rPr>
        <w:t>5</w:t>
      </w:r>
    </w:p>
  </w:footnote>
  <w:footnote w:id="77">
    <w:p w14:paraId="7E3F2849" w14:textId="300648AF" w:rsidR="003B6A89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bookmarkStart w:id="35" w:name="_Hlk41502879"/>
      <w:r w:rsidRPr="008C2F6E">
        <w:t xml:space="preserve">Информационный портал «Внешняя торговля России» [Электронный ресурс]: Режим доступа: </w:t>
      </w:r>
      <w:hyperlink r:id="rId11" w:history="1">
        <w:r w:rsidRPr="00361005">
          <w:rPr>
            <w:rStyle w:val="a8"/>
          </w:rPr>
          <w:t>https://russian-trade.com/reports-and-reviews/2020-02/torgovlya-mezhdu-rossiey-i-germaniey-v-2019-g/</w:t>
        </w:r>
      </w:hyperlink>
      <w:r>
        <w:t xml:space="preserve"> </w:t>
      </w:r>
      <w:r w:rsidRPr="008C2F6E">
        <w:t xml:space="preserve">(дата обращения </w:t>
      </w:r>
      <w:r>
        <w:t>17</w:t>
      </w:r>
      <w:r w:rsidRPr="008C2F6E">
        <w:t>.04.2020)</w:t>
      </w:r>
      <w:bookmarkEnd w:id="35"/>
    </w:p>
  </w:footnote>
  <w:footnote w:id="78">
    <w:p w14:paraId="30494E84" w14:textId="41F43919" w:rsidR="003B6A89" w:rsidRPr="003B6A89" w:rsidRDefault="003B6A89">
      <w:pPr>
        <w:pStyle w:val="af3"/>
        <w:rPr>
          <w:lang w:val="en-US"/>
        </w:rPr>
      </w:pPr>
      <w:r>
        <w:rPr>
          <w:rStyle w:val="af5"/>
        </w:rPr>
        <w:footnoteRef/>
      </w:r>
      <w:r w:rsidRPr="003B6A89">
        <w:rPr>
          <w:lang w:val="en-US"/>
        </w:rPr>
        <w:t xml:space="preserve"> </w:t>
      </w:r>
      <w:r>
        <w:t>Там</w:t>
      </w:r>
      <w:r w:rsidRPr="003B6A89">
        <w:rPr>
          <w:lang w:val="en-US"/>
        </w:rPr>
        <w:t xml:space="preserve"> </w:t>
      </w:r>
      <w:r>
        <w:t>же</w:t>
      </w:r>
      <w:r w:rsidRPr="003B6A89">
        <w:rPr>
          <w:lang w:val="en-US"/>
        </w:rPr>
        <w:t>.</w:t>
      </w:r>
    </w:p>
  </w:footnote>
  <w:footnote w:id="79">
    <w:p w14:paraId="050783A0" w14:textId="1F1135B5" w:rsidR="003B6A89" w:rsidRPr="008C2F6E" w:rsidRDefault="003B6A89">
      <w:pPr>
        <w:pStyle w:val="af3"/>
        <w:rPr>
          <w:lang w:val="en-US"/>
        </w:rPr>
      </w:pPr>
      <w:r>
        <w:rPr>
          <w:rStyle w:val="af5"/>
        </w:rPr>
        <w:footnoteRef/>
      </w:r>
      <w:r w:rsidRPr="008C2F6E">
        <w:rPr>
          <w:lang w:val="en-US"/>
        </w:rPr>
        <w:t xml:space="preserve"> </w:t>
      </w:r>
      <w:bookmarkStart w:id="36" w:name="_Hlk41502887"/>
      <w:r w:rsidRPr="008C2F6E">
        <w:rPr>
          <w:lang w:val="en-US"/>
        </w:rPr>
        <w:t xml:space="preserve">Energy study 2014. Reserves, resources and availability of energy resources // </w:t>
      </w:r>
      <w:proofErr w:type="spellStart"/>
      <w:r w:rsidRPr="008C2F6E">
        <w:rPr>
          <w:lang w:val="en-US"/>
        </w:rPr>
        <w:t>Bundesanstalt</w:t>
      </w:r>
      <w:proofErr w:type="spellEnd"/>
      <w:r w:rsidRPr="008C2F6E">
        <w:rPr>
          <w:lang w:val="en-US"/>
        </w:rPr>
        <w:t xml:space="preserve"> </w:t>
      </w:r>
      <w:proofErr w:type="spellStart"/>
      <w:r w:rsidRPr="008C2F6E">
        <w:rPr>
          <w:lang w:val="en-US"/>
        </w:rPr>
        <w:t>für</w:t>
      </w:r>
      <w:proofErr w:type="spellEnd"/>
      <w:r w:rsidRPr="008C2F6E">
        <w:rPr>
          <w:lang w:val="en-US"/>
        </w:rPr>
        <w:t xml:space="preserve"> </w:t>
      </w:r>
      <w:proofErr w:type="spellStart"/>
      <w:r w:rsidRPr="008C2F6E">
        <w:rPr>
          <w:lang w:val="en-US"/>
        </w:rPr>
        <w:t>Geowissenschaften</w:t>
      </w:r>
      <w:proofErr w:type="spellEnd"/>
      <w:r w:rsidRPr="008C2F6E">
        <w:rPr>
          <w:lang w:val="en-US"/>
        </w:rPr>
        <w:t xml:space="preserve"> und </w:t>
      </w:r>
      <w:proofErr w:type="spellStart"/>
      <w:r w:rsidRPr="008C2F6E">
        <w:rPr>
          <w:lang w:val="en-US"/>
        </w:rPr>
        <w:t>Rohstoffe</w:t>
      </w:r>
      <w:proofErr w:type="spellEnd"/>
      <w:r w:rsidRPr="008C2F6E">
        <w:rPr>
          <w:lang w:val="en-US"/>
        </w:rPr>
        <w:t xml:space="preserve"> (BGR), Hannover, 2014 </w:t>
      </w:r>
      <w:r>
        <w:rPr>
          <w:lang w:val="en-US"/>
        </w:rPr>
        <w:t>–</w:t>
      </w:r>
      <w:r w:rsidRPr="008C2F6E">
        <w:rPr>
          <w:lang w:val="en-US"/>
        </w:rPr>
        <w:t xml:space="preserve"> p. 11.</w:t>
      </w:r>
      <w:bookmarkEnd w:id="36"/>
    </w:p>
  </w:footnote>
  <w:footnote w:id="80">
    <w:p w14:paraId="799BFDA9" w14:textId="5A856FE2" w:rsidR="003B6A89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bookmarkStart w:id="37" w:name="_Hlk41502897"/>
      <w:r>
        <w:t xml:space="preserve">Г. </w:t>
      </w:r>
      <w:proofErr w:type="spellStart"/>
      <w:r>
        <w:t>Шрёдер</w:t>
      </w:r>
      <w:proofErr w:type="spellEnd"/>
      <w:r>
        <w:t xml:space="preserve">. Решения. Моя жизнь в политике / Пер. с нем. Г. Леоновой. – М.: Изд-во «Европа», 2007. – 552 стр. </w:t>
      </w:r>
      <w:bookmarkEnd w:id="37"/>
    </w:p>
  </w:footnote>
  <w:footnote w:id="81">
    <w:p w14:paraId="0A56AA4B" w14:textId="56789FA6" w:rsidR="003B6A89" w:rsidRDefault="003B6A89">
      <w:pPr>
        <w:pStyle w:val="af3"/>
      </w:pPr>
      <w:r>
        <w:rPr>
          <w:rStyle w:val="af5"/>
        </w:rPr>
        <w:footnoteRef/>
      </w:r>
      <w:r>
        <w:t xml:space="preserve"> Там же. С. 458</w:t>
      </w:r>
    </w:p>
  </w:footnote>
  <w:footnote w:id="82">
    <w:p w14:paraId="20F67300" w14:textId="404B414E" w:rsidR="003B6A89" w:rsidRDefault="003B6A89">
      <w:pPr>
        <w:pStyle w:val="af3"/>
      </w:pPr>
      <w:r>
        <w:rPr>
          <w:rStyle w:val="af5"/>
        </w:rPr>
        <w:footnoteRef/>
      </w:r>
      <w:r>
        <w:t xml:space="preserve"> Там же. С. 459</w:t>
      </w:r>
    </w:p>
  </w:footnote>
  <w:footnote w:id="83">
    <w:p w14:paraId="4DC018D4" w14:textId="3079B0BB" w:rsidR="003B6A89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bookmarkStart w:id="38" w:name="_Hlk41502904"/>
      <w:proofErr w:type="spellStart"/>
      <w:r>
        <w:t>Каневский</w:t>
      </w:r>
      <w:proofErr w:type="spellEnd"/>
      <w:r>
        <w:t xml:space="preserve"> П.С. Российские лобби в Европейском Союзе и США: проблемы и перспективы / П.С. </w:t>
      </w:r>
      <w:proofErr w:type="spellStart"/>
      <w:r>
        <w:t>Каневский</w:t>
      </w:r>
      <w:proofErr w:type="spellEnd"/>
      <w:r>
        <w:t xml:space="preserve"> // Вестник Московского университета. Сер. 18. Социология и политология. – 2012. №4 – С. 146-147</w:t>
      </w:r>
      <w:bookmarkEnd w:id="38"/>
    </w:p>
  </w:footnote>
  <w:footnote w:id="84">
    <w:p w14:paraId="27A8A712" w14:textId="4555EE80" w:rsidR="003B6A89" w:rsidRDefault="003B6A89" w:rsidP="00CB7FEB">
      <w:pPr>
        <w:pStyle w:val="af3"/>
      </w:pPr>
      <w:r>
        <w:rPr>
          <w:rStyle w:val="af5"/>
        </w:rPr>
        <w:footnoteRef/>
      </w:r>
      <w:r>
        <w:t xml:space="preserve"> Сумин А. М. Энергетическая политика современной Германии: тенденции, проблемы, перспективы / А. М. Сумин — «</w:t>
      </w:r>
      <w:proofErr w:type="spellStart"/>
      <w:r>
        <w:t>Газоил</w:t>
      </w:r>
      <w:proofErr w:type="spellEnd"/>
      <w:r>
        <w:t xml:space="preserve"> пресс», 2017 – с. 6</w:t>
      </w:r>
    </w:p>
  </w:footnote>
  <w:footnote w:id="85">
    <w:p w14:paraId="2B065729" w14:textId="0B20E9DF" w:rsidR="003B6A89" w:rsidRPr="00126EE4" w:rsidRDefault="003B6A89" w:rsidP="00126EE4">
      <w:pPr>
        <w:pStyle w:val="af3"/>
      </w:pPr>
      <w:r>
        <w:rPr>
          <w:rStyle w:val="af5"/>
        </w:rPr>
        <w:footnoteRef/>
      </w:r>
      <w:r>
        <w:t xml:space="preserve"> Информационное агентство </w:t>
      </w:r>
      <w:proofErr w:type="spellStart"/>
      <w:r>
        <w:t>Eurasia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r w:rsidRPr="00126EE4">
        <w:t>[</w:t>
      </w:r>
      <w:r>
        <w:t>Электронный ресурс</w:t>
      </w:r>
      <w:r w:rsidRPr="00126EE4">
        <w:t>]</w:t>
      </w:r>
      <w:r>
        <w:t xml:space="preserve">. Режим доступа: </w:t>
      </w:r>
      <w:hyperlink r:id="rId12" w:history="1">
        <w:r w:rsidRPr="00361005">
          <w:rPr>
            <w:rStyle w:val="a8"/>
          </w:rPr>
          <w:t>https://eadaily.com/ru/news/2018/09/27/germaniya-vozmet-rynok-gaza-es-pod-kontrol-severnyy-potok-2-pomozhet</w:t>
        </w:r>
      </w:hyperlink>
      <w:r>
        <w:t xml:space="preserve"> (дата обращения: 20.04.2020)</w:t>
      </w:r>
    </w:p>
  </w:footnote>
  <w:footnote w:id="86">
    <w:p w14:paraId="436574E1" w14:textId="32EB1A25" w:rsidR="003B6A89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proofErr w:type="spellStart"/>
      <w:r w:rsidRPr="00373900">
        <w:t>Разумнова</w:t>
      </w:r>
      <w:proofErr w:type="spellEnd"/>
      <w:r w:rsidRPr="00373900">
        <w:t xml:space="preserve"> Л. Л. Мониторинг развития европейских газовых </w:t>
      </w:r>
      <w:proofErr w:type="spellStart"/>
      <w:r w:rsidRPr="00373900">
        <w:t>хабов</w:t>
      </w:r>
      <w:proofErr w:type="spellEnd"/>
      <w:r>
        <w:t xml:space="preserve"> / Л.Л. </w:t>
      </w:r>
      <w:proofErr w:type="spellStart"/>
      <w:r>
        <w:t>Разумнова</w:t>
      </w:r>
      <w:proofErr w:type="spellEnd"/>
      <w:r>
        <w:t xml:space="preserve"> // Международная торговля и торговая политика. – 2017. №4(12). – С. 89</w:t>
      </w:r>
    </w:p>
  </w:footnote>
  <w:footnote w:id="87">
    <w:p w14:paraId="13BA4FE2" w14:textId="3650B221" w:rsidR="003B6A89" w:rsidRPr="00D6014F" w:rsidRDefault="003B6A89">
      <w:pPr>
        <w:pStyle w:val="af3"/>
      </w:pPr>
      <w:r>
        <w:rPr>
          <w:rStyle w:val="af5"/>
        </w:rPr>
        <w:footnoteRef/>
      </w:r>
      <w:r w:rsidRPr="00D6014F">
        <w:t xml:space="preserve"> </w:t>
      </w:r>
      <w:r>
        <w:rPr>
          <w:szCs w:val="24"/>
        </w:rPr>
        <w:t>См</w:t>
      </w:r>
      <w:r w:rsidRPr="00D6014F">
        <w:rPr>
          <w:szCs w:val="24"/>
        </w:rPr>
        <w:t xml:space="preserve">. </w:t>
      </w:r>
      <w:r w:rsidR="00B17EFB">
        <w:rPr>
          <w:szCs w:val="24"/>
        </w:rPr>
        <w:t xml:space="preserve">Приложения </w:t>
      </w:r>
      <w:r>
        <w:rPr>
          <w:szCs w:val="24"/>
        </w:rPr>
        <w:t>рисунок</w:t>
      </w:r>
      <w:r w:rsidRPr="00D6014F">
        <w:rPr>
          <w:szCs w:val="24"/>
        </w:rPr>
        <w:t xml:space="preserve"> </w:t>
      </w:r>
      <w:r>
        <w:rPr>
          <w:szCs w:val="24"/>
        </w:rPr>
        <w:t>8</w:t>
      </w:r>
    </w:p>
  </w:footnote>
  <w:footnote w:id="88">
    <w:p w14:paraId="2A6D078C" w14:textId="1216A7A5" w:rsidR="003B6A89" w:rsidRPr="00C40458" w:rsidRDefault="003B6A89">
      <w:pPr>
        <w:pStyle w:val="af3"/>
      </w:pPr>
      <w:r>
        <w:rPr>
          <w:rStyle w:val="af5"/>
        </w:rPr>
        <w:footnoteRef/>
      </w:r>
      <w:r>
        <w:t xml:space="preserve"> Составлено на основании годовых отчетов компании Газпром </w:t>
      </w:r>
      <w:r w:rsidRPr="00C40458">
        <w:t>[</w:t>
      </w:r>
      <w:r>
        <w:t>Электронный ресурс</w:t>
      </w:r>
      <w:r w:rsidRPr="00C40458">
        <w:t>]</w:t>
      </w:r>
      <w:r>
        <w:t xml:space="preserve">. Режим доступа: </w:t>
      </w:r>
      <w:hyperlink r:id="rId13" w:history="1">
        <w:r w:rsidRPr="00361005">
          <w:rPr>
            <w:rStyle w:val="a8"/>
          </w:rPr>
          <w:t>https://www.gazprom.ru/investors/disclosure/reports/2019/</w:t>
        </w:r>
      </w:hyperlink>
      <w:r>
        <w:t xml:space="preserve"> (дата обращения: 20.04.2020)</w:t>
      </w:r>
    </w:p>
  </w:footnote>
  <w:footnote w:id="89">
    <w:p w14:paraId="0EE2F0EC" w14:textId="1B25DE80" w:rsidR="003B6A89" w:rsidRDefault="003B6A89">
      <w:pPr>
        <w:pStyle w:val="af3"/>
      </w:pPr>
      <w:r>
        <w:rPr>
          <w:rStyle w:val="af5"/>
        </w:rPr>
        <w:footnoteRef/>
      </w:r>
      <w:r>
        <w:t xml:space="preserve"> Там же. </w:t>
      </w:r>
    </w:p>
  </w:footnote>
  <w:footnote w:id="90">
    <w:p w14:paraId="0C6DFC33" w14:textId="138DAA18" w:rsidR="003B6A89" w:rsidRPr="00C40458" w:rsidRDefault="003B6A89" w:rsidP="00C40458">
      <w:pPr>
        <w:pStyle w:val="af3"/>
        <w:jc w:val="left"/>
      </w:pPr>
      <w:r>
        <w:rPr>
          <w:rStyle w:val="af5"/>
        </w:rPr>
        <w:footnoteRef/>
      </w:r>
      <w:r>
        <w:t xml:space="preserve"> Интернет-журнал РБК </w:t>
      </w:r>
      <w:r w:rsidRPr="00C40458">
        <w:t>[</w:t>
      </w:r>
      <w:r>
        <w:t>Электронный ресурс</w:t>
      </w:r>
      <w:r w:rsidRPr="00C40458">
        <w:t>]</w:t>
      </w:r>
      <w:r>
        <w:t xml:space="preserve">. Режим доступа: </w:t>
      </w:r>
      <w:hyperlink r:id="rId14" w:history="1">
        <w:r w:rsidRPr="00361005">
          <w:rPr>
            <w:rStyle w:val="a8"/>
          </w:rPr>
          <w:t>https://www.rbc.ru/politics/16/02/2019/5c67dc7d9a7947f0df37aa18</w:t>
        </w:r>
      </w:hyperlink>
      <w:r>
        <w:t xml:space="preserve"> (дата обращения: 20.04.2020)</w:t>
      </w:r>
    </w:p>
  </w:footnote>
  <w:footnote w:id="91">
    <w:p w14:paraId="0F4424B2" w14:textId="28A72BFF" w:rsidR="003B6A89" w:rsidRPr="00C40458" w:rsidRDefault="003B6A89" w:rsidP="00C40458">
      <w:pPr>
        <w:pStyle w:val="af3"/>
        <w:jc w:val="left"/>
      </w:pPr>
      <w:r>
        <w:rPr>
          <w:rStyle w:val="af5"/>
        </w:rPr>
        <w:footnoteRef/>
      </w:r>
      <w:r w:rsidRPr="00C40458">
        <w:t xml:space="preserve"> </w:t>
      </w:r>
      <w:r>
        <w:t xml:space="preserve">Пресс-центр компании Газпром </w:t>
      </w:r>
      <w:r w:rsidRPr="00C40458">
        <w:t>[</w:t>
      </w:r>
      <w:r>
        <w:t>Электронный ресурс</w:t>
      </w:r>
      <w:r w:rsidRPr="00C40458">
        <w:t>]</w:t>
      </w:r>
      <w:r>
        <w:t xml:space="preserve">. Режим доступа: </w:t>
      </w:r>
      <w:hyperlink r:id="rId15" w:history="1">
        <w:r w:rsidRPr="00361005">
          <w:rPr>
            <w:rStyle w:val="a8"/>
          </w:rPr>
          <w:t>https://www.gazprom.ru/press/news/2017/april/article327181/</w:t>
        </w:r>
      </w:hyperlink>
      <w:r>
        <w:t xml:space="preserve"> (дата обращения 20.04.2020)</w:t>
      </w:r>
    </w:p>
  </w:footnote>
  <w:footnote w:id="92">
    <w:p w14:paraId="79654B83" w14:textId="00F864B0" w:rsidR="003B6A89" w:rsidRPr="0026670E" w:rsidRDefault="003B6A89" w:rsidP="000F6F99">
      <w:pPr>
        <w:pStyle w:val="af3"/>
      </w:pPr>
      <w:r>
        <w:rPr>
          <w:rStyle w:val="af5"/>
        </w:rPr>
        <w:footnoteRef/>
      </w:r>
      <w:r>
        <w:t xml:space="preserve"> Пресс-конференция А. Меркель по итогам переговоров с премьер-министром Польши М. </w:t>
      </w:r>
      <w:proofErr w:type="spellStart"/>
      <w:r>
        <w:t>Моравецким</w:t>
      </w:r>
      <w:proofErr w:type="spellEnd"/>
      <w:r>
        <w:t xml:space="preserve">. 16.02.2018г. </w:t>
      </w:r>
      <w:r w:rsidRPr="0026670E">
        <w:t>[</w:t>
      </w:r>
      <w:r>
        <w:t>Электронный ресурс</w:t>
      </w:r>
      <w:r w:rsidRPr="0026670E">
        <w:t>]</w:t>
      </w:r>
      <w:r>
        <w:t xml:space="preserve">. Режим доступа: </w:t>
      </w:r>
      <w:hyperlink r:id="rId16" w:history="1">
        <w:r w:rsidRPr="00361005">
          <w:rPr>
            <w:rStyle w:val="a8"/>
          </w:rPr>
          <w:t>https://regnum.ru/news/polit/2381400.html</w:t>
        </w:r>
      </w:hyperlink>
      <w:r>
        <w:t xml:space="preserve"> (дата обращения 21.04.2020)</w:t>
      </w:r>
    </w:p>
  </w:footnote>
  <w:footnote w:id="93">
    <w:p w14:paraId="5F0CC85A" w14:textId="3AF4A0A8" w:rsidR="003B6A89" w:rsidRPr="0026670E" w:rsidRDefault="003B6A89">
      <w:pPr>
        <w:pStyle w:val="af3"/>
      </w:pPr>
      <w:r>
        <w:rPr>
          <w:rStyle w:val="af5"/>
        </w:rPr>
        <w:footnoteRef/>
      </w:r>
      <w:r>
        <w:t xml:space="preserve"> Порошенко</w:t>
      </w:r>
      <w:r w:rsidRPr="0026670E">
        <w:t xml:space="preserve">, </w:t>
      </w:r>
      <w:r>
        <w:t>П</w:t>
      </w:r>
      <w:r w:rsidRPr="0026670E">
        <w:t>.</w:t>
      </w:r>
      <w:r>
        <w:t>А</w:t>
      </w:r>
      <w:r w:rsidRPr="0026670E">
        <w:t xml:space="preserve">. </w:t>
      </w:r>
      <w:r w:rsidRPr="0026670E">
        <w:rPr>
          <w:lang w:val="en-US"/>
        </w:rPr>
        <w:t>Nord</w:t>
      </w:r>
      <w:r w:rsidRPr="0026670E">
        <w:t xml:space="preserve"> </w:t>
      </w:r>
      <w:r w:rsidRPr="0026670E">
        <w:rPr>
          <w:lang w:val="en-US"/>
        </w:rPr>
        <w:t>Stream</w:t>
      </w:r>
      <w:r w:rsidRPr="0026670E">
        <w:t xml:space="preserve"> 2 </w:t>
      </w:r>
      <w:r w:rsidRPr="0026670E">
        <w:rPr>
          <w:lang w:val="en-US"/>
        </w:rPr>
        <w:t>f</w:t>
      </w:r>
      <w:r w:rsidRPr="0026670E">
        <w:t>ü</w:t>
      </w:r>
      <w:proofErr w:type="spellStart"/>
      <w:r w:rsidRPr="0026670E">
        <w:rPr>
          <w:lang w:val="en-US"/>
        </w:rPr>
        <w:t>ttert</w:t>
      </w:r>
      <w:proofErr w:type="spellEnd"/>
      <w:r w:rsidRPr="0026670E">
        <w:t xml:space="preserve"> </w:t>
      </w:r>
      <w:r w:rsidRPr="0026670E">
        <w:rPr>
          <w:lang w:val="en-US"/>
        </w:rPr>
        <w:t>das</w:t>
      </w:r>
      <w:r w:rsidRPr="0026670E">
        <w:t xml:space="preserve"> </w:t>
      </w:r>
      <w:r w:rsidRPr="0026670E">
        <w:rPr>
          <w:lang w:val="en-US"/>
        </w:rPr>
        <w:t>Monster</w:t>
      </w:r>
      <w:r w:rsidRPr="0026670E">
        <w:t xml:space="preserve"> / </w:t>
      </w:r>
      <w:r>
        <w:t>Порошенко</w:t>
      </w:r>
      <w:r w:rsidRPr="0026670E">
        <w:t xml:space="preserve">, </w:t>
      </w:r>
      <w:r>
        <w:t>П</w:t>
      </w:r>
      <w:r w:rsidRPr="0026670E">
        <w:t>.</w:t>
      </w:r>
      <w:r>
        <w:t>А</w:t>
      </w:r>
      <w:r w:rsidRPr="0026670E">
        <w:t xml:space="preserve">. </w:t>
      </w:r>
      <w:r>
        <w:rPr>
          <w:lang w:val="en-US"/>
        </w:rPr>
        <w:t>URL</w:t>
      </w:r>
      <w:r w:rsidRPr="0026670E">
        <w:t xml:space="preserve">: </w:t>
      </w:r>
      <w:hyperlink r:id="rId17" w:history="1">
        <w:r w:rsidRPr="00361005">
          <w:rPr>
            <w:rStyle w:val="a8"/>
            <w:lang w:val="en-US"/>
          </w:rPr>
          <w:t>https</w:t>
        </w:r>
        <w:r w:rsidRPr="0026670E">
          <w:rPr>
            <w:rStyle w:val="a8"/>
          </w:rPr>
          <w:t>://</w:t>
        </w:r>
        <w:r w:rsidRPr="00361005">
          <w:rPr>
            <w:rStyle w:val="a8"/>
            <w:lang w:val="en-US"/>
          </w:rPr>
          <w:t>www</w:t>
        </w:r>
        <w:r w:rsidRPr="0026670E">
          <w:rPr>
            <w:rStyle w:val="a8"/>
          </w:rPr>
          <w:t>.</w:t>
        </w:r>
        <w:proofErr w:type="spellStart"/>
        <w:r w:rsidRPr="00361005">
          <w:rPr>
            <w:rStyle w:val="a8"/>
            <w:lang w:val="en-US"/>
          </w:rPr>
          <w:t>faz</w:t>
        </w:r>
        <w:proofErr w:type="spellEnd"/>
        <w:r w:rsidRPr="0026670E">
          <w:rPr>
            <w:rStyle w:val="a8"/>
          </w:rPr>
          <w:t>.</w:t>
        </w:r>
        <w:r w:rsidRPr="00361005">
          <w:rPr>
            <w:rStyle w:val="a8"/>
            <w:lang w:val="en-US"/>
          </w:rPr>
          <w:t>net</w:t>
        </w:r>
        <w:r w:rsidRPr="0026670E">
          <w:rPr>
            <w:rStyle w:val="a8"/>
          </w:rPr>
          <w:t>/</w:t>
        </w:r>
        <w:proofErr w:type="spellStart"/>
        <w:r w:rsidRPr="00361005">
          <w:rPr>
            <w:rStyle w:val="a8"/>
            <w:lang w:val="en-US"/>
          </w:rPr>
          <w:t>aktuell</w:t>
        </w:r>
        <w:proofErr w:type="spellEnd"/>
        <w:r w:rsidRPr="0026670E">
          <w:rPr>
            <w:rStyle w:val="a8"/>
          </w:rPr>
          <w:t>/</w:t>
        </w:r>
        <w:proofErr w:type="spellStart"/>
        <w:r w:rsidRPr="00361005">
          <w:rPr>
            <w:rStyle w:val="a8"/>
            <w:lang w:val="en-US"/>
          </w:rPr>
          <w:t>politik</w:t>
        </w:r>
        <w:proofErr w:type="spellEnd"/>
        <w:r w:rsidRPr="0026670E">
          <w:rPr>
            <w:rStyle w:val="a8"/>
          </w:rPr>
          <w:t>/</w:t>
        </w:r>
        <w:proofErr w:type="spellStart"/>
        <w:r w:rsidRPr="00361005">
          <w:rPr>
            <w:rStyle w:val="a8"/>
            <w:lang w:val="en-US"/>
          </w:rPr>
          <w:t>ausland</w:t>
        </w:r>
        <w:proofErr w:type="spellEnd"/>
        <w:r w:rsidRPr="0026670E">
          <w:rPr>
            <w:rStyle w:val="a8"/>
          </w:rPr>
          <w:t>/</w:t>
        </w:r>
        <w:proofErr w:type="spellStart"/>
        <w:r w:rsidRPr="00361005">
          <w:rPr>
            <w:rStyle w:val="a8"/>
            <w:lang w:val="en-US"/>
          </w:rPr>
          <w:t>petro</w:t>
        </w:r>
        <w:proofErr w:type="spellEnd"/>
        <w:r w:rsidRPr="0026670E">
          <w:rPr>
            <w:rStyle w:val="a8"/>
          </w:rPr>
          <w:t>-</w:t>
        </w:r>
        <w:proofErr w:type="spellStart"/>
        <w:r w:rsidRPr="00361005">
          <w:rPr>
            <w:rStyle w:val="a8"/>
            <w:lang w:val="en-US"/>
          </w:rPr>
          <w:t>poroschenko</w:t>
        </w:r>
        <w:proofErr w:type="spellEnd"/>
        <w:r w:rsidRPr="0026670E">
          <w:rPr>
            <w:rStyle w:val="a8"/>
          </w:rPr>
          <w:t>-</w:t>
        </w:r>
        <w:proofErr w:type="spellStart"/>
        <w:r w:rsidRPr="00361005">
          <w:rPr>
            <w:rStyle w:val="a8"/>
            <w:lang w:val="en-US"/>
          </w:rPr>
          <w:t>nord</w:t>
        </w:r>
        <w:proofErr w:type="spellEnd"/>
        <w:r w:rsidRPr="0026670E">
          <w:rPr>
            <w:rStyle w:val="a8"/>
          </w:rPr>
          <w:t>-</w:t>
        </w:r>
        <w:r w:rsidRPr="00361005">
          <w:rPr>
            <w:rStyle w:val="a8"/>
            <w:lang w:val="en-US"/>
          </w:rPr>
          <w:t>stream</w:t>
        </w:r>
        <w:r w:rsidRPr="0026670E">
          <w:rPr>
            <w:rStyle w:val="a8"/>
          </w:rPr>
          <w:t>-2-</w:t>
        </w:r>
        <w:proofErr w:type="spellStart"/>
        <w:r w:rsidRPr="00361005">
          <w:rPr>
            <w:rStyle w:val="a8"/>
            <w:lang w:val="en-US"/>
          </w:rPr>
          <w:t>fuettert</w:t>
        </w:r>
        <w:proofErr w:type="spellEnd"/>
        <w:r w:rsidRPr="0026670E">
          <w:rPr>
            <w:rStyle w:val="a8"/>
          </w:rPr>
          <w:t>-</w:t>
        </w:r>
        <w:r w:rsidRPr="00361005">
          <w:rPr>
            <w:rStyle w:val="a8"/>
            <w:lang w:val="en-US"/>
          </w:rPr>
          <w:t>das</w:t>
        </w:r>
        <w:r w:rsidRPr="0026670E">
          <w:rPr>
            <w:rStyle w:val="a8"/>
          </w:rPr>
          <w:t>-</w:t>
        </w:r>
        <w:r w:rsidRPr="00361005">
          <w:rPr>
            <w:rStyle w:val="a8"/>
            <w:lang w:val="en-US"/>
          </w:rPr>
          <w:t>monster</w:t>
        </w:r>
        <w:r w:rsidRPr="0026670E">
          <w:rPr>
            <w:rStyle w:val="a8"/>
          </w:rPr>
          <w:t>-15595394.</w:t>
        </w:r>
        <w:r w:rsidRPr="00361005">
          <w:rPr>
            <w:rStyle w:val="a8"/>
            <w:lang w:val="en-US"/>
          </w:rPr>
          <w:t>html</w:t>
        </w:r>
      </w:hyperlink>
      <w:r w:rsidRPr="0026670E">
        <w:t xml:space="preserve"> (</w:t>
      </w:r>
      <w:r>
        <w:t>дата обращения: 21.04.2020</w:t>
      </w:r>
      <w:r w:rsidRPr="0026670E">
        <w:t>)</w:t>
      </w:r>
    </w:p>
  </w:footnote>
  <w:footnote w:id="94">
    <w:p w14:paraId="7D0B5355" w14:textId="712D906D" w:rsidR="003B6A89" w:rsidRPr="0026670E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bookmarkStart w:id="39" w:name="_Hlk41502966"/>
      <w:proofErr w:type="spellStart"/>
      <w:r>
        <w:t>Орешенков</w:t>
      </w:r>
      <w:proofErr w:type="spellEnd"/>
      <w:r>
        <w:t xml:space="preserve">, А. «Северный поток – 2» и ответ на санкции / </w:t>
      </w:r>
      <w:proofErr w:type="spellStart"/>
      <w:r>
        <w:t>Орешенков</w:t>
      </w:r>
      <w:proofErr w:type="spellEnd"/>
      <w:r>
        <w:t xml:space="preserve">, А. </w:t>
      </w:r>
      <w:r w:rsidRPr="0026670E">
        <w:t xml:space="preserve">// </w:t>
      </w:r>
      <w:r>
        <w:t xml:space="preserve">Россия в глобальной политике. </w:t>
      </w:r>
      <w:r>
        <w:rPr>
          <w:lang w:val="en-US"/>
        </w:rPr>
        <w:t>URL</w:t>
      </w:r>
      <w:r w:rsidRPr="0026670E">
        <w:t xml:space="preserve">: </w:t>
      </w:r>
      <w:hyperlink r:id="rId18" w:history="1">
        <w:r w:rsidRPr="00361005">
          <w:rPr>
            <w:rStyle w:val="a8"/>
            <w:lang w:val="en-US"/>
          </w:rPr>
          <w:t>https</w:t>
        </w:r>
        <w:r w:rsidRPr="0026670E">
          <w:rPr>
            <w:rStyle w:val="a8"/>
          </w:rPr>
          <w:t>://</w:t>
        </w:r>
        <w:proofErr w:type="spellStart"/>
        <w:r w:rsidRPr="00361005">
          <w:rPr>
            <w:rStyle w:val="a8"/>
            <w:lang w:val="en-US"/>
          </w:rPr>
          <w:t>globalaffairs</w:t>
        </w:r>
        <w:proofErr w:type="spellEnd"/>
        <w:r w:rsidRPr="0026670E">
          <w:rPr>
            <w:rStyle w:val="a8"/>
          </w:rPr>
          <w:t>.</w:t>
        </w:r>
        <w:r w:rsidRPr="00361005">
          <w:rPr>
            <w:rStyle w:val="a8"/>
            <w:lang w:val="en-US"/>
          </w:rPr>
          <w:t>ru</w:t>
        </w:r>
        <w:r w:rsidRPr="0026670E">
          <w:rPr>
            <w:rStyle w:val="a8"/>
          </w:rPr>
          <w:t>/</w:t>
        </w:r>
        <w:r w:rsidRPr="00361005">
          <w:rPr>
            <w:rStyle w:val="a8"/>
            <w:lang w:val="en-US"/>
          </w:rPr>
          <w:t>articles</w:t>
        </w:r>
        <w:r w:rsidRPr="0026670E">
          <w:rPr>
            <w:rStyle w:val="a8"/>
          </w:rPr>
          <w:t>/</w:t>
        </w:r>
        <w:proofErr w:type="spellStart"/>
        <w:r w:rsidRPr="00361005">
          <w:rPr>
            <w:rStyle w:val="a8"/>
            <w:lang w:val="en-US"/>
          </w:rPr>
          <w:t>severnyj</w:t>
        </w:r>
        <w:proofErr w:type="spellEnd"/>
        <w:r w:rsidRPr="0026670E">
          <w:rPr>
            <w:rStyle w:val="a8"/>
          </w:rPr>
          <w:t>-</w:t>
        </w:r>
        <w:proofErr w:type="spellStart"/>
        <w:r w:rsidRPr="00361005">
          <w:rPr>
            <w:rStyle w:val="a8"/>
            <w:lang w:val="en-US"/>
          </w:rPr>
          <w:t>potok</w:t>
        </w:r>
        <w:proofErr w:type="spellEnd"/>
        <w:r w:rsidRPr="0026670E">
          <w:rPr>
            <w:rStyle w:val="a8"/>
          </w:rPr>
          <w:t>-2-</w:t>
        </w:r>
        <w:proofErr w:type="spellStart"/>
        <w:r w:rsidRPr="00361005">
          <w:rPr>
            <w:rStyle w:val="a8"/>
            <w:lang w:val="en-US"/>
          </w:rPr>
          <w:t>i</w:t>
        </w:r>
        <w:proofErr w:type="spellEnd"/>
        <w:r w:rsidRPr="0026670E">
          <w:rPr>
            <w:rStyle w:val="a8"/>
          </w:rPr>
          <w:t>-</w:t>
        </w:r>
        <w:proofErr w:type="spellStart"/>
        <w:r w:rsidRPr="00361005">
          <w:rPr>
            <w:rStyle w:val="a8"/>
            <w:lang w:val="en-US"/>
          </w:rPr>
          <w:t>otvet</w:t>
        </w:r>
        <w:proofErr w:type="spellEnd"/>
        <w:r w:rsidRPr="0026670E">
          <w:rPr>
            <w:rStyle w:val="a8"/>
          </w:rPr>
          <w:t>-</w:t>
        </w:r>
        <w:proofErr w:type="spellStart"/>
        <w:r w:rsidRPr="00361005">
          <w:rPr>
            <w:rStyle w:val="a8"/>
            <w:lang w:val="en-US"/>
          </w:rPr>
          <w:t>na</w:t>
        </w:r>
        <w:proofErr w:type="spellEnd"/>
        <w:r w:rsidRPr="0026670E">
          <w:rPr>
            <w:rStyle w:val="a8"/>
          </w:rPr>
          <w:t>-</w:t>
        </w:r>
        <w:proofErr w:type="spellStart"/>
        <w:r w:rsidRPr="00361005">
          <w:rPr>
            <w:rStyle w:val="a8"/>
            <w:lang w:val="en-US"/>
          </w:rPr>
          <w:t>sankczii</w:t>
        </w:r>
        <w:proofErr w:type="spellEnd"/>
        <w:r w:rsidRPr="0026670E">
          <w:rPr>
            <w:rStyle w:val="a8"/>
          </w:rPr>
          <w:t>/</w:t>
        </w:r>
      </w:hyperlink>
      <w:r w:rsidRPr="0026670E">
        <w:t xml:space="preserve"> (</w:t>
      </w:r>
      <w:r>
        <w:t>дата обращения: 21.04.2020</w:t>
      </w:r>
      <w:r w:rsidRPr="0026670E">
        <w:t>)</w:t>
      </w:r>
      <w:bookmarkEnd w:id="39"/>
    </w:p>
  </w:footnote>
  <w:footnote w:id="95">
    <w:p w14:paraId="04DC4E77" w14:textId="5B2C22F9" w:rsidR="003B6A89" w:rsidRPr="00A131CC" w:rsidRDefault="003B6A89">
      <w:pPr>
        <w:pStyle w:val="af3"/>
      </w:pPr>
      <w:r>
        <w:rPr>
          <w:rStyle w:val="af5"/>
        </w:rPr>
        <w:footnoteRef/>
      </w:r>
      <w:r>
        <w:rPr>
          <w:lang w:val="en-US"/>
        </w:rPr>
        <w:t xml:space="preserve"> </w:t>
      </w:r>
      <w:r w:rsidRPr="00A131CC">
        <w:rPr>
          <w:lang w:val="en-US"/>
        </w:rPr>
        <w:t>S. 1790:</w:t>
      </w:r>
      <w:r>
        <w:rPr>
          <w:lang w:val="en-US"/>
        </w:rPr>
        <w:t xml:space="preserve"> </w:t>
      </w:r>
      <w:r w:rsidRPr="0026670E">
        <w:rPr>
          <w:lang w:val="en-US"/>
        </w:rPr>
        <w:t>National Defense Authorization Act for Fiscal Year 2020</w:t>
      </w:r>
      <w:r>
        <w:rPr>
          <w:lang w:val="en-US"/>
        </w:rPr>
        <w:t xml:space="preserve">, Sec. </w:t>
      </w:r>
      <w:r w:rsidRPr="0026670E">
        <w:rPr>
          <w:lang w:val="en-US"/>
        </w:rPr>
        <w:t>7503.</w:t>
      </w:r>
      <w:r>
        <w:rPr>
          <w:lang w:val="en-US"/>
        </w:rPr>
        <w:t xml:space="preserve"> </w:t>
      </w:r>
      <w:r w:rsidRPr="003B6A89">
        <w:t>19.12.2019 [</w:t>
      </w:r>
      <w:r>
        <w:rPr>
          <w:lang w:val="en-US"/>
        </w:rPr>
        <w:t>Electronic</w:t>
      </w:r>
      <w:r w:rsidRPr="003B6A89">
        <w:t xml:space="preserve"> </w:t>
      </w:r>
      <w:r>
        <w:rPr>
          <w:lang w:val="en-US"/>
        </w:rPr>
        <w:t>resource</w:t>
      </w:r>
      <w:r w:rsidRPr="003B6A89">
        <w:t xml:space="preserve">]. </w:t>
      </w:r>
      <w:r>
        <w:t>Режим</w:t>
      </w:r>
      <w:r w:rsidRPr="00A131CC">
        <w:t xml:space="preserve"> </w:t>
      </w:r>
      <w:r>
        <w:t>доступа</w:t>
      </w:r>
      <w:r w:rsidRPr="00A131CC">
        <w:t xml:space="preserve">: </w:t>
      </w:r>
      <w:hyperlink r:id="rId19" w:history="1">
        <w:r w:rsidRPr="00361005">
          <w:rPr>
            <w:rStyle w:val="a8"/>
            <w:lang w:val="en-US"/>
          </w:rPr>
          <w:t>https</w:t>
        </w:r>
        <w:r w:rsidRPr="00A131CC">
          <w:rPr>
            <w:rStyle w:val="a8"/>
          </w:rPr>
          <w:t>://</w:t>
        </w:r>
        <w:r w:rsidRPr="00361005">
          <w:rPr>
            <w:rStyle w:val="a8"/>
            <w:lang w:val="en-US"/>
          </w:rPr>
          <w:t>www</w:t>
        </w:r>
        <w:r w:rsidRPr="00A131CC">
          <w:rPr>
            <w:rStyle w:val="a8"/>
          </w:rPr>
          <w:t>.</w:t>
        </w:r>
        <w:proofErr w:type="spellStart"/>
        <w:r w:rsidRPr="00361005">
          <w:rPr>
            <w:rStyle w:val="a8"/>
            <w:lang w:val="en-US"/>
          </w:rPr>
          <w:t>govtrack</w:t>
        </w:r>
        <w:proofErr w:type="spellEnd"/>
        <w:r w:rsidRPr="00A131CC">
          <w:rPr>
            <w:rStyle w:val="a8"/>
          </w:rPr>
          <w:t>.</w:t>
        </w:r>
        <w:r w:rsidRPr="00361005">
          <w:rPr>
            <w:rStyle w:val="a8"/>
            <w:lang w:val="en-US"/>
          </w:rPr>
          <w:t>us</w:t>
        </w:r>
        <w:r w:rsidRPr="00A131CC">
          <w:rPr>
            <w:rStyle w:val="a8"/>
          </w:rPr>
          <w:t>/</w:t>
        </w:r>
        <w:r w:rsidRPr="00361005">
          <w:rPr>
            <w:rStyle w:val="a8"/>
            <w:lang w:val="en-US"/>
          </w:rPr>
          <w:t>congress</w:t>
        </w:r>
        <w:r w:rsidRPr="00A131CC">
          <w:rPr>
            <w:rStyle w:val="a8"/>
          </w:rPr>
          <w:t>/</w:t>
        </w:r>
        <w:r w:rsidRPr="00361005">
          <w:rPr>
            <w:rStyle w:val="a8"/>
            <w:lang w:val="en-US"/>
          </w:rPr>
          <w:t>bills</w:t>
        </w:r>
        <w:r w:rsidRPr="00A131CC">
          <w:rPr>
            <w:rStyle w:val="a8"/>
          </w:rPr>
          <w:t>/116/</w:t>
        </w:r>
        <w:r w:rsidRPr="00361005">
          <w:rPr>
            <w:rStyle w:val="a8"/>
            <w:lang w:val="en-US"/>
          </w:rPr>
          <w:t>s</w:t>
        </w:r>
        <w:r w:rsidRPr="00A131CC">
          <w:rPr>
            <w:rStyle w:val="a8"/>
          </w:rPr>
          <w:t>1790/</w:t>
        </w:r>
        <w:r w:rsidRPr="00361005">
          <w:rPr>
            <w:rStyle w:val="a8"/>
            <w:lang w:val="en-US"/>
          </w:rPr>
          <w:t>text</w:t>
        </w:r>
      </w:hyperlink>
      <w:r>
        <w:t xml:space="preserve"> </w:t>
      </w:r>
      <w:r w:rsidRPr="0026670E">
        <w:t>(</w:t>
      </w:r>
      <w:r>
        <w:t>дата обращения: 21.04.2020</w:t>
      </w:r>
      <w:r w:rsidRPr="0026670E">
        <w:t>)</w:t>
      </w:r>
    </w:p>
  </w:footnote>
  <w:footnote w:id="96">
    <w:p w14:paraId="379CF541" w14:textId="0786325A" w:rsidR="003B6A89" w:rsidRDefault="003B6A89">
      <w:pPr>
        <w:pStyle w:val="af3"/>
      </w:pPr>
      <w:r>
        <w:rPr>
          <w:rStyle w:val="af5"/>
        </w:rPr>
        <w:footnoteRef/>
      </w:r>
      <w:r>
        <w:t xml:space="preserve"> Данные указаны на основании анализа раздела таможенной статистики внешней торговли ФТС России </w:t>
      </w:r>
      <w:r w:rsidRPr="00A131CC">
        <w:t>[</w:t>
      </w:r>
      <w:r>
        <w:t>Электронный ресурс</w:t>
      </w:r>
      <w:r w:rsidRPr="00A131CC">
        <w:t>]</w:t>
      </w:r>
      <w:r>
        <w:t xml:space="preserve">. Режим доступа: </w:t>
      </w:r>
      <w:hyperlink r:id="rId20" w:history="1">
        <w:r w:rsidRPr="00361005">
          <w:rPr>
            <w:rStyle w:val="a8"/>
          </w:rPr>
          <w:t>http://customs.ru/statistic</w:t>
        </w:r>
      </w:hyperlink>
      <w:r>
        <w:t xml:space="preserve"> </w:t>
      </w:r>
      <w:r w:rsidRPr="0026670E">
        <w:t>(</w:t>
      </w:r>
      <w:r>
        <w:t>дата обращения: 21.04.2020</w:t>
      </w:r>
      <w:r w:rsidRPr="0026670E">
        <w:t>)</w:t>
      </w:r>
    </w:p>
  </w:footnote>
  <w:footnote w:id="97">
    <w:p w14:paraId="27307E1C" w14:textId="18210604" w:rsidR="003B6A89" w:rsidRPr="00B407AC" w:rsidRDefault="003B6A89">
      <w:pPr>
        <w:pStyle w:val="af3"/>
      </w:pPr>
      <w:r>
        <w:rPr>
          <w:rStyle w:val="af5"/>
        </w:rPr>
        <w:footnoteRef/>
      </w:r>
      <w:r w:rsidRPr="00A131CC">
        <w:t xml:space="preserve"> </w:t>
      </w:r>
      <w:r w:rsidRPr="00B407AC">
        <w:rPr>
          <w:lang w:val="en-US"/>
        </w:rPr>
        <w:t>Coronavirus</w:t>
      </w:r>
      <w:r w:rsidRPr="00A131CC">
        <w:t xml:space="preserve"> </w:t>
      </w:r>
      <w:r w:rsidRPr="00B407AC">
        <w:rPr>
          <w:lang w:val="en-US"/>
        </w:rPr>
        <w:t>disease</w:t>
      </w:r>
      <w:r w:rsidRPr="00A131CC">
        <w:t xml:space="preserve"> </w:t>
      </w:r>
      <w:r w:rsidRPr="00B407AC">
        <w:rPr>
          <w:lang w:val="en-US"/>
        </w:rPr>
        <w:t>situation</w:t>
      </w:r>
      <w:r w:rsidRPr="00A131CC">
        <w:t xml:space="preserve"> </w:t>
      </w:r>
      <w:r w:rsidRPr="00B407AC">
        <w:rPr>
          <w:lang w:val="en-US"/>
        </w:rPr>
        <w:t>reports</w:t>
      </w:r>
      <w:r w:rsidRPr="00A131CC">
        <w:t xml:space="preserve"> [</w:t>
      </w:r>
      <w:r>
        <w:rPr>
          <w:lang w:val="en-US"/>
        </w:rPr>
        <w:t>Electronic</w:t>
      </w:r>
      <w:r w:rsidRPr="00A131CC">
        <w:t xml:space="preserve"> </w:t>
      </w:r>
      <w:r>
        <w:rPr>
          <w:lang w:val="en-US"/>
        </w:rPr>
        <w:t>resource</w:t>
      </w:r>
      <w:r w:rsidRPr="00A131CC">
        <w:t xml:space="preserve">] // </w:t>
      </w:r>
      <w:r>
        <w:t>Официальный</w:t>
      </w:r>
      <w:r w:rsidRPr="00A131CC">
        <w:t xml:space="preserve"> </w:t>
      </w:r>
      <w:r>
        <w:t>сайт</w:t>
      </w:r>
      <w:r w:rsidRPr="00A131CC">
        <w:t xml:space="preserve"> </w:t>
      </w:r>
      <w:r>
        <w:t>Всемирной</w:t>
      </w:r>
      <w:r w:rsidRPr="00A131CC">
        <w:t xml:space="preserve"> </w:t>
      </w:r>
      <w:r>
        <w:t>организации</w:t>
      </w:r>
      <w:r w:rsidRPr="00A131CC">
        <w:t xml:space="preserve"> </w:t>
      </w:r>
      <w:r>
        <w:t>здравоохранения</w:t>
      </w:r>
      <w:r w:rsidRPr="00A131CC">
        <w:t xml:space="preserve">. </w:t>
      </w:r>
      <w:r>
        <w:t xml:space="preserve">Режим доступа: </w:t>
      </w:r>
      <w:hyperlink r:id="rId21" w:history="1">
        <w:r w:rsidRPr="00361005">
          <w:rPr>
            <w:rStyle w:val="a8"/>
          </w:rPr>
          <w:t>https://www.who.int/emergencies/diseases/novel-coronavirus-2019/situation-reports</w:t>
        </w:r>
      </w:hyperlink>
      <w:r>
        <w:t xml:space="preserve"> (дата обращения: 25.04.2020)</w:t>
      </w:r>
    </w:p>
  </w:footnote>
  <w:footnote w:id="98">
    <w:p w14:paraId="048A694E" w14:textId="779D98BC" w:rsidR="003B6A89" w:rsidRPr="00BF1B23" w:rsidRDefault="003B6A89">
      <w:pPr>
        <w:pStyle w:val="af3"/>
      </w:pPr>
      <w:r>
        <w:rPr>
          <w:rStyle w:val="af5"/>
        </w:rPr>
        <w:footnoteRef/>
      </w:r>
      <w:r w:rsidRPr="00B407AC">
        <w:t xml:space="preserve"> </w:t>
      </w:r>
      <w:r>
        <w:t xml:space="preserve">Официальный сайт телерадиокомпании </w:t>
      </w:r>
      <w:r>
        <w:rPr>
          <w:lang w:val="en-US"/>
        </w:rPr>
        <w:t>Deutsche</w:t>
      </w:r>
      <w:r w:rsidRPr="00BF1B23">
        <w:t xml:space="preserve"> </w:t>
      </w:r>
      <w:proofErr w:type="spellStart"/>
      <w:r>
        <w:rPr>
          <w:lang w:val="en-US"/>
        </w:rPr>
        <w:t>Welle</w:t>
      </w:r>
      <w:proofErr w:type="spellEnd"/>
      <w:r w:rsidRPr="00BF1B23">
        <w:t xml:space="preserve"> [</w:t>
      </w:r>
      <w:r>
        <w:t>Электронный ресурс</w:t>
      </w:r>
      <w:r w:rsidRPr="00BF1B23">
        <w:t>]</w:t>
      </w:r>
      <w:r>
        <w:t xml:space="preserve">. Режим доступа: </w:t>
      </w:r>
      <w:hyperlink r:id="rId22" w:history="1">
        <w:r w:rsidRPr="00361005">
          <w:rPr>
            <w:rStyle w:val="a8"/>
          </w:rPr>
          <w:t>https://www.dw.com/ru/сша-перехватили-заказанные-берлином-защитные-маски/a-53004724</w:t>
        </w:r>
      </w:hyperlink>
      <w:r>
        <w:t xml:space="preserve"> (дата обращения: 25.04.2020)</w:t>
      </w:r>
    </w:p>
  </w:footnote>
  <w:footnote w:id="99">
    <w:p w14:paraId="40A83E99" w14:textId="572106BB" w:rsidR="003B6A89" w:rsidRPr="0075243E" w:rsidRDefault="003B6A89" w:rsidP="0075243E">
      <w:pPr>
        <w:pStyle w:val="af3"/>
        <w:rPr>
          <w:lang w:val="en-US"/>
        </w:rPr>
      </w:pPr>
      <w:r>
        <w:rPr>
          <w:rStyle w:val="af5"/>
        </w:rPr>
        <w:footnoteRef/>
      </w:r>
      <w:r>
        <w:t xml:space="preserve"> </w:t>
      </w:r>
      <w:r w:rsidRPr="00BF1B23">
        <w:t>Ивкина,</w:t>
      </w:r>
      <w:r>
        <w:t xml:space="preserve"> Н.В.</w:t>
      </w:r>
      <w:r w:rsidRPr="00BF1B23">
        <w:t xml:space="preserve"> Кризис либерально-демократического порядка на фоне коронавируса</w:t>
      </w:r>
      <w:r>
        <w:t xml:space="preserve"> / </w:t>
      </w:r>
      <w:r w:rsidRPr="00BF1B23">
        <w:t>Ивкина,</w:t>
      </w:r>
      <w:r>
        <w:t xml:space="preserve"> Н.В.</w:t>
      </w:r>
      <w:r w:rsidRPr="00BF1B23">
        <w:t xml:space="preserve"> </w:t>
      </w:r>
      <w:r>
        <w:rPr>
          <w:lang w:val="en-US"/>
        </w:rPr>
        <w:t>URL</w:t>
      </w:r>
      <w:r w:rsidRPr="00BF1B23">
        <w:t xml:space="preserve">: </w:t>
      </w:r>
      <w:hyperlink r:id="rId23" w:history="1">
        <w:r w:rsidRPr="00361005">
          <w:rPr>
            <w:rStyle w:val="a8"/>
          </w:rPr>
          <w:t>https://russiancouncil.ru/blogs/nivkina/krizis-liberalnodemokraticheskogo-poryadka-na-fone-koronavirusa/</w:t>
        </w:r>
      </w:hyperlink>
      <w:r w:rsidRPr="00BF1B23">
        <w:t xml:space="preserve"> </w:t>
      </w:r>
      <w:r>
        <w:t>(дата обращения: 2</w:t>
      </w:r>
      <w:r w:rsidRPr="00BF1B23">
        <w:t>6</w:t>
      </w:r>
      <w:r>
        <w:t>.04.2020)</w:t>
      </w:r>
      <w:r w:rsidRPr="00BF1B23">
        <w:t xml:space="preserve">; </w:t>
      </w:r>
      <w:proofErr w:type="spellStart"/>
      <w:r w:rsidRPr="0075243E">
        <w:t>Ignacio</w:t>
      </w:r>
      <w:proofErr w:type="spellEnd"/>
      <w:r w:rsidRPr="0075243E">
        <w:t xml:space="preserve"> </w:t>
      </w:r>
      <w:proofErr w:type="spellStart"/>
      <w:r w:rsidRPr="0075243E">
        <w:t>Molina</w:t>
      </w:r>
      <w:proofErr w:type="spellEnd"/>
      <w:r w:rsidRPr="0075243E">
        <w:t xml:space="preserve">. </w:t>
      </w:r>
      <w:proofErr w:type="spellStart"/>
      <w:r w:rsidRPr="0075243E">
        <w:rPr>
          <w:lang w:val="en-US"/>
        </w:rPr>
        <w:t>España</w:t>
      </w:r>
      <w:proofErr w:type="spellEnd"/>
      <w:r w:rsidRPr="0075243E">
        <w:rPr>
          <w:lang w:val="en-US"/>
        </w:rPr>
        <w:t xml:space="preserve"> </w:t>
      </w:r>
      <w:proofErr w:type="spellStart"/>
      <w:r w:rsidRPr="0075243E">
        <w:rPr>
          <w:lang w:val="en-US"/>
        </w:rPr>
        <w:t>en</w:t>
      </w:r>
      <w:proofErr w:type="spellEnd"/>
      <w:r w:rsidRPr="0075243E">
        <w:rPr>
          <w:lang w:val="en-US"/>
        </w:rPr>
        <w:t xml:space="preserve"> el </w:t>
      </w:r>
      <w:proofErr w:type="spellStart"/>
      <w:r w:rsidRPr="0075243E">
        <w:rPr>
          <w:lang w:val="en-US"/>
        </w:rPr>
        <w:t>mundo</w:t>
      </w:r>
      <w:proofErr w:type="spellEnd"/>
      <w:r w:rsidRPr="0075243E">
        <w:rPr>
          <w:lang w:val="en-US"/>
        </w:rPr>
        <w:t xml:space="preserve"> </w:t>
      </w:r>
      <w:proofErr w:type="spellStart"/>
      <w:r w:rsidRPr="0075243E"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r w:rsidRPr="0075243E">
        <w:rPr>
          <w:lang w:val="en-US"/>
        </w:rPr>
        <w:t xml:space="preserve">2020: </w:t>
      </w:r>
      <w:proofErr w:type="spellStart"/>
      <w:r w:rsidRPr="0075243E">
        <w:rPr>
          <w:lang w:val="en-US"/>
        </w:rPr>
        <w:t>perspectivas</w:t>
      </w:r>
      <w:proofErr w:type="spellEnd"/>
      <w:r w:rsidRPr="0075243E">
        <w:rPr>
          <w:lang w:val="en-US"/>
        </w:rPr>
        <w:t xml:space="preserve"> y</w:t>
      </w:r>
      <w:r>
        <w:rPr>
          <w:lang w:val="en-US"/>
        </w:rPr>
        <w:t xml:space="preserve"> </w:t>
      </w:r>
      <w:proofErr w:type="spellStart"/>
      <w:r w:rsidRPr="0075243E">
        <w:rPr>
          <w:lang w:val="en-US"/>
        </w:rPr>
        <w:t>desafíos</w:t>
      </w:r>
      <w:proofErr w:type="spellEnd"/>
      <w:r w:rsidRPr="0075243E">
        <w:rPr>
          <w:lang w:val="en-US"/>
        </w:rPr>
        <w:t xml:space="preserve"> para el </w:t>
      </w:r>
      <w:proofErr w:type="spellStart"/>
      <w:r w:rsidRPr="0075243E">
        <w:rPr>
          <w:lang w:val="en-US"/>
        </w:rPr>
        <w:t>año</w:t>
      </w:r>
      <w:proofErr w:type="spellEnd"/>
      <w:r w:rsidRPr="0075243E">
        <w:rPr>
          <w:lang w:val="en-US"/>
        </w:rPr>
        <w:t xml:space="preserve"> del</w:t>
      </w:r>
      <w:r>
        <w:rPr>
          <w:lang w:val="en-US"/>
        </w:rPr>
        <w:t xml:space="preserve"> </w:t>
      </w:r>
      <w:r w:rsidRPr="0075243E">
        <w:rPr>
          <w:lang w:val="en-US"/>
        </w:rPr>
        <w:t>coronavirus</w:t>
      </w:r>
      <w:r>
        <w:rPr>
          <w:lang w:val="en-US"/>
        </w:rPr>
        <w:t xml:space="preserve"> / </w:t>
      </w:r>
      <w:r w:rsidRPr="0075243E">
        <w:rPr>
          <w:lang w:val="en-US"/>
        </w:rPr>
        <w:t>Ignacio Molina</w:t>
      </w:r>
      <w:r>
        <w:rPr>
          <w:lang w:val="en-US"/>
        </w:rPr>
        <w:t xml:space="preserve">. URL: </w:t>
      </w:r>
      <w:hyperlink r:id="rId24" w:history="1">
        <w:r w:rsidRPr="00361005">
          <w:rPr>
            <w:rStyle w:val="a8"/>
            <w:lang w:val="en-US"/>
          </w:rPr>
          <w:t>http://www.realinstitutoelcano.org/wps/wcm/connect/c96ba763-f0c3-494b-bb03-3b9791b6ccbb/Policy-Paper-Espana-en-mundo-2020-perspectivas-desafios-coronavirus.pdf?MOD=AJPERES&amp;CACHEID=c96ba763-f0c3-494b-bb03-3b9791b6ccbb</w:t>
        </w:r>
      </w:hyperlink>
      <w:r>
        <w:rPr>
          <w:lang w:val="en-US"/>
        </w:rPr>
        <w:t xml:space="preserve"> </w:t>
      </w:r>
    </w:p>
  </w:footnote>
  <w:footnote w:id="100">
    <w:p w14:paraId="04B470E7" w14:textId="257E5873" w:rsidR="003B6A89" w:rsidRPr="0075243E" w:rsidRDefault="003B6A89" w:rsidP="0075243E">
      <w:pPr>
        <w:pStyle w:val="af3"/>
      </w:pPr>
      <w:r>
        <w:rPr>
          <w:rStyle w:val="af5"/>
        </w:rPr>
        <w:footnoteRef/>
      </w:r>
      <w:r w:rsidRPr="0075243E">
        <w:rPr>
          <w:lang w:val="en-US"/>
        </w:rPr>
        <w:t xml:space="preserve"> Hans </w:t>
      </w:r>
      <w:proofErr w:type="spellStart"/>
      <w:r w:rsidRPr="0075243E">
        <w:rPr>
          <w:lang w:val="en-US"/>
        </w:rPr>
        <w:t>Kundnani</w:t>
      </w:r>
      <w:proofErr w:type="spellEnd"/>
      <w:r>
        <w:rPr>
          <w:lang w:val="en-US"/>
        </w:rPr>
        <w:t xml:space="preserve">. </w:t>
      </w:r>
      <w:r w:rsidRPr="0075243E">
        <w:rPr>
          <w:lang w:val="en-US"/>
        </w:rPr>
        <w:t>Coronavirus and the Future of Democracy in Europe</w:t>
      </w:r>
      <w:r>
        <w:rPr>
          <w:lang w:val="en-US"/>
        </w:rPr>
        <w:t xml:space="preserve"> / </w:t>
      </w:r>
      <w:r w:rsidRPr="0075243E">
        <w:rPr>
          <w:lang w:val="en-US"/>
        </w:rPr>
        <w:t xml:space="preserve">Hans </w:t>
      </w:r>
      <w:proofErr w:type="spellStart"/>
      <w:r w:rsidRPr="0075243E">
        <w:rPr>
          <w:lang w:val="en-US"/>
        </w:rPr>
        <w:t>Kundnani</w:t>
      </w:r>
      <w:proofErr w:type="spellEnd"/>
      <w:r>
        <w:rPr>
          <w:lang w:val="en-US"/>
        </w:rPr>
        <w:t>. URL</w:t>
      </w:r>
      <w:r w:rsidRPr="0075243E">
        <w:t xml:space="preserve">: </w:t>
      </w:r>
      <w:hyperlink r:id="rId25" w:history="1">
        <w:r w:rsidRPr="00361005">
          <w:rPr>
            <w:rStyle w:val="a8"/>
            <w:lang w:val="en-US"/>
          </w:rPr>
          <w:t>https</w:t>
        </w:r>
        <w:r w:rsidRPr="0075243E">
          <w:rPr>
            <w:rStyle w:val="a8"/>
          </w:rPr>
          <w:t>://</w:t>
        </w:r>
        <w:r w:rsidRPr="00361005">
          <w:rPr>
            <w:rStyle w:val="a8"/>
            <w:lang w:val="en-US"/>
          </w:rPr>
          <w:t>www</w:t>
        </w:r>
        <w:r w:rsidRPr="0075243E">
          <w:rPr>
            <w:rStyle w:val="a8"/>
          </w:rPr>
          <w:t>.</w:t>
        </w:r>
        <w:proofErr w:type="spellStart"/>
        <w:r w:rsidRPr="00361005">
          <w:rPr>
            <w:rStyle w:val="a8"/>
            <w:lang w:val="en-US"/>
          </w:rPr>
          <w:t>chathamhouse</w:t>
        </w:r>
        <w:proofErr w:type="spellEnd"/>
        <w:r w:rsidRPr="0075243E">
          <w:rPr>
            <w:rStyle w:val="a8"/>
          </w:rPr>
          <w:t>.</w:t>
        </w:r>
        <w:r w:rsidRPr="00361005">
          <w:rPr>
            <w:rStyle w:val="a8"/>
            <w:lang w:val="en-US"/>
          </w:rPr>
          <w:t>org</w:t>
        </w:r>
        <w:r w:rsidRPr="0075243E">
          <w:rPr>
            <w:rStyle w:val="a8"/>
          </w:rPr>
          <w:t>/</w:t>
        </w:r>
        <w:r w:rsidRPr="00361005">
          <w:rPr>
            <w:rStyle w:val="a8"/>
            <w:lang w:val="en-US"/>
          </w:rPr>
          <w:t>expert</w:t>
        </w:r>
        <w:r w:rsidRPr="0075243E">
          <w:rPr>
            <w:rStyle w:val="a8"/>
          </w:rPr>
          <w:t>/</w:t>
        </w:r>
        <w:r w:rsidRPr="00361005">
          <w:rPr>
            <w:rStyle w:val="a8"/>
            <w:lang w:val="en-US"/>
          </w:rPr>
          <w:t>comment</w:t>
        </w:r>
        <w:r w:rsidRPr="0075243E">
          <w:rPr>
            <w:rStyle w:val="a8"/>
          </w:rPr>
          <w:t>/</w:t>
        </w:r>
        <w:r w:rsidRPr="00361005">
          <w:rPr>
            <w:rStyle w:val="a8"/>
            <w:lang w:val="en-US"/>
          </w:rPr>
          <w:t>coronavirus</w:t>
        </w:r>
        <w:r w:rsidRPr="0075243E">
          <w:rPr>
            <w:rStyle w:val="a8"/>
          </w:rPr>
          <w:t>-</w:t>
        </w:r>
        <w:r w:rsidRPr="00361005">
          <w:rPr>
            <w:rStyle w:val="a8"/>
            <w:lang w:val="en-US"/>
          </w:rPr>
          <w:t>and</w:t>
        </w:r>
        <w:r w:rsidRPr="0075243E">
          <w:rPr>
            <w:rStyle w:val="a8"/>
          </w:rPr>
          <w:t>-</w:t>
        </w:r>
        <w:r w:rsidRPr="00361005">
          <w:rPr>
            <w:rStyle w:val="a8"/>
            <w:lang w:val="en-US"/>
          </w:rPr>
          <w:t>future</w:t>
        </w:r>
        <w:r w:rsidRPr="0075243E">
          <w:rPr>
            <w:rStyle w:val="a8"/>
          </w:rPr>
          <w:t>-</w:t>
        </w:r>
        <w:r w:rsidRPr="00361005">
          <w:rPr>
            <w:rStyle w:val="a8"/>
            <w:lang w:val="en-US"/>
          </w:rPr>
          <w:t>democracy</w:t>
        </w:r>
        <w:r w:rsidRPr="0075243E">
          <w:rPr>
            <w:rStyle w:val="a8"/>
          </w:rPr>
          <w:t>-</w:t>
        </w:r>
        <w:proofErr w:type="spellStart"/>
        <w:r w:rsidRPr="00361005">
          <w:rPr>
            <w:rStyle w:val="a8"/>
            <w:lang w:val="en-US"/>
          </w:rPr>
          <w:t>europe</w:t>
        </w:r>
        <w:proofErr w:type="spellEnd"/>
      </w:hyperlink>
      <w:r w:rsidRPr="0075243E">
        <w:t xml:space="preserve"> (</w:t>
      </w:r>
      <w:r>
        <w:t>дата обращения: 26.04.2020)</w:t>
      </w:r>
    </w:p>
  </w:footnote>
  <w:footnote w:id="101">
    <w:p w14:paraId="6F3876EB" w14:textId="6E0CB937" w:rsidR="003B6A89" w:rsidRDefault="003B6A89">
      <w:pPr>
        <w:pStyle w:val="af3"/>
      </w:pPr>
      <w:r>
        <w:rPr>
          <w:rStyle w:val="af5"/>
        </w:rPr>
        <w:footnoteRef/>
      </w:r>
      <w:r>
        <w:t xml:space="preserve"> Примечание автора: в данном случае под «игрой» подразумевается само существование либеральных ценностей.</w:t>
      </w:r>
    </w:p>
  </w:footnote>
  <w:footnote w:id="102">
    <w:p w14:paraId="14E5D5A4" w14:textId="32A98443" w:rsidR="003B6A89" w:rsidRPr="0075243E" w:rsidRDefault="003B6A89">
      <w:pPr>
        <w:pStyle w:val="af3"/>
        <w:rPr>
          <w:lang w:val="en-US"/>
        </w:rPr>
      </w:pPr>
      <w:r>
        <w:rPr>
          <w:rStyle w:val="af5"/>
        </w:rPr>
        <w:footnoteRef/>
      </w:r>
      <w:r w:rsidRPr="0075243E">
        <w:rPr>
          <w:lang w:val="en-US"/>
        </w:rPr>
        <w:t xml:space="preserve"> </w:t>
      </w:r>
      <w:r>
        <w:t>Бордачев</w:t>
      </w:r>
      <w:r w:rsidRPr="0075243E">
        <w:rPr>
          <w:lang w:val="en-US"/>
        </w:rPr>
        <w:t xml:space="preserve">, </w:t>
      </w:r>
      <w:r>
        <w:t>Т</w:t>
      </w:r>
      <w:r w:rsidRPr="0075243E">
        <w:rPr>
          <w:lang w:val="en-US"/>
        </w:rPr>
        <w:t>.</w:t>
      </w:r>
      <w:r>
        <w:t>В</w:t>
      </w:r>
      <w:r w:rsidRPr="0075243E">
        <w:rPr>
          <w:lang w:val="en-US"/>
        </w:rPr>
        <w:t xml:space="preserve">. Coronavirus and the Collapse of the Liberal Order: Europe’s Fate Called Into Question / </w:t>
      </w:r>
      <w:r>
        <w:t>Бордачев</w:t>
      </w:r>
      <w:r w:rsidRPr="0075243E">
        <w:rPr>
          <w:lang w:val="en-US"/>
        </w:rPr>
        <w:t xml:space="preserve">, </w:t>
      </w:r>
      <w:r>
        <w:t>Т</w:t>
      </w:r>
      <w:r w:rsidRPr="0075243E">
        <w:rPr>
          <w:lang w:val="en-US"/>
        </w:rPr>
        <w:t>.</w:t>
      </w:r>
      <w:r>
        <w:t>В</w:t>
      </w:r>
      <w:r w:rsidRPr="0075243E">
        <w:rPr>
          <w:lang w:val="en-US"/>
        </w:rPr>
        <w:t xml:space="preserve">. </w:t>
      </w:r>
      <w:r>
        <w:rPr>
          <w:lang w:val="en-US"/>
        </w:rPr>
        <w:t xml:space="preserve">URL: </w:t>
      </w:r>
      <w:hyperlink r:id="rId26" w:history="1">
        <w:r w:rsidRPr="00361005">
          <w:rPr>
            <w:rStyle w:val="a8"/>
            <w:lang w:val="en-US"/>
          </w:rPr>
          <w:t>https://valdaiclub.com/a/highlights/coronavirus-and-the-collapse-of-the-liberal-order/</w:t>
        </w:r>
      </w:hyperlink>
      <w:r>
        <w:rPr>
          <w:lang w:val="en-US"/>
        </w:rPr>
        <w:t xml:space="preserve"> </w:t>
      </w:r>
      <w:r w:rsidRPr="0075243E">
        <w:rPr>
          <w:lang w:val="en-US"/>
        </w:rPr>
        <w:t>(</w:t>
      </w:r>
      <w:r>
        <w:t>дата</w:t>
      </w:r>
      <w:r w:rsidRPr="0075243E">
        <w:rPr>
          <w:lang w:val="en-US"/>
        </w:rPr>
        <w:t xml:space="preserve"> </w:t>
      </w:r>
      <w:r>
        <w:t>обращения</w:t>
      </w:r>
      <w:r w:rsidRPr="0075243E">
        <w:rPr>
          <w:lang w:val="en-US"/>
        </w:rPr>
        <w:t>: 26.04.2020)</w:t>
      </w:r>
    </w:p>
  </w:footnote>
  <w:footnote w:id="103">
    <w:p w14:paraId="538D38A9" w14:textId="6A8996FB" w:rsidR="003B6A89" w:rsidRPr="0075243E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r w:rsidRPr="0075243E">
        <w:t xml:space="preserve">Мехди </w:t>
      </w:r>
      <w:proofErr w:type="spellStart"/>
      <w:r w:rsidRPr="0075243E">
        <w:t>Санаи</w:t>
      </w:r>
      <w:proofErr w:type="spellEnd"/>
      <w:r>
        <w:t xml:space="preserve">. </w:t>
      </w:r>
      <w:r w:rsidRPr="0075243E">
        <w:t>Мировой порядок после коронавируса: ничего не изменится?</w:t>
      </w:r>
      <w:r>
        <w:t xml:space="preserve"> / </w:t>
      </w:r>
      <w:r w:rsidRPr="0075243E">
        <w:t xml:space="preserve">Мехди </w:t>
      </w:r>
      <w:proofErr w:type="spellStart"/>
      <w:r w:rsidRPr="0075243E">
        <w:t>Санаи</w:t>
      </w:r>
      <w:proofErr w:type="spellEnd"/>
      <w:r>
        <w:t xml:space="preserve">. </w:t>
      </w:r>
      <w:r>
        <w:rPr>
          <w:lang w:val="en-US"/>
        </w:rPr>
        <w:t>URL</w:t>
      </w:r>
      <w:r w:rsidRPr="0075243E">
        <w:t xml:space="preserve">: </w:t>
      </w:r>
      <w:hyperlink r:id="rId27" w:history="1">
        <w:r w:rsidRPr="00361005">
          <w:rPr>
            <w:rStyle w:val="a8"/>
            <w:lang w:val="en-US"/>
          </w:rPr>
          <w:t>https</w:t>
        </w:r>
        <w:r w:rsidRPr="0075243E">
          <w:rPr>
            <w:rStyle w:val="a8"/>
          </w:rPr>
          <w:t>://</w:t>
        </w:r>
        <w:r w:rsidRPr="00361005">
          <w:rPr>
            <w:rStyle w:val="a8"/>
            <w:lang w:val="en-US"/>
          </w:rPr>
          <w:t>ru</w:t>
        </w:r>
        <w:r w:rsidRPr="0075243E">
          <w:rPr>
            <w:rStyle w:val="a8"/>
          </w:rPr>
          <w:t>.</w:t>
        </w:r>
        <w:proofErr w:type="spellStart"/>
        <w:r w:rsidRPr="00361005">
          <w:rPr>
            <w:rStyle w:val="a8"/>
            <w:lang w:val="en-US"/>
          </w:rPr>
          <w:t>valdaiclub</w:t>
        </w:r>
        <w:proofErr w:type="spellEnd"/>
        <w:r w:rsidRPr="0075243E">
          <w:rPr>
            <w:rStyle w:val="a8"/>
          </w:rPr>
          <w:t>.</w:t>
        </w:r>
        <w:r w:rsidRPr="00361005">
          <w:rPr>
            <w:rStyle w:val="a8"/>
            <w:lang w:val="en-US"/>
          </w:rPr>
          <w:t>com</w:t>
        </w:r>
        <w:r w:rsidRPr="0075243E">
          <w:rPr>
            <w:rStyle w:val="a8"/>
          </w:rPr>
          <w:t>/</w:t>
        </w:r>
        <w:r w:rsidRPr="00361005">
          <w:rPr>
            <w:rStyle w:val="a8"/>
            <w:lang w:val="en-US"/>
          </w:rPr>
          <w:t>a</w:t>
        </w:r>
        <w:r w:rsidRPr="0075243E">
          <w:rPr>
            <w:rStyle w:val="a8"/>
          </w:rPr>
          <w:t>/</w:t>
        </w:r>
        <w:r w:rsidRPr="00361005">
          <w:rPr>
            <w:rStyle w:val="a8"/>
            <w:lang w:val="en-US"/>
          </w:rPr>
          <w:t>highlights</w:t>
        </w:r>
        <w:r w:rsidRPr="0075243E">
          <w:rPr>
            <w:rStyle w:val="a8"/>
          </w:rPr>
          <w:t>/</w:t>
        </w:r>
        <w:proofErr w:type="spellStart"/>
        <w:r w:rsidRPr="00361005">
          <w:rPr>
            <w:rStyle w:val="a8"/>
            <w:lang w:val="en-US"/>
          </w:rPr>
          <w:t>mirovoy</w:t>
        </w:r>
        <w:proofErr w:type="spellEnd"/>
        <w:r w:rsidRPr="0075243E">
          <w:rPr>
            <w:rStyle w:val="a8"/>
          </w:rPr>
          <w:t>-</w:t>
        </w:r>
        <w:proofErr w:type="spellStart"/>
        <w:r w:rsidRPr="00361005">
          <w:rPr>
            <w:rStyle w:val="a8"/>
            <w:lang w:val="en-US"/>
          </w:rPr>
          <w:t>poryadok</w:t>
        </w:r>
        <w:proofErr w:type="spellEnd"/>
        <w:r w:rsidRPr="0075243E">
          <w:rPr>
            <w:rStyle w:val="a8"/>
          </w:rPr>
          <w:t>-</w:t>
        </w:r>
        <w:proofErr w:type="spellStart"/>
        <w:r w:rsidRPr="00361005">
          <w:rPr>
            <w:rStyle w:val="a8"/>
            <w:lang w:val="en-US"/>
          </w:rPr>
          <w:t>posle</w:t>
        </w:r>
        <w:proofErr w:type="spellEnd"/>
        <w:r w:rsidRPr="0075243E">
          <w:rPr>
            <w:rStyle w:val="a8"/>
          </w:rPr>
          <w:t>-</w:t>
        </w:r>
        <w:proofErr w:type="spellStart"/>
        <w:r w:rsidRPr="00361005">
          <w:rPr>
            <w:rStyle w:val="a8"/>
            <w:lang w:val="en-US"/>
          </w:rPr>
          <w:t>koronavirusa</w:t>
        </w:r>
        <w:proofErr w:type="spellEnd"/>
        <w:r w:rsidRPr="0075243E">
          <w:rPr>
            <w:rStyle w:val="a8"/>
          </w:rPr>
          <w:t>/</w:t>
        </w:r>
      </w:hyperlink>
      <w:r w:rsidRPr="0075243E">
        <w:t xml:space="preserve"> (</w:t>
      </w:r>
      <w:r>
        <w:t>дата обращения: 26.05.2020)</w:t>
      </w:r>
    </w:p>
  </w:footnote>
  <w:footnote w:id="104">
    <w:p w14:paraId="09932473" w14:textId="46FDF4EB" w:rsidR="003B6A89" w:rsidRPr="00FD4B13" w:rsidRDefault="003B6A89">
      <w:pPr>
        <w:pStyle w:val="af3"/>
      </w:pPr>
      <w:r>
        <w:rPr>
          <w:rStyle w:val="af5"/>
        </w:rPr>
        <w:footnoteRef/>
      </w:r>
      <w:r>
        <w:t xml:space="preserve"> Пареньков, Д.А. </w:t>
      </w:r>
      <w:r w:rsidRPr="0075243E">
        <w:t>Политические эффекты пандемии: рост спроса на консервативные ценности</w:t>
      </w:r>
      <w:r>
        <w:t xml:space="preserve"> / Пареньков, Д.А. </w:t>
      </w:r>
      <w:r>
        <w:rPr>
          <w:lang w:val="en-US"/>
        </w:rPr>
        <w:t>URL</w:t>
      </w:r>
      <w:r w:rsidRPr="00FD4B13">
        <w:t xml:space="preserve">: </w:t>
      </w:r>
      <w:hyperlink r:id="rId28" w:history="1">
        <w:r w:rsidRPr="00361005">
          <w:rPr>
            <w:rStyle w:val="a8"/>
          </w:rPr>
          <w:t>https://ru.valdaiclub.com/a/highlights/politicheskie-effekty-pandemii/</w:t>
        </w:r>
      </w:hyperlink>
      <w:r w:rsidRPr="00FD4B13">
        <w:t xml:space="preserve"> </w:t>
      </w:r>
      <w:r w:rsidRPr="0075243E">
        <w:t>(</w:t>
      </w:r>
      <w:r>
        <w:t>дата обращения: 26.05.2020)</w:t>
      </w:r>
    </w:p>
  </w:footnote>
  <w:footnote w:id="105">
    <w:p w14:paraId="567F0179" w14:textId="3B2F53B4" w:rsidR="003B6A89" w:rsidRPr="00FD4B13" w:rsidRDefault="003B6A89">
      <w:pPr>
        <w:pStyle w:val="af3"/>
      </w:pPr>
      <w:r>
        <w:rPr>
          <w:rStyle w:val="af5"/>
        </w:rPr>
        <w:footnoteRef/>
      </w:r>
      <w:r w:rsidRPr="00FD4B13">
        <w:rPr>
          <w:lang w:val="en-US"/>
        </w:rPr>
        <w:t xml:space="preserve"> Henry A. Kissinger.</w:t>
      </w:r>
      <w:r>
        <w:rPr>
          <w:lang w:val="en-US"/>
        </w:rPr>
        <w:t xml:space="preserve"> </w:t>
      </w:r>
      <w:r w:rsidRPr="00FD4B13">
        <w:rPr>
          <w:lang w:val="en-US"/>
        </w:rPr>
        <w:t>The Coronavirus Pandemic Will Forever Alter the World Order</w:t>
      </w:r>
      <w:r>
        <w:rPr>
          <w:lang w:val="en-US"/>
        </w:rPr>
        <w:t xml:space="preserve"> / </w:t>
      </w:r>
      <w:r w:rsidRPr="00FD4B13">
        <w:rPr>
          <w:lang w:val="en-US"/>
        </w:rPr>
        <w:t>Henry A. Kissinger</w:t>
      </w:r>
      <w:r>
        <w:rPr>
          <w:lang w:val="en-US"/>
        </w:rPr>
        <w:t>. URL</w:t>
      </w:r>
      <w:r w:rsidRPr="00FD4B13">
        <w:t xml:space="preserve">: </w:t>
      </w:r>
      <w:hyperlink r:id="rId29" w:history="1">
        <w:r w:rsidRPr="00361005">
          <w:rPr>
            <w:rStyle w:val="a8"/>
            <w:lang w:val="en-US"/>
          </w:rPr>
          <w:t>https</w:t>
        </w:r>
        <w:r w:rsidRPr="00FD4B13">
          <w:rPr>
            <w:rStyle w:val="a8"/>
          </w:rPr>
          <w:t>://</w:t>
        </w:r>
        <w:r w:rsidRPr="00361005">
          <w:rPr>
            <w:rStyle w:val="a8"/>
            <w:lang w:val="en-US"/>
          </w:rPr>
          <w:t>www</w:t>
        </w:r>
        <w:r w:rsidRPr="00FD4B13">
          <w:rPr>
            <w:rStyle w:val="a8"/>
          </w:rPr>
          <w:t>.</w:t>
        </w:r>
        <w:proofErr w:type="spellStart"/>
        <w:r w:rsidRPr="00361005">
          <w:rPr>
            <w:rStyle w:val="a8"/>
            <w:lang w:val="en-US"/>
          </w:rPr>
          <w:t>henryakissinger</w:t>
        </w:r>
        <w:proofErr w:type="spellEnd"/>
        <w:r w:rsidRPr="00FD4B13">
          <w:rPr>
            <w:rStyle w:val="a8"/>
          </w:rPr>
          <w:t>.</w:t>
        </w:r>
        <w:r w:rsidRPr="00361005">
          <w:rPr>
            <w:rStyle w:val="a8"/>
            <w:lang w:val="en-US"/>
          </w:rPr>
          <w:t>com</w:t>
        </w:r>
        <w:r w:rsidRPr="00FD4B13">
          <w:rPr>
            <w:rStyle w:val="a8"/>
          </w:rPr>
          <w:t>/</w:t>
        </w:r>
        <w:r w:rsidRPr="00361005">
          <w:rPr>
            <w:rStyle w:val="a8"/>
            <w:lang w:val="en-US"/>
          </w:rPr>
          <w:t>articles</w:t>
        </w:r>
        <w:r w:rsidRPr="00FD4B13">
          <w:rPr>
            <w:rStyle w:val="a8"/>
          </w:rPr>
          <w:t>/</w:t>
        </w:r>
        <w:r w:rsidRPr="00361005">
          <w:rPr>
            <w:rStyle w:val="a8"/>
            <w:lang w:val="en-US"/>
          </w:rPr>
          <w:t>the</w:t>
        </w:r>
        <w:r w:rsidRPr="00FD4B13">
          <w:rPr>
            <w:rStyle w:val="a8"/>
          </w:rPr>
          <w:t>-</w:t>
        </w:r>
        <w:r w:rsidRPr="00361005">
          <w:rPr>
            <w:rStyle w:val="a8"/>
            <w:lang w:val="en-US"/>
          </w:rPr>
          <w:t>coronavirus</w:t>
        </w:r>
        <w:r w:rsidRPr="00FD4B13">
          <w:rPr>
            <w:rStyle w:val="a8"/>
          </w:rPr>
          <w:t>-</w:t>
        </w:r>
        <w:r w:rsidRPr="00361005">
          <w:rPr>
            <w:rStyle w:val="a8"/>
            <w:lang w:val="en-US"/>
          </w:rPr>
          <w:t>pandemic</w:t>
        </w:r>
        <w:r w:rsidRPr="00FD4B13">
          <w:rPr>
            <w:rStyle w:val="a8"/>
          </w:rPr>
          <w:t>-</w:t>
        </w:r>
        <w:r w:rsidRPr="00361005">
          <w:rPr>
            <w:rStyle w:val="a8"/>
            <w:lang w:val="en-US"/>
          </w:rPr>
          <w:t>will</w:t>
        </w:r>
        <w:r w:rsidRPr="00FD4B13">
          <w:rPr>
            <w:rStyle w:val="a8"/>
          </w:rPr>
          <w:t>-</w:t>
        </w:r>
        <w:r w:rsidRPr="00361005">
          <w:rPr>
            <w:rStyle w:val="a8"/>
            <w:lang w:val="en-US"/>
          </w:rPr>
          <w:t>forever</w:t>
        </w:r>
        <w:r w:rsidRPr="00FD4B13">
          <w:rPr>
            <w:rStyle w:val="a8"/>
          </w:rPr>
          <w:t>-</w:t>
        </w:r>
        <w:r w:rsidRPr="00361005">
          <w:rPr>
            <w:rStyle w:val="a8"/>
            <w:lang w:val="en-US"/>
          </w:rPr>
          <w:t>alter</w:t>
        </w:r>
        <w:r w:rsidRPr="00FD4B13">
          <w:rPr>
            <w:rStyle w:val="a8"/>
          </w:rPr>
          <w:t>-</w:t>
        </w:r>
        <w:r w:rsidRPr="00361005">
          <w:rPr>
            <w:rStyle w:val="a8"/>
            <w:lang w:val="en-US"/>
          </w:rPr>
          <w:t>the</w:t>
        </w:r>
        <w:r w:rsidRPr="00FD4B13">
          <w:rPr>
            <w:rStyle w:val="a8"/>
          </w:rPr>
          <w:t>-</w:t>
        </w:r>
        <w:r w:rsidRPr="00361005">
          <w:rPr>
            <w:rStyle w:val="a8"/>
            <w:lang w:val="en-US"/>
          </w:rPr>
          <w:t>world</w:t>
        </w:r>
        <w:r w:rsidRPr="00FD4B13">
          <w:rPr>
            <w:rStyle w:val="a8"/>
          </w:rPr>
          <w:t>-</w:t>
        </w:r>
        <w:r w:rsidRPr="00361005">
          <w:rPr>
            <w:rStyle w:val="a8"/>
            <w:lang w:val="en-US"/>
          </w:rPr>
          <w:t>order</w:t>
        </w:r>
        <w:r w:rsidRPr="00FD4B13">
          <w:rPr>
            <w:rStyle w:val="a8"/>
          </w:rPr>
          <w:t>/</w:t>
        </w:r>
      </w:hyperlink>
      <w:r w:rsidRPr="00FD4B13">
        <w:t xml:space="preserve"> (</w:t>
      </w:r>
      <w:r>
        <w:t>дата обращения: 26.04.2020)</w:t>
      </w:r>
    </w:p>
  </w:footnote>
  <w:footnote w:id="106">
    <w:p w14:paraId="3A595050" w14:textId="74C1CFA0" w:rsidR="003B6A89" w:rsidRPr="00B1633A" w:rsidRDefault="003B6A89">
      <w:pPr>
        <w:pStyle w:val="af3"/>
      </w:pPr>
      <w:r>
        <w:rPr>
          <w:rStyle w:val="af5"/>
        </w:rPr>
        <w:footnoteRef/>
      </w:r>
      <w:r>
        <w:t xml:space="preserve"> В отчете МВФ цена на нефть указана как средневзвешенное значение трех крупнейших нефтяных марок: </w:t>
      </w:r>
      <w:r>
        <w:rPr>
          <w:lang w:val="en-US"/>
        </w:rPr>
        <w:t>Brent</w:t>
      </w:r>
      <w:r w:rsidRPr="00B1633A">
        <w:t xml:space="preserve">, </w:t>
      </w:r>
      <w:proofErr w:type="spellStart"/>
      <w:r w:rsidRPr="00B1633A">
        <w:t>West</w:t>
      </w:r>
      <w:proofErr w:type="spellEnd"/>
      <w:r w:rsidRPr="00B1633A">
        <w:t xml:space="preserve"> </w:t>
      </w:r>
      <w:proofErr w:type="spellStart"/>
      <w:r w:rsidRPr="00B1633A">
        <w:t>Texas</w:t>
      </w:r>
      <w:proofErr w:type="spellEnd"/>
      <w:r w:rsidRPr="00B1633A">
        <w:t xml:space="preserve"> </w:t>
      </w:r>
      <w:proofErr w:type="spellStart"/>
      <w:r w:rsidRPr="00B1633A">
        <w:t>Intermediate</w:t>
      </w:r>
      <w:proofErr w:type="spellEnd"/>
      <w:r w:rsidRPr="00B1633A">
        <w:t xml:space="preserve"> (</w:t>
      </w:r>
      <w:r>
        <w:rPr>
          <w:lang w:val="en-US"/>
        </w:rPr>
        <w:t>WTI</w:t>
      </w:r>
      <w:r w:rsidRPr="00B1633A">
        <w:t xml:space="preserve">), </w:t>
      </w:r>
      <w:r>
        <w:rPr>
          <w:lang w:val="en-US"/>
        </w:rPr>
        <w:t>Dubai</w:t>
      </w:r>
      <w:r w:rsidRPr="00B1633A">
        <w:t xml:space="preserve"> </w:t>
      </w:r>
      <w:r>
        <w:rPr>
          <w:lang w:val="en-US"/>
        </w:rPr>
        <w:t>Fateh</w:t>
      </w:r>
      <w:r w:rsidRPr="00B1633A">
        <w:t xml:space="preserve"> </w:t>
      </w:r>
      <w:r>
        <w:t>за указанный период.</w:t>
      </w:r>
    </w:p>
  </w:footnote>
  <w:footnote w:id="107">
    <w:p w14:paraId="7BDC6080" w14:textId="248C69D7" w:rsidR="003B6A89" w:rsidRPr="00FD4B13" w:rsidRDefault="003B6A89">
      <w:pPr>
        <w:pStyle w:val="af3"/>
      </w:pPr>
      <w:r>
        <w:rPr>
          <w:rStyle w:val="af5"/>
        </w:rPr>
        <w:footnoteRef/>
      </w:r>
      <w:r w:rsidRPr="00FD4B13">
        <w:rPr>
          <w:lang w:val="en-US"/>
        </w:rPr>
        <w:t xml:space="preserve"> World Economic Outlook, April 2020: The Great Lockdown </w:t>
      </w:r>
      <w:r>
        <w:rPr>
          <w:lang w:val="en-US"/>
        </w:rPr>
        <w:t>[Electronic resource]</w:t>
      </w:r>
      <w:r w:rsidRPr="00FD4B13">
        <w:rPr>
          <w:lang w:val="en-US"/>
        </w:rPr>
        <w:t xml:space="preserve"> // </w:t>
      </w:r>
      <w:r>
        <w:t>Официальный</w:t>
      </w:r>
      <w:r w:rsidRPr="00FD4B13">
        <w:rPr>
          <w:lang w:val="en-US"/>
        </w:rPr>
        <w:t xml:space="preserve"> </w:t>
      </w:r>
      <w:r>
        <w:t>отчет</w:t>
      </w:r>
      <w:r w:rsidRPr="00FD4B13">
        <w:rPr>
          <w:lang w:val="en-US"/>
        </w:rPr>
        <w:t xml:space="preserve"> </w:t>
      </w:r>
      <w:r>
        <w:t>Международного</w:t>
      </w:r>
      <w:r w:rsidRPr="00FD4B13">
        <w:rPr>
          <w:lang w:val="en-US"/>
        </w:rPr>
        <w:t xml:space="preserve"> </w:t>
      </w:r>
      <w:r>
        <w:t>фонда</w:t>
      </w:r>
      <w:r w:rsidRPr="00FD4B13">
        <w:rPr>
          <w:lang w:val="en-US"/>
        </w:rPr>
        <w:t xml:space="preserve">. </w:t>
      </w:r>
      <w:r>
        <w:t xml:space="preserve">Режим доступа: </w:t>
      </w:r>
      <w:hyperlink r:id="rId30" w:history="1">
        <w:r w:rsidRPr="00361005">
          <w:rPr>
            <w:rStyle w:val="a8"/>
          </w:rPr>
          <w:t>https://www.imf.org/en/Publications/WEO/Issues/2020/04/14/weo-april-2020</w:t>
        </w:r>
      </w:hyperlink>
      <w:r>
        <w:t xml:space="preserve"> </w:t>
      </w:r>
    </w:p>
  </w:footnote>
  <w:footnote w:id="108">
    <w:p w14:paraId="0EEE12F1" w14:textId="4D24C374" w:rsidR="003B6A89" w:rsidRPr="00C8118E" w:rsidRDefault="003B6A89" w:rsidP="00C8118E">
      <w:pPr>
        <w:pStyle w:val="af3"/>
        <w:jc w:val="left"/>
      </w:pPr>
      <w:r>
        <w:rPr>
          <w:rStyle w:val="af5"/>
        </w:rPr>
        <w:footnoteRef/>
      </w:r>
      <w:r>
        <w:t xml:space="preserve"> Интернет-журнал РБК </w:t>
      </w:r>
      <w:r w:rsidRPr="00C8118E">
        <w:t>[</w:t>
      </w:r>
      <w:r>
        <w:t>Электронный ресурс</w:t>
      </w:r>
      <w:r w:rsidRPr="00C8118E">
        <w:t>]</w:t>
      </w:r>
      <w:r>
        <w:t xml:space="preserve">. Режим доступа: </w:t>
      </w:r>
      <w:hyperlink r:id="rId31" w:history="1">
        <w:r w:rsidRPr="00361005">
          <w:rPr>
            <w:rStyle w:val="a8"/>
          </w:rPr>
          <w:t>https://www.rbc.ru/business/08/02/2019/5c5db5de9a79472d6f891b37</w:t>
        </w:r>
      </w:hyperlink>
      <w:r>
        <w:t xml:space="preserve"> (дата обращения: 27.04.2020)</w:t>
      </w:r>
    </w:p>
  </w:footnote>
  <w:footnote w:id="109">
    <w:p w14:paraId="232AE023" w14:textId="35C6F91D" w:rsidR="003B6A89" w:rsidRPr="00C8118E" w:rsidRDefault="003B6A89">
      <w:pPr>
        <w:pStyle w:val="af3"/>
      </w:pPr>
      <w:r>
        <w:rPr>
          <w:rStyle w:val="af5"/>
        </w:rPr>
        <w:footnoteRef/>
      </w:r>
      <w:r w:rsidRPr="00C8118E">
        <w:rPr>
          <w:lang w:val="en-US"/>
        </w:rPr>
        <w:t xml:space="preserve"> The 10th (Extraordinary) OPEC and non-OPEC Ministerial Meeting concludes</w:t>
      </w:r>
      <w:r>
        <w:rPr>
          <w:lang w:val="en-US"/>
        </w:rPr>
        <w:t xml:space="preserve"> [Electronic resource]. </w:t>
      </w:r>
      <w:r>
        <w:t xml:space="preserve">Режим доступа: </w:t>
      </w:r>
      <w:hyperlink r:id="rId32" w:history="1">
        <w:r w:rsidRPr="00361005">
          <w:rPr>
            <w:rStyle w:val="a8"/>
            <w:lang w:val="en-US"/>
          </w:rPr>
          <w:t>https</w:t>
        </w:r>
        <w:r w:rsidRPr="00361005">
          <w:rPr>
            <w:rStyle w:val="a8"/>
          </w:rPr>
          <w:t>://</w:t>
        </w:r>
        <w:r w:rsidRPr="00361005">
          <w:rPr>
            <w:rStyle w:val="a8"/>
            <w:lang w:val="en-US"/>
          </w:rPr>
          <w:t>www</w:t>
        </w:r>
        <w:r w:rsidRPr="00361005">
          <w:rPr>
            <w:rStyle w:val="a8"/>
          </w:rPr>
          <w:t>.</w:t>
        </w:r>
        <w:proofErr w:type="spellStart"/>
        <w:r w:rsidRPr="00361005">
          <w:rPr>
            <w:rStyle w:val="a8"/>
            <w:lang w:val="en-US"/>
          </w:rPr>
          <w:t>opec</w:t>
        </w:r>
        <w:proofErr w:type="spellEnd"/>
        <w:r w:rsidRPr="00361005">
          <w:rPr>
            <w:rStyle w:val="a8"/>
          </w:rPr>
          <w:t>.</w:t>
        </w:r>
        <w:r w:rsidRPr="00361005">
          <w:rPr>
            <w:rStyle w:val="a8"/>
            <w:lang w:val="en-US"/>
          </w:rPr>
          <w:t>org</w:t>
        </w:r>
        <w:r w:rsidRPr="00361005">
          <w:rPr>
            <w:rStyle w:val="a8"/>
          </w:rPr>
          <w:t>/</w:t>
        </w:r>
        <w:proofErr w:type="spellStart"/>
        <w:r w:rsidRPr="00361005">
          <w:rPr>
            <w:rStyle w:val="a8"/>
            <w:lang w:val="en-US"/>
          </w:rPr>
          <w:t>opec</w:t>
        </w:r>
        <w:proofErr w:type="spellEnd"/>
        <w:r w:rsidRPr="00361005">
          <w:rPr>
            <w:rStyle w:val="a8"/>
          </w:rPr>
          <w:t>_</w:t>
        </w:r>
        <w:r w:rsidRPr="00361005">
          <w:rPr>
            <w:rStyle w:val="a8"/>
            <w:lang w:val="en-US"/>
          </w:rPr>
          <w:t>web</w:t>
        </w:r>
        <w:r w:rsidRPr="00361005">
          <w:rPr>
            <w:rStyle w:val="a8"/>
          </w:rPr>
          <w:t>/</w:t>
        </w:r>
        <w:proofErr w:type="spellStart"/>
        <w:r w:rsidRPr="00361005">
          <w:rPr>
            <w:rStyle w:val="a8"/>
            <w:lang w:val="en-US"/>
          </w:rPr>
          <w:t>en</w:t>
        </w:r>
        <w:proofErr w:type="spellEnd"/>
        <w:r w:rsidRPr="00361005">
          <w:rPr>
            <w:rStyle w:val="a8"/>
          </w:rPr>
          <w:t>/</w:t>
        </w:r>
        <w:r w:rsidRPr="00361005">
          <w:rPr>
            <w:rStyle w:val="a8"/>
            <w:lang w:val="en-US"/>
          </w:rPr>
          <w:t>press</w:t>
        </w:r>
        <w:r w:rsidRPr="00361005">
          <w:rPr>
            <w:rStyle w:val="a8"/>
          </w:rPr>
          <w:t>_</w:t>
        </w:r>
        <w:r w:rsidRPr="00361005">
          <w:rPr>
            <w:rStyle w:val="a8"/>
            <w:lang w:val="en-US"/>
          </w:rPr>
          <w:t>room</w:t>
        </w:r>
        <w:r w:rsidRPr="00361005">
          <w:rPr>
            <w:rStyle w:val="a8"/>
          </w:rPr>
          <w:t>/5891.</w:t>
        </w:r>
        <w:r w:rsidRPr="00361005">
          <w:rPr>
            <w:rStyle w:val="a8"/>
            <w:lang w:val="en-US"/>
          </w:rPr>
          <w:t>htm</w:t>
        </w:r>
      </w:hyperlink>
      <w:r w:rsidRPr="00C8118E">
        <w:t xml:space="preserve"> </w:t>
      </w:r>
      <w:r>
        <w:t>(дата обращения: 27.04.2020)</w:t>
      </w:r>
    </w:p>
  </w:footnote>
  <w:footnote w:id="110">
    <w:p w14:paraId="40293DAA" w14:textId="2DA69226" w:rsidR="003B6A89" w:rsidRPr="00C8118E" w:rsidRDefault="003B6A89">
      <w:pPr>
        <w:pStyle w:val="af3"/>
      </w:pPr>
      <w:r>
        <w:rPr>
          <w:rStyle w:val="af5"/>
        </w:rPr>
        <w:footnoteRef/>
      </w:r>
      <w:r>
        <w:t xml:space="preserve"> Агентство новостей ТАСС. </w:t>
      </w:r>
      <w:r w:rsidRPr="00C8118E">
        <w:t>[</w:t>
      </w:r>
      <w:r>
        <w:t>Электронный ресурс</w:t>
      </w:r>
      <w:r w:rsidRPr="00C8118E">
        <w:t>]</w:t>
      </w:r>
      <w:r>
        <w:t xml:space="preserve">. Режим доступа: </w:t>
      </w:r>
      <w:hyperlink r:id="rId33" w:history="1">
        <w:r w:rsidRPr="00361005">
          <w:rPr>
            <w:rStyle w:val="a8"/>
          </w:rPr>
          <w:t>https://tass.ru/ekonomika/8295181</w:t>
        </w:r>
      </w:hyperlink>
      <w:r>
        <w:t xml:space="preserve"> (дата обращения: 27.04.2020)</w:t>
      </w:r>
    </w:p>
  </w:footnote>
  <w:footnote w:id="111">
    <w:p w14:paraId="59AD49AF" w14:textId="259EFA2A" w:rsidR="003B6A89" w:rsidRPr="00E92D81" w:rsidRDefault="003B6A89" w:rsidP="00E92D81">
      <w:pPr>
        <w:pStyle w:val="af3"/>
        <w:jc w:val="left"/>
      </w:pPr>
      <w:r>
        <w:rPr>
          <w:rStyle w:val="af5"/>
        </w:rPr>
        <w:footnoteRef/>
      </w:r>
      <w:r>
        <w:t xml:space="preserve"> </w:t>
      </w:r>
      <w:r w:rsidRPr="00E92D81">
        <w:t>Экономика РФ: уточнение прогноза до 2024 года</w:t>
      </w:r>
      <w:r>
        <w:t xml:space="preserve"> </w:t>
      </w:r>
      <w:r w:rsidRPr="00E92D81">
        <w:t>[</w:t>
      </w:r>
      <w:r>
        <w:t>Электронный ресурс</w:t>
      </w:r>
      <w:r w:rsidRPr="00E92D81">
        <w:t xml:space="preserve">] </w:t>
      </w:r>
      <w:r>
        <w:t xml:space="preserve">// Официальный сайт АКРА. Режим доступа: </w:t>
      </w:r>
      <w:hyperlink r:id="rId34" w:history="1">
        <w:r w:rsidRPr="00361005">
          <w:rPr>
            <w:rStyle w:val="a8"/>
          </w:rPr>
          <w:t>https://www.acra-ratings.ru/research/1769</w:t>
        </w:r>
      </w:hyperlink>
      <w:r>
        <w:t xml:space="preserve"> (дата обращения: 28.04.2020)</w:t>
      </w:r>
    </w:p>
  </w:footnote>
  <w:footnote w:id="112">
    <w:p w14:paraId="2266ED2C" w14:textId="1F6C5DE5" w:rsidR="003B6A89" w:rsidRDefault="003B6A89">
      <w:pPr>
        <w:pStyle w:val="af3"/>
      </w:pPr>
      <w:r>
        <w:rPr>
          <w:rStyle w:val="af5"/>
        </w:rPr>
        <w:footnoteRef/>
      </w:r>
      <w:r>
        <w:t xml:space="preserve"> Ткаченко, С.Л. </w:t>
      </w:r>
      <w:r w:rsidRPr="00E92D81">
        <w:t>Выдержит ли экономика России «идеальный шторм»?</w:t>
      </w:r>
      <w:r>
        <w:t xml:space="preserve"> / Ткаченко, С.Л. // Официальный сайт </w:t>
      </w:r>
      <w:r>
        <w:rPr>
          <w:lang w:val="en-US"/>
        </w:rPr>
        <w:t>BITOBE</w:t>
      </w:r>
      <w:r w:rsidRPr="00E92D81">
        <w:t xml:space="preserve"> </w:t>
      </w:r>
      <w:r>
        <w:rPr>
          <w:lang w:val="en-US"/>
        </w:rPr>
        <w:t>Consulting</w:t>
      </w:r>
      <w:r w:rsidRPr="00E92D81">
        <w:t xml:space="preserve"> </w:t>
      </w:r>
      <w:r>
        <w:rPr>
          <w:lang w:val="en-US"/>
        </w:rPr>
        <w:t>group</w:t>
      </w:r>
      <w:r w:rsidRPr="00E92D81">
        <w:t xml:space="preserve"> </w:t>
      </w:r>
      <w:r>
        <w:t>[Электронный ресурс</w:t>
      </w:r>
      <w:r w:rsidRPr="00E92D81">
        <w:t xml:space="preserve">]. </w:t>
      </w:r>
      <w:r>
        <w:t xml:space="preserve">Режим доступа: </w:t>
      </w:r>
      <w:hyperlink r:id="rId35" w:history="1">
        <w:r w:rsidRPr="00361005">
          <w:rPr>
            <w:rStyle w:val="a8"/>
          </w:rPr>
          <w:t>https://www.bitobe.ru/news/2559/?fbclid=IwAR3gaFiiOVmcxHgq_TPB6Zd6Fmt0IMkUWaYoFx_zvxaE6dSBGhxuINRf2Mg</w:t>
        </w:r>
      </w:hyperlink>
      <w:r>
        <w:t xml:space="preserve"> (дата обращения 28.04.2020)</w:t>
      </w:r>
    </w:p>
  </w:footnote>
  <w:footnote w:id="113">
    <w:p w14:paraId="6DB3EF5C" w14:textId="5A220814" w:rsidR="003B6A89" w:rsidRPr="002E4BBA" w:rsidRDefault="003B6A89" w:rsidP="002E4BBA">
      <w:pPr>
        <w:pStyle w:val="af3"/>
      </w:pPr>
      <w:r>
        <w:rPr>
          <w:rStyle w:val="af5"/>
        </w:rPr>
        <w:footnoteRef/>
      </w:r>
      <w:r>
        <w:t xml:space="preserve"> Иноземцев, В.Л. Обновление цепочек: какой станет международная торговля после кризиса / Иноземцев, В.Л. </w:t>
      </w:r>
      <w:r>
        <w:rPr>
          <w:lang w:val="en-US"/>
        </w:rPr>
        <w:t>URL</w:t>
      </w:r>
      <w:r w:rsidRPr="002E4BBA">
        <w:t xml:space="preserve">: </w:t>
      </w:r>
      <w:hyperlink r:id="rId36" w:history="1">
        <w:r w:rsidRPr="00361005">
          <w:rPr>
            <w:rStyle w:val="a8"/>
          </w:rPr>
          <w:t>https://www.rbc.ru/opinions/business/15/04/2020/5e9581ce9a79472109b19010</w:t>
        </w:r>
      </w:hyperlink>
      <w:r w:rsidRPr="002E4BBA">
        <w:t xml:space="preserve"> (</w:t>
      </w:r>
      <w:r>
        <w:t>дата обращения: 28.04.2020</w:t>
      </w:r>
      <w:r w:rsidRPr="002E4BBA">
        <w:t>)</w:t>
      </w:r>
    </w:p>
  </w:footnote>
  <w:footnote w:id="114">
    <w:p w14:paraId="28D6A165" w14:textId="22382244" w:rsidR="003B6A89" w:rsidRPr="002E4BBA" w:rsidRDefault="003B6A89" w:rsidP="002E4BBA">
      <w:pPr>
        <w:pStyle w:val="af3"/>
      </w:pPr>
      <w:r>
        <w:rPr>
          <w:rStyle w:val="af5"/>
        </w:rPr>
        <w:footnoteRef/>
      </w:r>
      <w:r w:rsidRPr="002E4BBA">
        <w:rPr>
          <w:lang w:val="en-US"/>
        </w:rPr>
        <w:t xml:space="preserve"> </w:t>
      </w:r>
      <w:proofErr w:type="spellStart"/>
      <w:r w:rsidRPr="002E4BBA">
        <w:rPr>
          <w:lang w:val="en-US"/>
        </w:rPr>
        <w:t>Huileng</w:t>
      </w:r>
      <w:proofErr w:type="spellEnd"/>
      <w:r w:rsidRPr="002E4BBA">
        <w:rPr>
          <w:lang w:val="en-US"/>
        </w:rPr>
        <w:t xml:space="preserve"> Tan. There will be a ‘massive’ shuffling of supply chains globally after coronavirus shutdowns / </w:t>
      </w:r>
      <w:proofErr w:type="spellStart"/>
      <w:r w:rsidRPr="002E4BBA">
        <w:rPr>
          <w:lang w:val="en-US"/>
        </w:rPr>
        <w:t>Huileng</w:t>
      </w:r>
      <w:proofErr w:type="spellEnd"/>
      <w:r w:rsidRPr="002E4BBA">
        <w:rPr>
          <w:lang w:val="en-US"/>
        </w:rPr>
        <w:t xml:space="preserve"> Tan.</w:t>
      </w:r>
      <w:r>
        <w:rPr>
          <w:lang w:val="en-US"/>
        </w:rPr>
        <w:t xml:space="preserve"> URL</w:t>
      </w:r>
      <w:r w:rsidRPr="002E4BBA">
        <w:t xml:space="preserve">: </w:t>
      </w:r>
      <w:hyperlink r:id="rId37" w:history="1">
        <w:r w:rsidRPr="00361005">
          <w:rPr>
            <w:rStyle w:val="a8"/>
            <w:lang w:val="en-US"/>
          </w:rPr>
          <w:t>https</w:t>
        </w:r>
        <w:r w:rsidRPr="002E4BBA">
          <w:rPr>
            <w:rStyle w:val="a8"/>
          </w:rPr>
          <w:t>://</w:t>
        </w:r>
        <w:r w:rsidRPr="00361005">
          <w:rPr>
            <w:rStyle w:val="a8"/>
            <w:lang w:val="en-US"/>
          </w:rPr>
          <w:t>www</w:t>
        </w:r>
        <w:r w:rsidRPr="002E4BBA">
          <w:rPr>
            <w:rStyle w:val="a8"/>
          </w:rPr>
          <w:t>.</w:t>
        </w:r>
        <w:proofErr w:type="spellStart"/>
        <w:r w:rsidRPr="00361005">
          <w:rPr>
            <w:rStyle w:val="a8"/>
            <w:lang w:val="en-US"/>
          </w:rPr>
          <w:t>cnbc</w:t>
        </w:r>
        <w:proofErr w:type="spellEnd"/>
        <w:r w:rsidRPr="002E4BBA">
          <w:rPr>
            <w:rStyle w:val="a8"/>
          </w:rPr>
          <w:t>.</w:t>
        </w:r>
        <w:r w:rsidRPr="00361005">
          <w:rPr>
            <w:rStyle w:val="a8"/>
            <w:lang w:val="en-US"/>
          </w:rPr>
          <w:t>com</w:t>
        </w:r>
        <w:r w:rsidRPr="002E4BBA">
          <w:rPr>
            <w:rStyle w:val="a8"/>
          </w:rPr>
          <w:t>/2020/03/20/</w:t>
        </w:r>
        <w:r w:rsidRPr="00361005">
          <w:rPr>
            <w:rStyle w:val="a8"/>
            <w:lang w:val="en-US"/>
          </w:rPr>
          <w:t>coronavirus</w:t>
        </w:r>
        <w:r w:rsidRPr="002E4BBA">
          <w:rPr>
            <w:rStyle w:val="a8"/>
          </w:rPr>
          <w:t>-</w:t>
        </w:r>
        <w:r w:rsidRPr="00361005">
          <w:rPr>
            <w:rStyle w:val="a8"/>
            <w:lang w:val="en-US"/>
          </w:rPr>
          <w:t>shocks</w:t>
        </w:r>
        <w:r w:rsidRPr="002E4BBA">
          <w:rPr>
            <w:rStyle w:val="a8"/>
          </w:rPr>
          <w:t>-</w:t>
        </w:r>
        <w:r w:rsidRPr="00361005">
          <w:rPr>
            <w:rStyle w:val="a8"/>
            <w:lang w:val="en-US"/>
          </w:rPr>
          <w:t>will</w:t>
        </w:r>
        <w:r w:rsidRPr="002E4BBA">
          <w:rPr>
            <w:rStyle w:val="a8"/>
          </w:rPr>
          <w:t>-</w:t>
        </w:r>
        <w:r w:rsidRPr="00361005">
          <w:rPr>
            <w:rStyle w:val="a8"/>
            <w:lang w:val="en-US"/>
          </w:rPr>
          <w:t>lead</w:t>
        </w:r>
        <w:r w:rsidRPr="002E4BBA">
          <w:rPr>
            <w:rStyle w:val="a8"/>
          </w:rPr>
          <w:t>-</w:t>
        </w:r>
        <w:r w:rsidRPr="00361005">
          <w:rPr>
            <w:rStyle w:val="a8"/>
            <w:lang w:val="en-US"/>
          </w:rPr>
          <w:t>to</w:t>
        </w:r>
        <w:r w:rsidRPr="002E4BBA">
          <w:rPr>
            <w:rStyle w:val="a8"/>
          </w:rPr>
          <w:t>-</w:t>
        </w:r>
        <w:r w:rsidRPr="00361005">
          <w:rPr>
            <w:rStyle w:val="a8"/>
            <w:lang w:val="en-US"/>
          </w:rPr>
          <w:t>massive</w:t>
        </w:r>
        <w:r w:rsidRPr="002E4BBA">
          <w:rPr>
            <w:rStyle w:val="a8"/>
          </w:rPr>
          <w:t>-</w:t>
        </w:r>
        <w:r w:rsidRPr="00361005">
          <w:rPr>
            <w:rStyle w:val="a8"/>
            <w:lang w:val="en-US"/>
          </w:rPr>
          <w:t>global</w:t>
        </w:r>
        <w:r w:rsidRPr="002E4BBA">
          <w:rPr>
            <w:rStyle w:val="a8"/>
          </w:rPr>
          <w:t>-</w:t>
        </w:r>
        <w:r w:rsidRPr="00361005">
          <w:rPr>
            <w:rStyle w:val="a8"/>
            <w:lang w:val="en-US"/>
          </w:rPr>
          <w:t>supply</w:t>
        </w:r>
        <w:r w:rsidRPr="002E4BBA">
          <w:rPr>
            <w:rStyle w:val="a8"/>
          </w:rPr>
          <w:t>-</w:t>
        </w:r>
        <w:r w:rsidRPr="00361005">
          <w:rPr>
            <w:rStyle w:val="a8"/>
            <w:lang w:val="en-US"/>
          </w:rPr>
          <w:t>chain</w:t>
        </w:r>
        <w:r w:rsidRPr="002E4BBA">
          <w:rPr>
            <w:rStyle w:val="a8"/>
          </w:rPr>
          <w:t>-</w:t>
        </w:r>
        <w:r w:rsidRPr="00361005">
          <w:rPr>
            <w:rStyle w:val="a8"/>
            <w:lang w:val="en-US"/>
          </w:rPr>
          <w:t>shuffle</w:t>
        </w:r>
        <w:r w:rsidRPr="002E4BBA">
          <w:rPr>
            <w:rStyle w:val="a8"/>
          </w:rPr>
          <w:t>.</w:t>
        </w:r>
        <w:r w:rsidRPr="00361005">
          <w:rPr>
            <w:rStyle w:val="a8"/>
            <w:lang w:val="en-US"/>
          </w:rPr>
          <w:t>html</w:t>
        </w:r>
      </w:hyperlink>
      <w:r w:rsidRPr="002E4BBA">
        <w:t xml:space="preserve"> (</w:t>
      </w:r>
      <w:r>
        <w:t>дата обращения 28.04.2020)</w:t>
      </w:r>
    </w:p>
  </w:footnote>
  <w:footnote w:id="115">
    <w:p w14:paraId="0123B8BB" w14:textId="7AAEC332" w:rsidR="003B6A89" w:rsidRPr="002E4BBA" w:rsidRDefault="003B6A89">
      <w:pPr>
        <w:pStyle w:val="af3"/>
      </w:pPr>
      <w:r>
        <w:rPr>
          <w:rStyle w:val="af5"/>
        </w:rPr>
        <w:footnoteRef/>
      </w:r>
      <w:r w:rsidRPr="002E4BBA">
        <w:rPr>
          <w:lang w:val="en-US"/>
        </w:rPr>
        <w:t xml:space="preserve"> Brooke Sutherland. Maybe Global Supply Chains Were a Bad Idea / Brooke Sutherland</w:t>
      </w:r>
      <w:r>
        <w:rPr>
          <w:lang w:val="en-US"/>
        </w:rPr>
        <w:t>. URL</w:t>
      </w:r>
      <w:r w:rsidRPr="002E4BBA">
        <w:t xml:space="preserve">: </w:t>
      </w:r>
      <w:hyperlink r:id="rId38" w:history="1">
        <w:r w:rsidRPr="00361005">
          <w:rPr>
            <w:rStyle w:val="a8"/>
            <w:lang w:val="en-US"/>
          </w:rPr>
          <w:t>https</w:t>
        </w:r>
        <w:r w:rsidRPr="002E4BBA">
          <w:rPr>
            <w:rStyle w:val="a8"/>
          </w:rPr>
          <w:t>://</w:t>
        </w:r>
        <w:r w:rsidRPr="00361005">
          <w:rPr>
            <w:rStyle w:val="a8"/>
            <w:lang w:val="en-US"/>
          </w:rPr>
          <w:t>www</w:t>
        </w:r>
        <w:r w:rsidRPr="002E4BBA">
          <w:rPr>
            <w:rStyle w:val="a8"/>
          </w:rPr>
          <w:t>.</w:t>
        </w:r>
        <w:proofErr w:type="spellStart"/>
        <w:r w:rsidRPr="00361005">
          <w:rPr>
            <w:rStyle w:val="a8"/>
            <w:lang w:val="en-US"/>
          </w:rPr>
          <w:t>bloomberg</w:t>
        </w:r>
        <w:proofErr w:type="spellEnd"/>
        <w:r w:rsidRPr="002E4BBA">
          <w:rPr>
            <w:rStyle w:val="a8"/>
          </w:rPr>
          <w:t>.</w:t>
        </w:r>
        <w:r w:rsidRPr="00361005">
          <w:rPr>
            <w:rStyle w:val="a8"/>
            <w:lang w:val="en-US"/>
          </w:rPr>
          <w:t>com</w:t>
        </w:r>
        <w:r w:rsidRPr="002E4BBA">
          <w:rPr>
            <w:rStyle w:val="a8"/>
          </w:rPr>
          <w:t>/</w:t>
        </w:r>
        <w:r w:rsidRPr="00361005">
          <w:rPr>
            <w:rStyle w:val="a8"/>
            <w:lang w:val="en-US"/>
          </w:rPr>
          <w:t>opinion</w:t>
        </w:r>
        <w:r w:rsidRPr="002E4BBA">
          <w:rPr>
            <w:rStyle w:val="a8"/>
          </w:rPr>
          <w:t>/</w:t>
        </w:r>
        <w:r w:rsidRPr="00361005">
          <w:rPr>
            <w:rStyle w:val="a8"/>
            <w:lang w:val="en-US"/>
          </w:rPr>
          <w:t>articles</w:t>
        </w:r>
        <w:r w:rsidRPr="002E4BBA">
          <w:rPr>
            <w:rStyle w:val="a8"/>
          </w:rPr>
          <w:t>/2020-02-21/</w:t>
        </w:r>
        <w:r w:rsidRPr="00361005">
          <w:rPr>
            <w:rStyle w:val="a8"/>
            <w:lang w:val="en-US"/>
          </w:rPr>
          <w:t>coronavirus</w:t>
        </w:r>
        <w:r w:rsidRPr="002E4BBA">
          <w:rPr>
            <w:rStyle w:val="a8"/>
          </w:rPr>
          <w:t>-</w:t>
        </w:r>
        <w:r w:rsidRPr="00361005">
          <w:rPr>
            <w:rStyle w:val="a8"/>
            <w:lang w:val="en-US"/>
          </w:rPr>
          <w:t>forces</w:t>
        </w:r>
        <w:r w:rsidRPr="002E4BBA">
          <w:rPr>
            <w:rStyle w:val="a8"/>
          </w:rPr>
          <w:t>-</w:t>
        </w:r>
        <w:r w:rsidRPr="00361005">
          <w:rPr>
            <w:rStyle w:val="a8"/>
            <w:lang w:val="en-US"/>
          </w:rPr>
          <w:t>a</w:t>
        </w:r>
        <w:r w:rsidRPr="002E4BBA">
          <w:rPr>
            <w:rStyle w:val="a8"/>
          </w:rPr>
          <w:t>-</w:t>
        </w:r>
        <w:r w:rsidRPr="00361005">
          <w:rPr>
            <w:rStyle w:val="a8"/>
            <w:lang w:val="en-US"/>
          </w:rPr>
          <w:t>rethinking</w:t>
        </w:r>
        <w:r w:rsidRPr="002E4BBA">
          <w:rPr>
            <w:rStyle w:val="a8"/>
          </w:rPr>
          <w:t>-</w:t>
        </w:r>
        <w:r w:rsidRPr="00361005">
          <w:rPr>
            <w:rStyle w:val="a8"/>
            <w:lang w:val="en-US"/>
          </w:rPr>
          <w:t>of</w:t>
        </w:r>
        <w:r w:rsidRPr="002E4BBA">
          <w:rPr>
            <w:rStyle w:val="a8"/>
          </w:rPr>
          <w:t>-</w:t>
        </w:r>
        <w:r w:rsidRPr="00361005">
          <w:rPr>
            <w:rStyle w:val="a8"/>
            <w:lang w:val="en-US"/>
          </w:rPr>
          <w:t>supply</w:t>
        </w:r>
        <w:r w:rsidRPr="002E4BBA">
          <w:rPr>
            <w:rStyle w:val="a8"/>
          </w:rPr>
          <w:t>-</w:t>
        </w:r>
        <w:r w:rsidRPr="00361005">
          <w:rPr>
            <w:rStyle w:val="a8"/>
            <w:lang w:val="en-US"/>
          </w:rPr>
          <w:t>chains</w:t>
        </w:r>
      </w:hyperlink>
      <w:r w:rsidRPr="002E4BBA">
        <w:t xml:space="preserve"> (</w:t>
      </w:r>
      <w:r>
        <w:t>дата обращения 28.04.2020)</w:t>
      </w:r>
    </w:p>
  </w:footnote>
  <w:footnote w:id="116">
    <w:p w14:paraId="7A73A4A6" w14:textId="28A0C956" w:rsidR="003B6A89" w:rsidRPr="002E4BBA" w:rsidRDefault="003B6A89">
      <w:pPr>
        <w:pStyle w:val="af3"/>
      </w:pPr>
      <w:r>
        <w:rPr>
          <w:rStyle w:val="af5"/>
        </w:rPr>
        <w:footnoteRef/>
      </w:r>
      <w:r w:rsidRPr="003B6A89">
        <w:rPr>
          <w:lang w:val="en-US"/>
        </w:rPr>
        <w:t xml:space="preserve"> </w:t>
      </w:r>
      <w:r w:rsidRPr="002E4BBA">
        <w:rPr>
          <w:lang w:val="en-US"/>
        </w:rPr>
        <w:t>P</w:t>
      </w:r>
      <w:r>
        <w:rPr>
          <w:lang w:val="en-US"/>
        </w:rPr>
        <w:t>hilippe</w:t>
      </w:r>
      <w:r w:rsidRPr="003B6A89">
        <w:rPr>
          <w:lang w:val="en-US"/>
        </w:rPr>
        <w:t xml:space="preserve"> </w:t>
      </w:r>
      <w:proofErr w:type="spellStart"/>
      <w:r>
        <w:rPr>
          <w:lang w:val="en-US"/>
        </w:rPr>
        <w:t>Legrain</w:t>
      </w:r>
      <w:proofErr w:type="spellEnd"/>
      <w:r w:rsidRPr="003B6A89">
        <w:rPr>
          <w:lang w:val="en-US"/>
        </w:rPr>
        <w:t xml:space="preserve">. </w:t>
      </w:r>
      <w:r w:rsidRPr="002E4BBA">
        <w:rPr>
          <w:lang w:val="en-US"/>
        </w:rPr>
        <w:t>The Coronavirus Is Killing Globalization as We Know It</w:t>
      </w:r>
      <w:r>
        <w:rPr>
          <w:lang w:val="en-US"/>
        </w:rPr>
        <w:t xml:space="preserve"> / </w:t>
      </w:r>
      <w:r w:rsidRPr="002E4BBA">
        <w:rPr>
          <w:lang w:val="en-US"/>
        </w:rPr>
        <w:t>P</w:t>
      </w:r>
      <w:r>
        <w:rPr>
          <w:lang w:val="en-US"/>
        </w:rPr>
        <w:t>hilippe</w:t>
      </w:r>
      <w:r w:rsidRPr="002E4BBA">
        <w:rPr>
          <w:lang w:val="en-US"/>
        </w:rPr>
        <w:t xml:space="preserve"> </w:t>
      </w:r>
      <w:proofErr w:type="spellStart"/>
      <w:r>
        <w:rPr>
          <w:lang w:val="en-US"/>
        </w:rPr>
        <w:t>Legrain</w:t>
      </w:r>
      <w:proofErr w:type="spellEnd"/>
      <w:r w:rsidRPr="002E4BBA">
        <w:rPr>
          <w:lang w:val="en-US"/>
        </w:rPr>
        <w:t>.</w:t>
      </w:r>
      <w:r>
        <w:rPr>
          <w:lang w:val="en-US"/>
        </w:rPr>
        <w:t xml:space="preserve"> URL</w:t>
      </w:r>
      <w:r w:rsidRPr="002E4BBA">
        <w:t xml:space="preserve">: </w:t>
      </w:r>
      <w:hyperlink r:id="rId39" w:history="1">
        <w:r w:rsidRPr="00361005">
          <w:rPr>
            <w:rStyle w:val="a8"/>
            <w:lang w:val="en-US"/>
          </w:rPr>
          <w:t>https</w:t>
        </w:r>
        <w:r w:rsidRPr="002E4BBA">
          <w:rPr>
            <w:rStyle w:val="a8"/>
          </w:rPr>
          <w:t>://</w:t>
        </w:r>
        <w:proofErr w:type="spellStart"/>
        <w:r w:rsidRPr="00361005">
          <w:rPr>
            <w:rStyle w:val="a8"/>
            <w:lang w:val="en-US"/>
          </w:rPr>
          <w:t>foreignpolicy</w:t>
        </w:r>
        <w:proofErr w:type="spellEnd"/>
        <w:r w:rsidRPr="002E4BBA">
          <w:rPr>
            <w:rStyle w:val="a8"/>
          </w:rPr>
          <w:t>.</w:t>
        </w:r>
        <w:r w:rsidRPr="00361005">
          <w:rPr>
            <w:rStyle w:val="a8"/>
            <w:lang w:val="en-US"/>
          </w:rPr>
          <w:t>com</w:t>
        </w:r>
        <w:r w:rsidRPr="002E4BBA">
          <w:rPr>
            <w:rStyle w:val="a8"/>
          </w:rPr>
          <w:t>/2020/03/12/</w:t>
        </w:r>
        <w:r w:rsidRPr="00361005">
          <w:rPr>
            <w:rStyle w:val="a8"/>
            <w:lang w:val="en-US"/>
          </w:rPr>
          <w:t>coronavirus</w:t>
        </w:r>
        <w:r w:rsidRPr="002E4BBA">
          <w:rPr>
            <w:rStyle w:val="a8"/>
          </w:rPr>
          <w:t>-</w:t>
        </w:r>
        <w:r w:rsidRPr="00361005">
          <w:rPr>
            <w:rStyle w:val="a8"/>
            <w:lang w:val="en-US"/>
          </w:rPr>
          <w:t>killing</w:t>
        </w:r>
        <w:r w:rsidRPr="002E4BBA">
          <w:rPr>
            <w:rStyle w:val="a8"/>
          </w:rPr>
          <w:t>-</w:t>
        </w:r>
        <w:r w:rsidRPr="00361005">
          <w:rPr>
            <w:rStyle w:val="a8"/>
            <w:lang w:val="en-US"/>
          </w:rPr>
          <w:t>globalization</w:t>
        </w:r>
        <w:r w:rsidRPr="002E4BBA">
          <w:rPr>
            <w:rStyle w:val="a8"/>
          </w:rPr>
          <w:t>-</w:t>
        </w:r>
        <w:r w:rsidRPr="00361005">
          <w:rPr>
            <w:rStyle w:val="a8"/>
            <w:lang w:val="en-US"/>
          </w:rPr>
          <w:t>nationalism</w:t>
        </w:r>
        <w:r w:rsidRPr="002E4BBA">
          <w:rPr>
            <w:rStyle w:val="a8"/>
          </w:rPr>
          <w:t>-</w:t>
        </w:r>
        <w:r w:rsidRPr="00361005">
          <w:rPr>
            <w:rStyle w:val="a8"/>
            <w:lang w:val="en-US"/>
          </w:rPr>
          <w:t>protectionism</w:t>
        </w:r>
        <w:r w:rsidRPr="002E4BBA">
          <w:rPr>
            <w:rStyle w:val="a8"/>
          </w:rPr>
          <w:t>-</w:t>
        </w:r>
        <w:r w:rsidRPr="00361005">
          <w:rPr>
            <w:rStyle w:val="a8"/>
            <w:lang w:val="en-US"/>
          </w:rPr>
          <w:t>trump</w:t>
        </w:r>
        <w:r w:rsidRPr="002E4BBA">
          <w:rPr>
            <w:rStyle w:val="a8"/>
          </w:rPr>
          <w:t>/</w:t>
        </w:r>
      </w:hyperlink>
      <w:r w:rsidRPr="002E4BBA">
        <w:t xml:space="preserve"> (</w:t>
      </w:r>
      <w:r>
        <w:t>дата обращения 28.04.2020)</w:t>
      </w:r>
    </w:p>
  </w:footnote>
  <w:footnote w:id="117">
    <w:p w14:paraId="24E2EA29" w14:textId="2BB0384E" w:rsidR="003B6A89" w:rsidRPr="00D944FB" w:rsidRDefault="003B6A89">
      <w:pPr>
        <w:pStyle w:val="af3"/>
        <w:rPr>
          <w:lang w:val="en-US"/>
        </w:rPr>
      </w:pPr>
      <w:r>
        <w:rPr>
          <w:rStyle w:val="af5"/>
        </w:rPr>
        <w:footnoteRef/>
      </w:r>
      <w:r w:rsidRPr="00D944FB">
        <w:rPr>
          <w:lang w:val="en-US"/>
        </w:rPr>
        <w:t xml:space="preserve"> </w:t>
      </w:r>
      <w:r w:rsidRPr="00197DBA">
        <w:rPr>
          <w:lang w:val="en-US"/>
        </w:rPr>
        <w:t xml:space="preserve">A New Industrial Strategy for Europe // </w:t>
      </w:r>
      <w:r>
        <w:rPr>
          <w:lang w:val="en-US"/>
        </w:rPr>
        <w:t>European</w:t>
      </w:r>
      <w:r w:rsidRPr="00C13672">
        <w:rPr>
          <w:lang w:val="en-US"/>
        </w:rPr>
        <w:t xml:space="preserve"> </w:t>
      </w:r>
      <w:r>
        <w:rPr>
          <w:lang w:val="en-US"/>
        </w:rPr>
        <w:t>Commission</w:t>
      </w:r>
      <w:r w:rsidRPr="00C13672">
        <w:rPr>
          <w:lang w:val="en-US"/>
        </w:rPr>
        <w:t xml:space="preserve">, </w:t>
      </w:r>
      <w:r w:rsidRPr="0047368A">
        <w:rPr>
          <w:lang w:val="en-US"/>
        </w:rPr>
        <w:t>Brussels</w:t>
      </w:r>
      <w:r w:rsidRPr="00C13672">
        <w:rPr>
          <w:lang w:val="en-US"/>
        </w:rPr>
        <w:t>, 10.3.2020</w:t>
      </w:r>
      <w:r w:rsidRPr="00D24DDF">
        <w:rPr>
          <w:lang w:val="en-US"/>
        </w:rPr>
        <w:t xml:space="preserve"> </w:t>
      </w:r>
      <w:r>
        <w:rPr>
          <w:lang w:val="en-US"/>
        </w:rPr>
        <w:t>–</w:t>
      </w:r>
      <w:r w:rsidRPr="00D24DDF">
        <w:rPr>
          <w:lang w:val="en-US"/>
        </w:rPr>
        <w:t xml:space="preserve"> </w:t>
      </w:r>
      <w:r>
        <w:t>С</w:t>
      </w:r>
      <w:r w:rsidRPr="00D24DDF">
        <w:rPr>
          <w:lang w:val="en-US"/>
        </w:rPr>
        <w:t xml:space="preserve">. </w:t>
      </w:r>
      <w:r w:rsidRPr="00D944FB">
        <w:rPr>
          <w:lang w:val="en-US"/>
        </w:rPr>
        <w:t>2</w:t>
      </w:r>
    </w:p>
  </w:footnote>
  <w:footnote w:id="118">
    <w:p w14:paraId="4CA8CFAA" w14:textId="3E72D046" w:rsidR="003B6A89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proofErr w:type="spellStart"/>
      <w:r>
        <w:t>Друэ</w:t>
      </w:r>
      <w:proofErr w:type="spellEnd"/>
      <w:r>
        <w:t xml:space="preserve">, М.В. </w:t>
      </w:r>
      <w:r w:rsidRPr="00B010AF">
        <w:t>«Энергетический поворот» в Германии: трансформация из формы социально-политических движений во второй половине XX века в основу государственной политики в области энергетики в начале XXI века</w:t>
      </w:r>
      <w:r>
        <w:t xml:space="preserve"> / </w:t>
      </w:r>
      <w:proofErr w:type="spellStart"/>
      <w:r>
        <w:t>Друэ</w:t>
      </w:r>
      <w:proofErr w:type="spellEnd"/>
      <w:r>
        <w:t xml:space="preserve">, М.В. // Вестник Забайкальского государственного университета. – 2019. Т.25 №3. Стр. 59-60 </w:t>
      </w:r>
    </w:p>
  </w:footnote>
  <w:footnote w:id="119">
    <w:p w14:paraId="72F31A5F" w14:textId="1CF955A8" w:rsidR="003B6A89" w:rsidRPr="00453C46" w:rsidRDefault="003B6A89">
      <w:pPr>
        <w:pStyle w:val="af3"/>
        <w:rPr>
          <w:lang w:val="de-DE"/>
        </w:rPr>
      </w:pPr>
      <w:r>
        <w:rPr>
          <w:rStyle w:val="af5"/>
        </w:rPr>
        <w:footnoteRef/>
      </w:r>
      <w:r w:rsidRPr="00453C46">
        <w:t xml:space="preserve"> </w:t>
      </w:r>
      <w:proofErr w:type="spellStart"/>
      <w:r>
        <w:rPr>
          <w:lang w:val="en-US"/>
        </w:rPr>
        <w:t>Gesetz</w:t>
      </w:r>
      <w:proofErr w:type="spellEnd"/>
      <w:r w:rsidRPr="00453C46">
        <w:t xml:space="preserve"> </w:t>
      </w:r>
      <w:r>
        <w:rPr>
          <w:lang w:val="en-US"/>
        </w:rPr>
        <w:t>f</w:t>
      </w:r>
      <w:r w:rsidRPr="00453C46">
        <w:t>ü</w:t>
      </w:r>
      <w:r>
        <w:rPr>
          <w:lang w:val="en-US"/>
        </w:rPr>
        <w:t>r</w:t>
      </w:r>
      <w:r w:rsidRPr="00453C46">
        <w:t xml:space="preserve"> </w:t>
      </w:r>
      <w:r>
        <w:rPr>
          <w:lang w:val="en-US"/>
        </w:rPr>
        <w:t>den</w:t>
      </w:r>
      <w:r w:rsidRPr="00453C46">
        <w:t xml:space="preserve"> </w:t>
      </w:r>
      <w:proofErr w:type="spellStart"/>
      <w:r>
        <w:rPr>
          <w:lang w:val="en-US"/>
        </w:rPr>
        <w:t>Vorrang</w:t>
      </w:r>
      <w:proofErr w:type="spellEnd"/>
      <w:r w:rsidRPr="00453C46">
        <w:t xml:space="preserve"> </w:t>
      </w:r>
      <w:proofErr w:type="spellStart"/>
      <w:r>
        <w:rPr>
          <w:lang w:val="en-US"/>
        </w:rPr>
        <w:t>Erneuerbarer</w:t>
      </w:r>
      <w:proofErr w:type="spellEnd"/>
      <w:r w:rsidRPr="00453C46">
        <w:t xml:space="preserve"> </w:t>
      </w:r>
      <w:proofErr w:type="spellStart"/>
      <w:r>
        <w:rPr>
          <w:lang w:val="en-US"/>
        </w:rPr>
        <w:t>Energien</w:t>
      </w:r>
      <w:proofErr w:type="spellEnd"/>
      <w:r w:rsidRPr="00453C46">
        <w:t xml:space="preserve"> (</w:t>
      </w:r>
      <w:proofErr w:type="spellStart"/>
      <w:r w:rsidRPr="00453C46">
        <w:rPr>
          <w:lang w:val="en-US"/>
        </w:rPr>
        <w:t>Erneuerbare</w:t>
      </w:r>
      <w:proofErr w:type="spellEnd"/>
      <w:r w:rsidRPr="00453C46">
        <w:t>-</w:t>
      </w:r>
      <w:proofErr w:type="spellStart"/>
      <w:r w:rsidRPr="00453C46">
        <w:rPr>
          <w:lang w:val="en-US"/>
        </w:rPr>
        <w:t>Energien</w:t>
      </w:r>
      <w:proofErr w:type="spellEnd"/>
      <w:r w:rsidRPr="00453C46">
        <w:t>-</w:t>
      </w:r>
      <w:proofErr w:type="spellStart"/>
      <w:r w:rsidRPr="00453C46">
        <w:rPr>
          <w:lang w:val="en-US"/>
        </w:rPr>
        <w:t>Gesetz</w:t>
      </w:r>
      <w:proofErr w:type="spellEnd"/>
      <w:r w:rsidRPr="00453C46">
        <w:t xml:space="preserve">, </w:t>
      </w:r>
      <w:r w:rsidRPr="00453C46">
        <w:rPr>
          <w:lang w:val="en-US"/>
        </w:rPr>
        <w:t>EEG</w:t>
      </w:r>
      <w:r w:rsidRPr="00453C46">
        <w:t xml:space="preserve">) </w:t>
      </w:r>
      <w:r>
        <w:rPr>
          <w:lang w:val="de-DE"/>
        </w:rPr>
        <w:t>sowie zur Änderung des Energiewirtschaftsgesetzes und des Mineralölsteuergesetzes // Bundesgesetzblatt Jahrgang 2000 Teil I Nr.13, ausgegeben zu Bonn am 31. März 2000</w:t>
      </w:r>
    </w:p>
  </w:footnote>
  <w:footnote w:id="120">
    <w:p w14:paraId="56F7BAC4" w14:textId="7B6C0D80" w:rsidR="003B6A89" w:rsidRPr="00453C46" w:rsidRDefault="003B6A89" w:rsidP="00453C46">
      <w:pPr>
        <w:pStyle w:val="af3"/>
      </w:pPr>
      <w:r>
        <w:rPr>
          <w:rStyle w:val="af5"/>
        </w:rPr>
        <w:footnoteRef/>
      </w:r>
      <w:r w:rsidRPr="00453C46">
        <w:rPr>
          <w:lang w:val="en-US"/>
        </w:rPr>
        <w:t xml:space="preserve"> </w:t>
      </w:r>
      <w:proofErr w:type="spellStart"/>
      <w:r w:rsidRPr="00453C46">
        <w:rPr>
          <w:lang w:val="en-US"/>
        </w:rPr>
        <w:t>Energiekonzept</w:t>
      </w:r>
      <w:proofErr w:type="spellEnd"/>
      <w:r>
        <w:rPr>
          <w:lang w:val="en-US"/>
        </w:rPr>
        <w:t xml:space="preserve"> </w:t>
      </w:r>
      <w:proofErr w:type="spellStart"/>
      <w:r w:rsidRPr="00453C46">
        <w:rPr>
          <w:lang w:val="en-US"/>
        </w:rPr>
        <w:t>für</w:t>
      </w:r>
      <w:proofErr w:type="spellEnd"/>
      <w:r w:rsidRPr="00453C46">
        <w:rPr>
          <w:lang w:val="en-US"/>
        </w:rPr>
        <w:t xml:space="preserve"> </w:t>
      </w:r>
      <w:proofErr w:type="spellStart"/>
      <w:r w:rsidRPr="00453C46">
        <w:rPr>
          <w:lang w:val="en-US"/>
        </w:rPr>
        <w:t>eine</w:t>
      </w:r>
      <w:proofErr w:type="spellEnd"/>
      <w:r w:rsidRPr="00453C46">
        <w:rPr>
          <w:lang w:val="en-US"/>
        </w:rPr>
        <w:t xml:space="preserve"> </w:t>
      </w:r>
      <w:proofErr w:type="spellStart"/>
      <w:r w:rsidRPr="00453C46">
        <w:rPr>
          <w:lang w:val="en-US"/>
        </w:rPr>
        <w:t>umweltschonende</w:t>
      </w:r>
      <w:proofErr w:type="spellEnd"/>
      <w:r w:rsidRPr="00453C46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453C46">
        <w:rPr>
          <w:lang w:val="en-US"/>
        </w:rPr>
        <w:t>zuverlässige</w:t>
      </w:r>
      <w:proofErr w:type="spellEnd"/>
      <w:r w:rsidRPr="00453C46">
        <w:rPr>
          <w:lang w:val="en-US"/>
        </w:rPr>
        <w:t xml:space="preserve"> und</w:t>
      </w:r>
      <w:r>
        <w:rPr>
          <w:lang w:val="en-US"/>
        </w:rPr>
        <w:t xml:space="preserve"> </w:t>
      </w:r>
      <w:proofErr w:type="spellStart"/>
      <w:r w:rsidRPr="00453C46">
        <w:rPr>
          <w:lang w:val="en-US"/>
        </w:rPr>
        <w:t>bezahlbare</w:t>
      </w:r>
      <w:proofErr w:type="spellEnd"/>
      <w:r w:rsidRPr="00453C46">
        <w:rPr>
          <w:lang w:val="en-US"/>
        </w:rPr>
        <w:t xml:space="preserve"> </w:t>
      </w:r>
      <w:proofErr w:type="spellStart"/>
      <w:r w:rsidRPr="00453C46">
        <w:rPr>
          <w:lang w:val="en-US"/>
        </w:rPr>
        <w:t>Energieversorgung</w:t>
      </w:r>
      <w:proofErr w:type="spellEnd"/>
      <w:r>
        <w:rPr>
          <w:lang w:val="en-US"/>
        </w:rPr>
        <w:t xml:space="preserve"> /</w:t>
      </w:r>
      <w:r w:rsidRPr="00453C46">
        <w:rPr>
          <w:lang w:val="en-US"/>
        </w:rPr>
        <w:t xml:space="preserve">/ </w:t>
      </w:r>
      <w:proofErr w:type="spellStart"/>
      <w:r>
        <w:rPr>
          <w:lang w:val="en-US"/>
        </w:rPr>
        <w:t>Bundesministerium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Umwelt, </w:t>
      </w:r>
      <w:proofErr w:type="spellStart"/>
      <w:r>
        <w:rPr>
          <w:lang w:val="en-US"/>
        </w:rPr>
        <w:t>Naturschutz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Reaktorsicherheit</w:t>
      </w:r>
      <w:proofErr w:type="spellEnd"/>
      <w:r>
        <w:rPr>
          <w:lang w:val="en-US"/>
        </w:rPr>
        <w:t xml:space="preserve">. </w:t>
      </w:r>
      <w:r>
        <w:t xml:space="preserve">28. </w:t>
      </w:r>
      <w:r>
        <w:rPr>
          <w:lang w:val="en-US"/>
        </w:rPr>
        <w:t>September</w:t>
      </w:r>
      <w:r w:rsidRPr="001409A0">
        <w:t xml:space="preserve"> 2010 </w:t>
      </w:r>
      <w:r>
        <w:t xml:space="preserve">– С .5 </w:t>
      </w:r>
    </w:p>
  </w:footnote>
  <w:footnote w:id="121">
    <w:p w14:paraId="32552110" w14:textId="2AE91174" w:rsidR="003B6A89" w:rsidRPr="00453C46" w:rsidRDefault="003B6A89">
      <w:pPr>
        <w:pStyle w:val="af3"/>
      </w:pPr>
      <w:r>
        <w:rPr>
          <w:rStyle w:val="af5"/>
        </w:rPr>
        <w:footnoteRef/>
      </w:r>
      <w:r>
        <w:t xml:space="preserve"> Седых, С.В. Новая энергетическая стратегия ФРГ / С.В. Седых // Вестник Финансового университета. – 2011 №1 (61) – С. 65</w:t>
      </w:r>
    </w:p>
  </w:footnote>
  <w:footnote w:id="122">
    <w:p w14:paraId="61A3CC10" w14:textId="600F4A71" w:rsidR="003B6A89" w:rsidRPr="001409A0" w:rsidRDefault="003B6A89" w:rsidP="001409A0">
      <w:pPr>
        <w:pStyle w:val="af3"/>
        <w:rPr>
          <w:lang w:val="en-US"/>
        </w:rPr>
      </w:pPr>
      <w:r>
        <w:rPr>
          <w:rStyle w:val="af5"/>
        </w:rPr>
        <w:footnoteRef/>
      </w:r>
      <w:r w:rsidRPr="001409A0">
        <w:rPr>
          <w:lang w:val="en-US"/>
        </w:rPr>
        <w:t xml:space="preserve"> Germany’s energy transition at a crossroads /</w:t>
      </w:r>
      <w:r>
        <w:rPr>
          <w:lang w:val="en-US"/>
        </w:rPr>
        <w:t xml:space="preserve"> McKinsey&amp;Company</w:t>
      </w:r>
      <w:r w:rsidRPr="001409A0">
        <w:rPr>
          <w:lang w:val="en-US"/>
        </w:rPr>
        <w:t xml:space="preserve">, 2019 </w:t>
      </w:r>
      <w:r>
        <w:rPr>
          <w:lang w:val="en-US"/>
        </w:rPr>
        <w:t>–</w:t>
      </w:r>
      <w:r w:rsidRPr="001409A0">
        <w:rPr>
          <w:lang w:val="en-US"/>
        </w:rPr>
        <w:t xml:space="preserve"> 8 </w:t>
      </w:r>
      <w:r>
        <w:t>Стр</w:t>
      </w:r>
      <w:r w:rsidRPr="001409A0">
        <w:rPr>
          <w:lang w:val="en-US"/>
        </w:rPr>
        <w:t>.</w:t>
      </w:r>
    </w:p>
  </w:footnote>
  <w:footnote w:id="123">
    <w:p w14:paraId="35EA7E14" w14:textId="1F10A787" w:rsidR="003B6A89" w:rsidRPr="00105F2F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r w:rsidRPr="00105F2F">
        <w:t>Эквивалент CO</w:t>
      </w:r>
      <w:r w:rsidRPr="00105F2F">
        <w:rPr>
          <w:vertAlign w:val="subscript"/>
        </w:rPr>
        <w:t>2</w:t>
      </w:r>
      <w:r w:rsidRPr="00105F2F">
        <w:t xml:space="preserve"> — потенциал глобального потепления</w:t>
      </w:r>
      <w:r>
        <w:t xml:space="preserve"> (ПГТ)</w:t>
      </w:r>
      <w:r w:rsidRPr="00105F2F">
        <w:t xml:space="preserve"> какого-либо парникового газа, количество которого приравнивается к количеству CO</w:t>
      </w:r>
      <w:r w:rsidRPr="00105F2F">
        <w:rPr>
          <w:vertAlign w:val="superscript"/>
        </w:rPr>
        <w:t>2</w:t>
      </w:r>
      <w:r w:rsidRPr="00105F2F">
        <w:t xml:space="preserve"> с тем же ПГП.</w:t>
      </w:r>
    </w:p>
  </w:footnote>
  <w:footnote w:id="124">
    <w:p w14:paraId="71011D15" w14:textId="1BE24F18" w:rsidR="003B6A89" w:rsidRPr="00C56A73" w:rsidRDefault="003B6A89">
      <w:pPr>
        <w:pStyle w:val="af3"/>
        <w:rPr>
          <w:lang w:val="en-US"/>
        </w:rPr>
      </w:pPr>
      <w:r>
        <w:rPr>
          <w:rStyle w:val="af5"/>
        </w:rPr>
        <w:footnoteRef/>
      </w:r>
      <w:r w:rsidRPr="00C56A73">
        <w:rPr>
          <w:lang w:val="en-US"/>
        </w:rPr>
        <w:t xml:space="preserve"> </w:t>
      </w:r>
      <w:r w:rsidRPr="001409A0">
        <w:rPr>
          <w:lang w:val="en-US"/>
        </w:rPr>
        <w:t>Germany’s energy transition at a crossroads /</w:t>
      </w:r>
      <w:r>
        <w:rPr>
          <w:lang w:val="en-US"/>
        </w:rPr>
        <w:t xml:space="preserve"> McKinsey&amp;Company</w:t>
      </w:r>
      <w:r w:rsidRPr="001409A0">
        <w:rPr>
          <w:lang w:val="en-US"/>
        </w:rPr>
        <w:t xml:space="preserve">, 2019 </w:t>
      </w:r>
      <w:r>
        <w:rPr>
          <w:lang w:val="en-US"/>
        </w:rPr>
        <w:t>–</w:t>
      </w:r>
      <w:r w:rsidRPr="001409A0">
        <w:rPr>
          <w:lang w:val="en-US"/>
        </w:rPr>
        <w:t xml:space="preserve"> </w:t>
      </w:r>
      <w:r>
        <w:t>С</w:t>
      </w:r>
      <w:r w:rsidRPr="00C56A73">
        <w:rPr>
          <w:lang w:val="en-US"/>
        </w:rPr>
        <w:t>. 2</w:t>
      </w:r>
    </w:p>
  </w:footnote>
  <w:footnote w:id="125">
    <w:p w14:paraId="6BEB23B6" w14:textId="21FA99A8" w:rsidR="003B6A89" w:rsidRDefault="003B6A89">
      <w:pPr>
        <w:pStyle w:val="af3"/>
      </w:pPr>
      <w:r>
        <w:rPr>
          <w:rStyle w:val="af5"/>
        </w:rPr>
        <w:footnoteRef/>
      </w:r>
      <w:r>
        <w:t xml:space="preserve"> Там же, с. 4</w:t>
      </w:r>
    </w:p>
  </w:footnote>
  <w:footnote w:id="126">
    <w:p w14:paraId="63A8C49E" w14:textId="6AB2D16B" w:rsidR="003B6A89" w:rsidRPr="00C56A73" w:rsidRDefault="003B6A89" w:rsidP="00C56A73">
      <w:pPr>
        <w:pStyle w:val="af3"/>
        <w:jc w:val="left"/>
      </w:pPr>
      <w:r>
        <w:rPr>
          <w:rStyle w:val="af5"/>
        </w:rPr>
        <w:footnoteRef/>
      </w:r>
      <w:r>
        <w:t xml:space="preserve"> </w:t>
      </w:r>
      <w:proofErr w:type="spellStart"/>
      <w:r>
        <w:t>Зарицкий</w:t>
      </w:r>
      <w:proofErr w:type="spellEnd"/>
      <w:r>
        <w:t xml:space="preserve">, Б. Е. </w:t>
      </w:r>
      <w:r w:rsidRPr="00C56A73">
        <w:t>Энергетические дилеммы ФРГ</w:t>
      </w:r>
      <w:r>
        <w:t xml:space="preserve"> / </w:t>
      </w:r>
      <w:proofErr w:type="spellStart"/>
      <w:r>
        <w:t>Зарицкий</w:t>
      </w:r>
      <w:proofErr w:type="spellEnd"/>
      <w:r>
        <w:t xml:space="preserve">, Б. Е. </w:t>
      </w:r>
      <w:r>
        <w:rPr>
          <w:lang w:val="en-US"/>
        </w:rPr>
        <w:t>URL</w:t>
      </w:r>
      <w:r w:rsidRPr="00C56A73">
        <w:t xml:space="preserve">: </w:t>
      </w:r>
      <w:hyperlink r:id="rId40" w:history="1">
        <w:r w:rsidRPr="00361005">
          <w:rPr>
            <w:rStyle w:val="a8"/>
          </w:rPr>
          <w:t>https://interaffairs.ru/jauthor/material/872</w:t>
        </w:r>
      </w:hyperlink>
      <w:r w:rsidRPr="00C56A73">
        <w:t xml:space="preserve"> (</w:t>
      </w:r>
      <w:r>
        <w:t>дата обращения 29.04.2020)</w:t>
      </w:r>
    </w:p>
  </w:footnote>
  <w:footnote w:id="127">
    <w:p w14:paraId="26D87CED" w14:textId="1060DE53" w:rsidR="003B6A89" w:rsidRPr="00831526" w:rsidRDefault="003B6A89" w:rsidP="00831526">
      <w:pPr>
        <w:pStyle w:val="af3"/>
      </w:pPr>
      <w:r>
        <w:rPr>
          <w:rStyle w:val="af5"/>
        </w:rPr>
        <w:footnoteRef/>
      </w:r>
      <w:r w:rsidRPr="0047368A">
        <w:t xml:space="preserve"> </w:t>
      </w:r>
      <w:r>
        <w:rPr>
          <w:lang w:val="en-US"/>
        </w:rPr>
        <w:t>The</w:t>
      </w:r>
      <w:r w:rsidRPr="0047368A">
        <w:t xml:space="preserve"> </w:t>
      </w:r>
      <w:r>
        <w:rPr>
          <w:lang w:val="en-US"/>
        </w:rPr>
        <w:t>European</w:t>
      </w:r>
      <w:r w:rsidRPr="0047368A">
        <w:t xml:space="preserve"> </w:t>
      </w:r>
      <w:r>
        <w:rPr>
          <w:lang w:val="en-US"/>
        </w:rPr>
        <w:t>Green</w:t>
      </w:r>
      <w:r w:rsidRPr="0047368A">
        <w:t xml:space="preserve"> </w:t>
      </w:r>
      <w:r>
        <w:rPr>
          <w:lang w:val="en-US"/>
        </w:rPr>
        <w:t>Deal</w:t>
      </w:r>
      <w:r w:rsidRPr="0047368A">
        <w:t xml:space="preserve"> // </w:t>
      </w:r>
      <w:r>
        <w:rPr>
          <w:lang w:val="en-US"/>
        </w:rPr>
        <w:t>European</w:t>
      </w:r>
      <w:r w:rsidRPr="0047368A">
        <w:t xml:space="preserve"> </w:t>
      </w:r>
      <w:r>
        <w:rPr>
          <w:lang w:val="en-US"/>
        </w:rPr>
        <w:t>Commission</w:t>
      </w:r>
      <w:r w:rsidRPr="0047368A">
        <w:t xml:space="preserve">, </w:t>
      </w:r>
      <w:r w:rsidRPr="0047368A">
        <w:rPr>
          <w:lang w:val="en-US"/>
        </w:rPr>
        <w:t>Brussels</w:t>
      </w:r>
      <w:r w:rsidRPr="0047368A">
        <w:t xml:space="preserve">, 11.12.2019; </w:t>
      </w:r>
      <w:r>
        <w:t>Бочкарев</w:t>
      </w:r>
      <w:r w:rsidRPr="0047368A">
        <w:t xml:space="preserve">, </w:t>
      </w:r>
      <w:r>
        <w:t>Д</w:t>
      </w:r>
      <w:r w:rsidRPr="0047368A">
        <w:t>. «Зеленый» шум: почему декарбонизация энергетики в ЕС будет непростой</w:t>
      </w:r>
      <w:r>
        <w:t xml:space="preserve"> / Д. Бочкарев. </w:t>
      </w:r>
      <w:r>
        <w:rPr>
          <w:lang w:val="en-US"/>
        </w:rPr>
        <w:t>URL</w:t>
      </w:r>
      <w:r w:rsidRPr="00831526">
        <w:t>:</w:t>
      </w:r>
      <w:r>
        <w:t xml:space="preserve"> </w:t>
      </w:r>
      <w:hyperlink r:id="rId41" w:history="1">
        <w:r w:rsidRPr="00361005">
          <w:rPr>
            <w:rStyle w:val="a8"/>
            <w:lang w:val="en-US"/>
          </w:rPr>
          <w:t>https</w:t>
        </w:r>
        <w:r w:rsidRPr="00361005">
          <w:rPr>
            <w:rStyle w:val="a8"/>
          </w:rPr>
          <w:t>://</w:t>
        </w:r>
        <w:r w:rsidRPr="00361005">
          <w:rPr>
            <w:rStyle w:val="a8"/>
            <w:lang w:val="en-US"/>
          </w:rPr>
          <w:t>www</w:t>
        </w:r>
        <w:r w:rsidRPr="00361005">
          <w:rPr>
            <w:rStyle w:val="a8"/>
          </w:rPr>
          <w:t>.</w:t>
        </w:r>
        <w:proofErr w:type="spellStart"/>
        <w:r w:rsidRPr="00361005">
          <w:rPr>
            <w:rStyle w:val="a8"/>
            <w:lang w:val="en-US"/>
          </w:rPr>
          <w:t>rbc</w:t>
        </w:r>
        <w:proofErr w:type="spellEnd"/>
        <w:r w:rsidRPr="00361005">
          <w:rPr>
            <w:rStyle w:val="a8"/>
          </w:rPr>
          <w:t>.</w:t>
        </w:r>
        <w:r w:rsidRPr="00361005">
          <w:rPr>
            <w:rStyle w:val="a8"/>
            <w:lang w:val="en-US"/>
          </w:rPr>
          <w:t>ru</w:t>
        </w:r>
        <w:r w:rsidRPr="00361005">
          <w:rPr>
            <w:rStyle w:val="a8"/>
          </w:rPr>
          <w:t>/</w:t>
        </w:r>
        <w:r w:rsidRPr="00361005">
          <w:rPr>
            <w:rStyle w:val="a8"/>
            <w:lang w:val="en-US"/>
          </w:rPr>
          <w:t>opinions</w:t>
        </w:r>
        <w:r w:rsidRPr="00361005">
          <w:rPr>
            <w:rStyle w:val="a8"/>
          </w:rPr>
          <w:t>/</w:t>
        </w:r>
        <w:r w:rsidRPr="00361005">
          <w:rPr>
            <w:rStyle w:val="a8"/>
            <w:lang w:val="en-US"/>
          </w:rPr>
          <w:t>economics</w:t>
        </w:r>
        <w:r w:rsidRPr="00361005">
          <w:rPr>
            <w:rStyle w:val="a8"/>
          </w:rPr>
          <w:t>/11/02/2020/5</w:t>
        </w:r>
        <w:r w:rsidRPr="00361005">
          <w:rPr>
            <w:rStyle w:val="a8"/>
            <w:lang w:val="en-US"/>
          </w:rPr>
          <w:t>e</w:t>
        </w:r>
        <w:r w:rsidRPr="00361005">
          <w:rPr>
            <w:rStyle w:val="a8"/>
          </w:rPr>
          <w:t>4128419</w:t>
        </w:r>
        <w:r w:rsidRPr="00361005">
          <w:rPr>
            <w:rStyle w:val="a8"/>
            <w:lang w:val="en-US"/>
          </w:rPr>
          <w:t>a</w:t>
        </w:r>
        <w:r w:rsidRPr="00361005">
          <w:rPr>
            <w:rStyle w:val="a8"/>
          </w:rPr>
          <w:t>794714565</w:t>
        </w:r>
        <w:r w:rsidRPr="00361005">
          <w:rPr>
            <w:rStyle w:val="a8"/>
            <w:lang w:val="en-US"/>
          </w:rPr>
          <w:t>f</w:t>
        </w:r>
        <w:r w:rsidRPr="00361005">
          <w:rPr>
            <w:rStyle w:val="a8"/>
          </w:rPr>
          <w:t>35</w:t>
        </w:r>
        <w:r w:rsidRPr="00361005">
          <w:rPr>
            <w:rStyle w:val="a8"/>
            <w:lang w:val="en-US"/>
          </w:rPr>
          <w:t>be</w:t>
        </w:r>
      </w:hyperlink>
      <w:r w:rsidRPr="00831526">
        <w:t xml:space="preserve"> (</w:t>
      </w:r>
      <w:r>
        <w:t>дата обращения: 29.04.2020)</w:t>
      </w:r>
    </w:p>
  </w:footnote>
  <w:footnote w:id="128">
    <w:p w14:paraId="633BFF73" w14:textId="4488CDB7" w:rsidR="003B6A89" w:rsidRDefault="003B6A89" w:rsidP="001219AC">
      <w:pPr>
        <w:pStyle w:val="af3"/>
      </w:pPr>
      <w:r>
        <w:rPr>
          <w:rStyle w:val="af5"/>
        </w:rPr>
        <w:footnoteRef/>
      </w:r>
      <w:r>
        <w:t xml:space="preserve"> Преобразование нашего мира: Повестка дня в области устойчивого развития на период до 2030 года // Резолюция, принятая Генеральной Ассамблеей 25 сентября 2015 года, пункты 15 и 116 повестки дня</w:t>
      </w:r>
    </w:p>
  </w:footnote>
  <w:footnote w:id="129">
    <w:p w14:paraId="62177004" w14:textId="5296AFCB" w:rsidR="003B6A89" w:rsidRPr="00D24DDF" w:rsidRDefault="003B6A89" w:rsidP="00C13672">
      <w:pPr>
        <w:pStyle w:val="af3"/>
        <w:rPr>
          <w:lang w:val="en-US"/>
        </w:rPr>
      </w:pPr>
      <w:r>
        <w:rPr>
          <w:rStyle w:val="af5"/>
        </w:rPr>
        <w:footnoteRef/>
      </w:r>
      <w:r w:rsidRPr="00197DBA">
        <w:rPr>
          <w:lang w:val="en-US"/>
        </w:rPr>
        <w:t xml:space="preserve"> A New Industrial Strategy for Europe // </w:t>
      </w:r>
      <w:r>
        <w:rPr>
          <w:lang w:val="en-US"/>
        </w:rPr>
        <w:t>European</w:t>
      </w:r>
      <w:r w:rsidRPr="00C13672">
        <w:rPr>
          <w:lang w:val="en-US"/>
        </w:rPr>
        <w:t xml:space="preserve"> </w:t>
      </w:r>
      <w:r>
        <w:rPr>
          <w:lang w:val="en-US"/>
        </w:rPr>
        <w:t>Commission</w:t>
      </w:r>
      <w:r w:rsidRPr="00C13672">
        <w:rPr>
          <w:lang w:val="en-US"/>
        </w:rPr>
        <w:t xml:space="preserve">, </w:t>
      </w:r>
      <w:r w:rsidRPr="0047368A">
        <w:rPr>
          <w:lang w:val="en-US"/>
        </w:rPr>
        <w:t>Brussels</w:t>
      </w:r>
      <w:r w:rsidRPr="00C13672">
        <w:rPr>
          <w:lang w:val="en-US"/>
        </w:rPr>
        <w:t>, 10.3.2020</w:t>
      </w:r>
      <w:r w:rsidRPr="00D24DDF">
        <w:rPr>
          <w:lang w:val="en-US"/>
        </w:rPr>
        <w:t xml:space="preserve"> </w:t>
      </w:r>
      <w:r>
        <w:rPr>
          <w:lang w:val="en-US"/>
        </w:rPr>
        <w:t>–</w:t>
      </w:r>
      <w:r w:rsidRPr="00D24DDF">
        <w:rPr>
          <w:lang w:val="en-US"/>
        </w:rPr>
        <w:t xml:space="preserve"> </w:t>
      </w:r>
      <w:r>
        <w:t>С</w:t>
      </w:r>
      <w:r w:rsidRPr="00D24DDF">
        <w:rPr>
          <w:lang w:val="en-US"/>
        </w:rPr>
        <w:t>. 7-8</w:t>
      </w:r>
    </w:p>
  </w:footnote>
  <w:footnote w:id="130">
    <w:p w14:paraId="42BF0C5B" w14:textId="45B56712" w:rsidR="003B6A89" w:rsidRPr="001B44E6" w:rsidRDefault="003B6A89">
      <w:pPr>
        <w:pStyle w:val="af3"/>
      </w:pPr>
      <w:r>
        <w:rPr>
          <w:rStyle w:val="af5"/>
        </w:rPr>
        <w:footnoteRef/>
      </w:r>
      <w:r>
        <w:t xml:space="preserve"> Агентство новостей ТАСС </w:t>
      </w:r>
      <w:r w:rsidRPr="001B44E6">
        <w:t>[</w:t>
      </w:r>
      <w:r>
        <w:t>Электронный ресурс</w:t>
      </w:r>
      <w:r w:rsidRPr="001B44E6">
        <w:t>]</w:t>
      </w:r>
      <w:r>
        <w:t xml:space="preserve">. Режим доступа: </w:t>
      </w:r>
      <w:hyperlink r:id="rId42" w:history="1">
        <w:r w:rsidRPr="00361005">
          <w:rPr>
            <w:rStyle w:val="a8"/>
          </w:rPr>
          <w:t>https://tass.ru/ekonomika/5788660</w:t>
        </w:r>
      </w:hyperlink>
      <w:r>
        <w:t xml:space="preserve"> (дата обращения: 28.04.2020)</w:t>
      </w:r>
    </w:p>
  </w:footnote>
  <w:footnote w:id="131">
    <w:p w14:paraId="4240FC0C" w14:textId="48464BAA" w:rsidR="003B6A89" w:rsidRPr="004B2609" w:rsidRDefault="003B6A89">
      <w:pPr>
        <w:pStyle w:val="af3"/>
      </w:pPr>
      <w:r>
        <w:rPr>
          <w:rStyle w:val="af5"/>
        </w:rPr>
        <w:footnoteRef/>
      </w:r>
      <w:r>
        <w:t xml:space="preserve"> Официальный сайт Федеральной таможенной службы РФ </w:t>
      </w:r>
      <w:r w:rsidRPr="004B2609">
        <w:t>[</w:t>
      </w:r>
      <w:r>
        <w:t>Электронный ресурс</w:t>
      </w:r>
      <w:r w:rsidRPr="004B2609">
        <w:t>]</w:t>
      </w:r>
      <w:r>
        <w:t xml:space="preserve">. Режим доступа: </w:t>
      </w:r>
      <w:hyperlink r:id="rId43" w:history="1">
        <w:r w:rsidRPr="00361005">
          <w:rPr>
            <w:rStyle w:val="a8"/>
          </w:rPr>
          <w:t>http://customs.ru/folder/511</w:t>
        </w:r>
      </w:hyperlink>
      <w:r>
        <w:t xml:space="preserve"> (дата обращения 30.04.2020)</w:t>
      </w:r>
    </w:p>
  </w:footnote>
  <w:footnote w:id="132">
    <w:p w14:paraId="21334E0F" w14:textId="37C32820" w:rsidR="003B6A89" w:rsidRPr="004B2609" w:rsidRDefault="003B6A89">
      <w:pPr>
        <w:pStyle w:val="af3"/>
      </w:pPr>
      <w:r>
        <w:rPr>
          <w:rStyle w:val="af5"/>
        </w:rPr>
        <w:footnoteRef/>
      </w:r>
      <w:r>
        <w:t xml:space="preserve"> Информационный портал «Внешняя торговля России» </w:t>
      </w:r>
      <w:r w:rsidRPr="004B2609">
        <w:t>[</w:t>
      </w:r>
      <w:r>
        <w:t>Электронный ресурс</w:t>
      </w:r>
      <w:r w:rsidRPr="004B2609">
        <w:t>]</w:t>
      </w:r>
      <w:r>
        <w:t xml:space="preserve">: Режим доступа: </w:t>
      </w:r>
      <w:hyperlink r:id="rId44" w:history="1">
        <w:r w:rsidRPr="00361005">
          <w:rPr>
            <w:rStyle w:val="a8"/>
          </w:rPr>
          <w:t>https://russian-trade.com/reports-and-reviews/2020-02/torgovlya-mezhdu-rossiey-i-kitaem-v-2019-g/</w:t>
        </w:r>
      </w:hyperlink>
      <w:r>
        <w:t xml:space="preserve"> (дата обращения 30.04.2020)</w:t>
      </w:r>
    </w:p>
  </w:footnote>
  <w:footnote w:id="133">
    <w:p w14:paraId="4BA2E58D" w14:textId="1D88ACD5" w:rsidR="003B6A89" w:rsidRPr="008B7D83" w:rsidRDefault="003B6A89">
      <w:pPr>
        <w:pStyle w:val="af3"/>
      </w:pPr>
      <w:r>
        <w:rPr>
          <w:rStyle w:val="af5"/>
        </w:rPr>
        <w:footnoteRef/>
      </w:r>
      <w:r>
        <w:t xml:space="preserve"> Сухой, В.В. </w:t>
      </w:r>
      <w:r w:rsidRPr="008B7D83">
        <w:t>Южный газовый коридор: США — за, Россия — не против</w:t>
      </w:r>
      <w:r>
        <w:t xml:space="preserve"> / Сухой, В.В. </w:t>
      </w:r>
      <w:r>
        <w:rPr>
          <w:lang w:val="en-US"/>
        </w:rPr>
        <w:t>URL</w:t>
      </w:r>
      <w:r w:rsidRPr="008B7D83">
        <w:t xml:space="preserve">: </w:t>
      </w:r>
      <w:hyperlink r:id="rId45" w:history="1">
        <w:r w:rsidRPr="00361005">
          <w:rPr>
            <w:rStyle w:val="a8"/>
          </w:rPr>
          <w:t>https://mgimo.ru/about/news/experts/yuzhnyy-gazovyy-koridor-usa-za-rossiya-ne-protiv/</w:t>
        </w:r>
      </w:hyperlink>
      <w:r w:rsidRPr="008B7D83">
        <w:t xml:space="preserve"> (</w:t>
      </w:r>
      <w:r>
        <w:t>дата обращения: 30.04.2020)</w:t>
      </w:r>
    </w:p>
  </w:footnote>
  <w:footnote w:id="134">
    <w:p w14:paraId="2CCCF6B9" w14:textId="6D51E01F" w:rsidR="003B6A89" w:rsidRPr="00C070F3" w:rsidRDefault="003B6A89">
      <w:pPr>
        <w:pStyle w:val="af3"/>
      </w:pPr>
      <w:r>
        <w:rPr>
          <w:rStyle w:val="af5"/>
        </w:rPr>
        <w:footnoteRef/>
      </w:r>
      <w:r>
        <w:t xml:space="preserve"> В данном случае, стоимость нефти соответствует прогноза международного валютного фонда за указанный период.</w:t>
      </w:r>
    </w:p>
  </w:footnote>
  <w:footnote w:id="135">
    <w:p w14:paraId="2E287E78" w14:textId="59F2D8CE" w:rsidR="003B6A89" w:rsidRDefault="003B6A89">
      <w:pPr>
        <w:pStyle w:val="af3"/>
      </w:pPr>
      <w:r>
        <w:rPr>
          <w:rStyle w:val="af5"/>
        </w:rPr>
        <w:footnoteRef/>
      </w:r>
      <w:r>
        <w:t xml:space="preserve"> </w:t>
      </w:r>
      <w:bookmarkStart w:id="46" w:name="_Hlk41503276"/>
      <w:r>
        <w:t xml:space="preserve">Германия и Россия в 2030 г. Сценарии для двухсторонних отношений // </w:t>
      </w:r>
      <w:r w:rsidRPr="008B7D83">
        <w:t xml:space="preserve">Фонд имени Фридриха </w:t>
      </w:r>
      <w:proofErr w:type="spellStart"/>
      <w:r w:rsidRPr="008B7D83">
        <w:t>Эберта</w:t>
      </w:r>
      <w:proofErr w:type="spellEnd"/>
      <w:r>
        <w:t>, 2013 – С. 25-27</w:t>
      </w:r>
      <w:bookmarkEnd w:id="46"/>
    </w:p>
  </w:footnote>
  <w:footnote w:id="136">
    <w:p w14:paraId="59643C06" w14:textId="0E6D6A47" w:rsidR="003B6A89" w:rsidRDefault="003B6A89">
      <w:pPr>
        <w:pStyle w:val="af3"/>
      </w:pPr>
      <w:r>
        <w:rPr>
          <w:rStyle w:val="af5"/>
        </w:rPr>
        <w:footnoteRef/>
      </w:r>
      <w:r>
        <w:t xml:space="preserve"> Германия и Россия в 2030 г. Сценарии для двухсторонних отношений // </w:t>
      </w:r>
      <w:r w:rsidRPr="008B7D83">
        <w:t xml:space="preserve">Фонд имени Фридриха </w:t>
      </w:r>
      <w:proofErr w:type="spellStart"/>
      <w:r w:rsidRPr="008B7D83">
        <w:t>Эберта</w:t>
      </w:r>
      <w:proofErr w:type="spellEnd"/>
      <w:r>
        <w:t>, 2013 – С. 21-24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0ED"/>
    <w:multiLevelType w:val="hybridMultilevel"/>
    <w:tmpl w:val="6202429C"/>
    <w:lvl w:ilvl="0" w:tplc="101A1034">
      <w:start w:val="6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3AE"/>
    <w:multiLevelType w:val="hybridMultilevel"/>
    <w:tmpl w:val="E4FE9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C7F1D"/>
    <w:multiLevelType w:val="hybridMultilevel"/>
    <w:tmpl w:val="CB7E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A14C4"/>
    <w:multiLevelType w:val="hybridMultilevel"/>
    <w:tmpl w:val="14FC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B4E8C"/>
    <w:multiLevelType w:val="hybridMultilevel"/>
    <w:tmpl w:val="8220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42EB"/>
    <w:multiLevelType w:val="multilevel"/>
    <w:tmpl w:val="41B40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1078DC"/>
    <w:multiLevelType w:val="hybridMultilevel"/>
    <w:tmpl w:val="4296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A1633"/>
    <w:multiLevelType w:val="hybridMultilevel"/>
    <w:tmpl w:val="4296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0363"/>
    <w:multiLevelType w:val="hybridMultilevel"/>
    <w:tmpl w:val="1F4C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0521"/>
    <w:multiLevelType w:val="hybridMultilevel"/>
    <w:tmpl w:val="ACD6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96A94"/>
    <w:multiLevelType w:val="multilevel"/>
    <w:tmpl w:val="AEA453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1A12659C"/>
    <w:multiLevelType w:val="multilevel"/>
    <w:tmpl w:val="F5D805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C31383"/>
    <w:multiLevelType w:val="multilevel"/>
    <w:tmpl w:val="C428B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20A13FB"/>
    <w:multiLevelType w:val="hybridMultilevel"/>
    <w:tmpl w:val="87263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2F1D71"/>
    <w:multiLevelType w:val="hybridMultilevel"/>
    <w:tmpl w:val="A292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3C6E"/>
    <w:multiLevelType w:val="hybridMultilevel"/>
    <w:tmpl w:val="27A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F60F7"/>
    <w:multiLevelType w:val="hybridMultilevel"/>
    <w:tmpl w:val="C4E037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A51C6"/>
    <w:multiLevelType w:val="hybridMultilevel"/>
    <w:tmpl w:val="5CA4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9694B"/>
    <w:multiLevelType w:val="hybridMultilevel"/>
    <w:tmpl w:val="EDA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1378A"/>
    <w:multiLevelType w:val="hybridMultilevel"/>
    <w:tmpl w:val="C70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D6605"/>
    <w:multiLevelType w:val="hybridMultilevel"/>
    <w:tmpl w:val="B43A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33DBF"/>
    <w:multiLevelType w:val="hybridMultilevel"/>
    <w:tmpl w:val="D54E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A3DA0"/>
    <w:multiLevelType w:val="hybridMultilevel"/>
    <w:tmpl w:val="BB5E9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FD7787"/>
    <w:multiLevelType w:val="hybridMultilevel"/>
    <w:tmpl w:val="93C45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794CBB"/>
    <w:multiLevelType w:val="hybridMultilevel"/>
    <w:tmpl w:val="F306A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05043"/>
    <w:multiLevelType w:val="multilevel"/>
    <w:tmpl w:val="B52C1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C5599E"/>
    <w:multiLevelType w:val="hybridMultilevel"/>
    <w:tmpl w:val="7FB8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068C5"/>
    <w:multiLevelType w:val="hybridMultilevel"/>
    <w:tmpl w:val="B55E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260E2"/>
    <w:multiLevelType w:val="hybridMultilevel"/>
    <w:tmpl w:val="B3B6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16787"/>
    <w:multiLevelType w:val="hybridMultilevel"/>
    <w:tmpl w:val="FD542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252DC"/>
    <w:multiLevelType w:val="multilevel"/>
    <w:tmpl w:val="F334B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0247FD"/>
    <w:multiLevelType w:val="hybridMultilevel"/>
    <w:tmpl w:val="FE50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47C75"/>
    <w:multiLevelType w:val="hybridMultilevel"/>
    <w:tmpl w:val="F480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64426"/>
    <w:multiLevelType w:val="hybridMultilevel"/>
    <w:tmpl w:val="1214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04E1A"/>
    <w:multiLevelType w:val="multilevel"/>
    <w:tmpl w:val="F5D805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6D77CB"/>
    <w:multiLevelType w:val="hybridMultilevel"/>
    <w:tmpl w:val="D6A65C00"/>
    <w:lvl w:ilvl="0" w:tplc="617E91BE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D56FF9"/>
    <w:multiLevelType w:val="hybridMultilevel"/>
    <w:tmpl w:val="6D222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2D090F"/>
    <w:multiLevelType w:val="hybridMultilevel"/>
    <w:tmpl w:val="4D54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5F25D8"/>
    <w:multiLevelType w:val="hybridMultilevel"/>
    <w:tmpl w:val="87649E1E"/>
    <w:lvl w:ilvl="0" w:tplc="E31EB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4376816"/>
    <w:multiLevelType w:val="hybridMultilevel"/>
    <w:tmpl w:val="159E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8613F"/>
    <w:multiLevelType w:val="hybridMultilevel"/>
    <w:tmpl w:val="C4E037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1048C"/>
    <w:multiLevelType w:val="hybridMultilevel"/>
    <w:tmpl w:val="2ACE7B4C"/>
    <w:lvl w:ilvl="0" w:tplc="E2820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5A3DB0"/>
    <w:multiLevelType w:val="hybridMultilevel"/>
    <w:tmpl w:val="5418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9"/>
  </w:num>
  <w:num w:numId="4">
    <w:abstractNumId w:val="28"/>
  </w:num>
  <w:num w:numId="5">
    <w:abstractNumId w:val="15"/>
  </w:num>
  <w:num w:numId="6">
    <w:abstractNumId w:val="10"/>
  </w:num>
  <w:num w:numId="7">
    <w:abstractNumId w:val="25"/>
  </w:num>
  <w:num w:numId="8">
    <w:abstractNumId w:val="31"/>
  </w:num>
  <w:num w:numId="9">
    <w:abstractNumId w:val="32"/>
  </w:num>
  <w:num w:numId="10">
    <w:abstractNumId w:val="37"/>
  </w:num>
  <w:num w:numId="11">
    <w:abstractNumId w:val="7"/>
  </w:num>
  <w:num w:numId="12">
    <w:abstractNumId w:val="19"/>
  </w:num>
  <w:num w:numId="13">
    <w:abstractNumId w:val="14"/>
  </w:num>
  <w:num w:numId="14">
    <w:abstractNumId w:val="3"/>
  </w:num>
  <w:num w:numId="15">
    <w:abstractNumId w:val="12"/>
  </w:num>
  <w:num w:numId="16">
    <w:abstractNumId w:val="21"/>
  </w:num>
  <w:num w:numId="17">
    <w:abstractNumId w:val="5"/>
  </w:num>
  <w:num w:numId="18">
    <w:abstractNumId w:val="9"/>
  </w:num>
  <w:num w:numId="19">
    <w:abstractNumId w:val="18"/>
  </w:num>
  <w:num w:numId="20">
    <w:abstractNumId w:val="42"/>
  </w:num>
  <w:num w:numId="21">
    <w:abstractNumId w:val="17"/>
  </w:num>
  <w:num w:numId="22">
    <w:abstractNumId w:val="24"/>
  </w:num>
  <w:num w:numId="23">
    <w:abstractNumId w:val="8"/>
  </w:num>
  <w:num w:numId="24">
    <w:abstractNumId w:val="36"/>
  </w:num>
  <w:num w:numId="25">
    <w:abstractNumId w:val="27"/>
  </w:num>
  <w:num w:numId="26">
    <w:abstractNumId w:val="41"/>
  </w:num>
  <w:num w:numId="27">
    <w:abstractNumId w:val="38"/>
  </w:num>
  <w:num w:numId="28">
    <w:abstractNumId w:val="20"/>
  </w:num>
  <w:num w:numId="29">
    <w:abstractNumId w:val="33"/>
  </w:num>
  <w:num w:numId="30">
    <w:abstractNumId w:val="26"/>
  </w:num>
  <w:num w:numId="31">
    <w:abstractNumId w:val="2"/>
  </w:num>
  <w:num w:numId="32">
    <w:abstractNumId w:val="22"/>
  </w:num>
  <w:num w:numId="33">
    <w:abstractNumId w:val="30"/>
  </w:num>
  <w:num w:numId="34">
    <w:abstractNumId w:val="34"/>
  </w:num>
  <w:num w:numId="35">
    <w:abstractNumId w:val="1"/>
  </w:num>
  <w:num w:numId="36">
    <w:abstractNumId w:val="11"/>
  </w:num>
  <w:num w:numId="37">
    <w:abstractNumId w:val="40"/>
  </w:num>
  <w:num w:numId="38">
    <w:abstractNumId w:val="23"/>
  </w:num>
  <w:num w:numId="39">
    <w:abstractNumId w:val="35"/>
  </w:num>
  <w:num w:numId="40">
    <w:abstractNumId w:val="16"/>
  </w:num>
  <w:num w:numId="41">
    <w:abstractNumId w:val="13"/>
  </w:num>
  <w:num w:numId="42">
    <w:abstractNumId w:val="29"/>
  </w:num>
  <w:num w:numId="4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ksana Grigoreva">
    <w15:presenceInfo w15:providerId="Windows Live" w15:userId="0b3c6c29f49f40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E7"/>
    <w:rsid w:val="00000FEE"/>
    <w:rsid w:val="000018DB"/>
    <w:rsid w:val="00002166"/>
    <w:rsid w:val="00003819"/>
    <w:rsid w:val="00004B3B"/>
    <w:rsid w:val="00005629"/>
    <w:rsid w:val="00005EE0"/>
    <w:rsid w:val="0000715A"/>
    <w:rsid w:val="0000794A"/>
    <w:rsid w:val="00007BD0"/>
    <w:rsid w:val="00007DD6"/>
    <w:rsid w:val="00013213"/>
    <w:rsid w:val="000145FB"/>
    <w:rsid w:val="000150CC"/>
    <w:rsid w:val="00015A01"/>
    <w:rsid w:val="00015B12"/>
    <w:rsid w:val="000175B4"/>
    <w:rsid w:val="00017BC6"/>
    <w:rsid w:val="000252E0"/>
    <w:rsid w:val="00025CAB"/>
    <w:rsid w:val="000277A8"/>
    <w:rsid w:val="00030CF4"/>
    <w:rsid w:val="00031489"/>
    <w:rsid w:val="00032DE6"/>
    <w:rsid w:val="00036980"/>
    <w:rsid w:val="00036F61"/>
    <w:rsid w:val="000379A9"/>
    <w:rsid w:val="00037D9B"/>
    <w:rsid w:val="00042AA2"/>
    <w:rsid w:val="00043180"/>
    <w:rsid w:val="00043D73"/>
    <w:rsid w:val="0004406D"/>
    <w:rsid w:val="00044C0D"/>
    <w:rsid w:val="00046482"/>
    <w:rsid w:val="000473D3"/>
    <w:rsid w:val="00047745"/>
    <w:rsid w:val="000509E7"/>
    <w:rsid w:val="00052EDA"/>
    <w:rsid w:val="00057545"/>
    <w:rsid w:val="00057572"/>
    <w:rsid w:val="00057F20"/>
    <w:rsid w:val="00060270"/>
    <w:rsid w:val="00060324"/>
    <w:rsid w:val="00060A9C"/>
    <w:rsid w:val="0006270B"/>
    <w:rsid w:val="00063A47"/>
    <w:rsid w:val="00066295"/>
    <w:rsid w:val="00070773"/>
    <w:rsid w:val="00070B53"/>
    <w:rsid w:val="000714A6"/>
    <w:rsid w:val="00071E1E"/>
    <w:rsid w:val="000735DB"/>
    <w:rsid w:val="00075693"/>
    <w:rsid w:val="00080FFA"/>
    <w:rsid w:val="0008397B"/>
    <w:rsid w:val="00085486"/>
    <w:rsid w:val="0008674C"/>
    <w:rsid w:val="00086898"/>
    <w:rsid w:val="00087DBB"/>
    <w:rsid w:val="00090EEA"/>
    <w:rsid w:val="0009151F"/>
    <w:rsid w:val="000927D2"/>
    <w:rsid w:val="00093B66"/>
    <w:rsid w:val="00093E2F"/>
    <w:rsid w:val="0009552A"/>
    <w:rsid w:val="000A19CB"/>
    <w:rsid w:val="000A2FAA"/>
    <w:rsid w:val="000A7AE1"/>
    <w:rsid w:val="000B10DA"/>
    <w:rsid w:val="000B2323"/>
    <w:rsid w:val="000B26DA"/>
    <w:rsid w:val="000B3005"/>
    <w:rsid w:val="000B3318"/>
    <w:rsid w:val="000B35A1"/>
    <w:rsid w:val="000B3BF7"/>
    <w:rsid w:val="000B553D"/>
    <w:rsid w:val="000B55E1"/>
    <w:rsid w:val="000C024C"/>
    <w:rsid w:val="000C41A3"/>
    <w:rsid w:val="000C69B0"/>
    <w:rsid w:val="000D3173"/>
    <w:rsid w:val="000D4E37"/>
    <w:rsid w:val="000D503A"/>
    <w:rsid w:val="000E1EA4"/>
    <w:rsid w:val="000E1FC9"/>
    <w:rsid w:val="000E21B9"/>
    <w:rsid w:val="000E2FE1"/>
    <w:rsid w:val="000E3CD2"/>
    <w:rsid w:val="000F181E"/>
    <w:rsid w:val="000F4047"/>
    <w:rsid w:val="000F5233"/>
    <w:rsid w:val="000F5F2B"/>
    <w:rsid w:val="000F6247"/>
    <w:rsid w:val="000F6F99"/>
    <w:rsid w:val="00100210"/>
    <w:rsid w:val="00100B69"/>
    <w:rsid w:val="001014EC"/>
    <w:rsid w:val="00101758"/>
    <w:rsid w:val="00102F0F"/>
    <w:rsid w:val="0010582D"/>
    <w:rsid w:val="00105F2F"/>
    <w:rsid w:val="00107F0A"/>
    <w:rsid w:val="00111642"/>
    <w:rsid w:val="00112C84"/>
    <w:rsid w:val="00113252"/>
    <w:rsid w:val="00115152"/>
    <w:rsid w:val="00115FEF"/>
    <w:rsid w:val="00116151"/>
    <w:rsid w:val="001205A9"/>
    <w:rsid w:val="001219AC"/>
    <w:rsid w:val="00121D3E"/>
    <w:rsid w:val="00121D6B"/>
    <w:rsid w:val="00124BD4"/>
    <w:rsid w:val="00126122"/>
    <w:rsid w:val="0012649E"/>
    <w:rsid w:val="00126EE4"/>
    <w:rsid w:val="00130C13"/>
    <w:rsid w:val="00133E32"/>
    <w:rsid w:val="00134267"/>
    <w:rsid w:val="00137182"/>
    <w:rsid w:val="001409A0"/>
    <w:rsid w:val="00142BE7"/>
    <w:rsid w:val="00143B9E"/>
    <w:rsid w:val="00143D8F"/>
    <w:rsid w:val="00144B91"/>
    <w:rsid w:val="00145A26"/>
    <w:rsid w:val="00146A71"/>
    <w:rsid w:val="0015176F"/>
    <w:rsid w:val="00151FAD"/>
    <w:rsid w:val="00153162"/>
    <w:rsid w:val="0015670D"/>
    <w:rsid w:val="00162A84"/>
    <w:rsid w:val="0016657D"/>
    <w:rsid w:val="00166DB2"/>
    <w:rsid w:val="0016756A"/>
    <w:rsid w:val="001712E7"/>
    <w:rsid w:val="001717E0"/>
    <w:rsid w:val="00174C58"/>
    <w:rsid w:val="0018085C"/>
    <w:rsid w:val="00186022"/>
    <w:rsid w:val="001870B7"/>
    <w:rsid w:val="00190E9F"/>
    <w:rsid w:val="00192471"/>
    <w:rsid w:val="00192624"/>
    <w:rsid w:val="001936FB"/>
    <w:rsid w:val="00197DBA"/>
    <w:rsid w:val="001A0273"/>
    <w:rsid w:val="001A0834"/>
    <w:rsid w:val="001A0956"/>
    <w:rsid w:val="001B0433"/>
    <w:rsid w:val="001B0761"/>
    <w:rsid w:val="001B2BCD"/>
    <w:rsid w:val="001B44E6"/>
    <w:rsid w:val="001B44FE"/>
    <w:rsid w:val="001B5200"/>
    <w:rsid w:val="001B6D7A"/>
    <w:rsid w:val="001B7137"/>
    <w:rsid w:val="001B7F1C"/>
    <w:rsid w:val="001C0D35"/>
    <w:rsid w:val="001C4633"/>
    <w:rsid w:val="001C4818"/>
    <w:rsid w:val="001C4C30"/>
    <w:rsid w:val="001C5DB6"/>
    <w:rsid w:val="001D07CB"/>
    <w:rsid w:val="001D31CA"/>
    <w:rsid w:val="001D35A5"/>
    <w:rsid w:val="001D4ED1"/>
    <w:rsid w:val="001D6489"/>
    <w:rsid w:val="001E056B"/>
    <w:rsid w:val="001E0698"/>
    <w:rsid w:val="001E4640"/>
    <w:rsid w:val="001E7636"/>
    <w:rsid w:val="001F0EDE"/>
    <w:rsid w:val="001F3509"/>
    <w:rsid w:val="001F603B"/>
    <w:rsid w:val="00202E97"/>
    <w:rsid w:val="0020499D"/>
    <w:rsid w:val="002106C1"/>
    <w:rsid w:val="00210837"/>
    <w:rsid w:val="00213C4D"/>
    <w:rsid w:val="00217663"/>
    <w:rsid w:val="0022360F"/>
    <w:rsid w:val="002238E3"/>
    <w:rsid w:val="002239D4"/>
    <w:rsid w:val="00225C59"/>
    <w:rsid w:val="00225F53"/>
    <w:rsid w:val="0023015E"/>
    <w:rsid w:val="0023142E"/>
    <w:rsid w:val="002314E7"/>
    <w:rsid w:val="00232357"/>
    <w:rsid w:val="00232924"/>
    <w:rsid w:val="0023529D"/>
    <w:rsid w:val="00236452"/>
    <w:rsid w:val="002376D0"/>
    <w:rsid w:val="00240084"/>
    <w:rsid w:val="00241AA1"/>
    <w:rsid w:val="00242295"/>
    <w:rsid w:val="00243574"/>
    <w:rsid w:val="00246BC5"/>
    <w:rsid w:val="002470C6"/>
    <w:rsid w:val="00250D24"/>
    <w:rsid w:val="00250FD1"/>
    <w:rsid w:val="002510E1"/>
    <w:rsid w:val="00251983"/>
    <w:rsid w:val="00256033"/>
    <w:rsid w:val="0025665F"/>
    <w:rsid w:val="002573B1"/>
    <w:rsid w:val="00257F42"/>
    <w:rsid w:val="00261FC3"/>
    <w:rsid w:val="0026285B"/>
    <w:rsid w:val="002630F5"/>
    <w:rsid w:val="0026319B"/>
    <w:rsid w:val="002632BB"/>
    <w:rsid w:val="002643C2"/>
    <w:rsid w:val="002644BE"/>
    <w:rsid w:val="00266463"/>
    <w:rsid w:val="0026670E"/>
    <w:rsid w:val="00267099"/>
    <w:rsid w:val="002735DF"/>
    <w:rsid w:val="0027374D"/>
    <w:rsid w:val="00273A71"/>
    <w:rsid w:val="002751B2"/>
    <w:rsid w:val="00280D3B"/>
    <w:rsid w:val="00284339"/>
    <w:rsid w:val="002865F5"/>
    <w:rsid w:val="00290917"/>
    <w:rsid w:val="00291502"/>
    <w:rsid w:val="0029166B"/>
    <w:rsid w:val="00291873"/>
    <w:rsid w:val="002A24C8"/>
    <w:rsid w:val="002A289A"/>
    <w:rsid w:val="002A2FD9"/>
    <w:rsid w:val="002A50C3"/>
    <w:rsid w:val="002A5962"/>
    <w:rsid w:val="002B1510"/>
    <w:rsid w:val="002B15E3"/>
    <w:rsid w:val="002B16CB"/>
    <w:rsid w:val="002B2A0F"/>
    <w:rsid w:val="002B37C4"/>
    <w:rsid w:val="002B39AB"/>
    <w:rsid w:val="002B6AA6"/>
    <w:rsid w:val="002B7337"/>
    <w:rsid w:val="002B7E2F"/>
    <w:rsid w:val="002C25AA"/>
    <w:rsid w:val="002C284E"/>
    <w:rsid w:val="002C69E2"/>
    <w:rsid w:val="002C6C11"/>
    <w:rsid w:val="002C7D20"/>
    <w:rsid w:val="002D1318"/>
    <w:rsid w:val="002D3E40"/>
    <w:rsid w:val="002D4844"/>
    <w:rsid w:val="002D5816"/>
    <w:rsid w:val="002D6B96"/>
    <w:rsid w:val="002D78FE"/>
    <w:rsid w:val="002E0D3D"/>
    <w:rsid w:val="002E1A4A"/>
    <w:rsid w:val="002E23F5"/>
    <w:rsid w:val="002E359F"/>
    <w:rsid w:val="002E4A7D"/>
    <w:rsid w:val="002E4BBA"/>
    <w:rsid w:val="002E526F"/>
    <w:rsid w:val="002E6FF2"/>
    <w:rsid w:val="002E70DA"/>
    <w:rsid w:val="002E7D92"/>
    <w:rsid w:val="002F0D75"/>
    <w:rsid w:val="002F17B4"/>
    <w:rsid w:val="002F3DCB"/>
    <w:rsid w:val="002F452C"/>
    <w:rsid w:val="002F5E7F"/>
    <w:rsid w:val="002F6257"/>
    <w:rsid w:val="003032E1"/>
    <w:rsid w:val="00304EED"/>
    <w:rsid w:val="00305FB9"/>
    <w:rsid w:val="003119D2"/>
    <w:rsid w:val="00312586"/>
    <w:rsid w:val="003151FE"/>
    <w:rsid w:val="00320570"/>
    <w:rsid w:val="0032079A"/>
    <w:rsid w:val="00321EB3"/>
    <w:rsid w:val="0032661C"/>
    <w:rsid w:val="003274F1"/>
    <w:rsid w:val="00327D31"/>
    <w:rsid w:val="00330441"/>
    <w:rsid w:val="00330E7F"/>
    <w:rsid w:val="00331A5E"/>
    <w:rsid w:val="00332FB5"/>
    <w:rsid w:val="00335D6B"/>
    <w:rsid w:val="003435AE"/>
    <w:rsid w:val="00344C9F"/>
    <w:rsid w:val="003501C9"/>
    <w:rsid w:val="0035278B"/>
    <w:rsid w:val="00352C7B"/>
    <w:rsid w:val="00352E0D"/>
    <w:rsid w:val="00353844"/>
    <w:rsid w:val="00353865"/>
    <w:rsid w:val="00356694"/>
    <w:rsid w:val="00357BC7"/>
    <w:rsid w:val="00360994"/>
    <w:rsid w:val="003627BD"/>
    <w:rsid w:val="0036615D"/>
    <w:rsid w:val="00366A0E"/>
    <w:rsid w:val="00373900"/>
    <w:rsid w:val="00377D82"/>
    <w:rsid w:val="003805C4"/>
    <w:rsid w:val="00380E8F"/>
    <w:rsid w:val="0038117C"/>
    <w:rsid w:val="00381AB6"/>
    <w:rsid w:val="00384BC9"/>
    <w:rsid w:val="00385701"/>
    <w:rsid w:val="00385AB7"/>
    <w:rsid w:val="0038697C"/>
    <w:rsid w:val="003908A5"/>
    <w:rsid w:val="00394B0E"/>
    <w:rsid w:val="00394B3C"/>
    <w:rsid w:val="00395BAF"/>
    <w:rsid w:val="003A00DD"/>
    <w:rsid w:val="003A0321"/>
    <w:rsid w:val="003A2E7A"/>
    <w:rsid w:val="003A33B6"/>
    <w:rsid w:val="003A40F6"/>
    <w:rsid w:val="003A5571"/>
    <w:rsid w:val="003A5AD7"/>
    <w:rsid w:val="003A6310"/>
    <w:rsid w:val="003A64F1"/>
    <w:rsid w:val="003A6D5D"/>
    <w:rsid w:val="003A6DD6"/>
    <w:rsid w:val="003B3A81"/>
    <w:rsid w:val="003B4885"/>
    <w:rsid w:val="003B5D5B"/>
    <w:rsid w:val="003B66FB"/>
    <w:rsid w:val="003B6A89"/>
    <w:rsid w:val="003C01E2"/>
    <w:rsid w:val="003C0DCC"/>
    <w:rsid w:val="003C1004"/>
    <w:rsid w:val="003C57E6"/>
    <w:rsid w:val="003C7771"/>
    <w:rsid w:val="003D673C"/>
    <w:rsid w:val="003D6DD4"/>
    <w:rsid w:val="003D7AB2"/>
    <w:rsid w:val="003E0534"/>
    <w:rsid w:val="003E33B5"/>
    <w:rsid w:val="003F15F3"/>
    <w:rsid w:val="003F4751"/>
    <w:rsid w:val="003F5234"/>
    <w:rsid w:val="00400FD7"/>
    <w:rsid w:val="00400FEA"/>
    <w:rsid w:val="00402FC8"/>
    <w:rsid w:val="00403316"/>
    <w:rsid w:val="004038E5"/>
    <w:rsid w:val="00406E21"/>
    <w:rsid w:val="0040705D"/>
    <w:rsid w:val="004127D1"/>
    <w:rsid w:val="00413B32"/>
    <w:rsid w:val="00424431"/>
    <w:rsid w:val="004244BA"/>
    <w:rsid w:val="00426EB3"/>
    <w:rsid w:val="00427C96"/>
    <w:rsid w:val="0043073D"/>
    <w:rsid w:val="004329FC"/>
    <w:rsid w:val="00433B53"/>
    <w:rsid w:val="00434279"/>
    <w:rsid w:val="004352C7"/>
    <w:rsid w:val="00436FF6"/>
    <w:rsid w:val="004375F0"/>
    <w:rsid w:val="00437B4B"/>
    <w:rsid w:val="00440078"/>
    <w:rsid w:val="00440D65"/>
    <w:rsid w:val="00441068"/>
    <w:rsid w:val="00441CB0"/>
    <w:rsid w:val="00442FD6"/>
    <w:rsid w:val="0044424A"/>
    <w:rsid w:val="004443BA"/>
    <w:rsid w:val="004443BB"/>
    <w:rsid w:val="00446E9D"/>
    <w:rsid w:val="00450859"/>
    <w:rsid w:val="004513E4"/>
    <w:rsid w:val="0045218D"/>
    <w:rsid w:val="00453C46"/>
    <w:rsid w:val="0045600B"/>
    <w:rsid w:val="004563A9"/>
    <w:rsid w:val="00456FA2"/>
    <w:rsid w:val="00460565"/>
    <w:rsid w:val="00460852"/>
    <w:rsid w:val="00461CC2"/>
    <w:rsid w:val="00461F68"/>
    <w:rsid w:val="0046237D"/>
    <w:rsid w:val="00463F37"/>
    <w:rsid w:val="004647DA"/>
    <w:rsid w:val="004654B2"/>
    <w:rsid w:val="0047131B"/>
    <w:rsid w:val="0047368A"/>
    <w:rsid w:val="00473FFB"/>
    <w:rsid w:val="00477B3B"/>
    <w:rsid w:val="004817CF"/>
    <w:rsid w:val="004854DD"/>
    <w:rsid w:val="004864D7"/>
    <w:rsid w:val="00491567"/>
    <w:rsid w:val="0049177C"/>
    <w:rsid w:val="00491CBD"/>
    <w:rsid w:val="00492113"/>
    <w:rsid w:val="00495DE4"/>
    <w:rsid w:val="004965B9"/>
    <w:rsid w:val="004A08E2"/>
    <w:rsid w:val="004A2CD3"/>
    <w:rsid w:val="004A4EBC"/>
    <w:rsid w:val="004A6FFA"/>
    <w:rsid w:val="004A771C"/>
    <w:rsid w:val="004A7A19"/>
    <w:rsid w:val="004B2609"/>
    <w:rsid w:val="004B2C6D"/>
    <w:rsid w:val="004B3E57"/>
    <w:rsid w:val="004B46B4"/>
    <w:rsid w:val="004B5844"/>
    <w:rsid w:val="004B65B0"/>
    <w:rsid w:val="004B74C7"/>
    <w:rsid w:val="004B751E"/>
    <w:rsid w:val="004C498F"/>
    <w:rsid w:val="004C5E60"/>
    <w:rsid w:val="004C6A08"/>
    <w:rsid w:val="004C7299"/>
    <w:rsid w:val="004D17A5"/>
    <w:rsid w:val="004D3F3E"/>
    <w:rsid w:val="004D3F93"/>
    <w:rsid w:val="004D703D"/>
    <w:rsid w:val="004D7247"/>
    <w:rsid w:val="004D7318"/>
    <w:rsid w:val="004D7AED"/>
    <w:rsid w:val="004E0DEB"/>
    <w:rsid w:val="004E16A9"/>
    <w:rsid w:val="004E2AC6"/>
    <w:rsid w:val="004E30FA"/>
    <w:rsid w:val="004E345F"/>
    <w:rsid w:val="004E3B65"/>
    <w:rsid w:val="004E4E0C"/>
    <w:rsid w:val="004E538A"/>
    <w:rsid w:val="004E78C6"/>
    <w:rsid w:val="004F0861"/>
    <w:rsid w:val="004F0D96"/>
    <w:rsid w:val="004F252C"/>
    <w:rsid w:val="004F2D23"/>
    <w:rsid w:val="004F4213"/>
    <w:rsid w:val="004F42A5"/>
    <w:rsid w:val="004F4A03"/>
    <w:rsid w:val="004F529B"/>
    <w:rsid w:val="004F6124"/>
    <w:rsid w:val="004F63CD"/>
    <w:rsid w:val="00502BB1"/>
    <w:rsid w:val="0050524E"/>
    <w:rsid w:val="00505F3B"/>
    <w:rsid w:val="00507402"/>
    <w:rsid w:val="00512B14"/>
    <w:rsid w:val="005159DB"/>
    <w:rsid w:val="005166C1"/>
    <w:rsid w:val="00517B51"/>
    <w:rsid w:val="0052157E"/>
    <w:rsid w:val="0052245D"/>
    <w:rsid w:val="00522D67"/>
    <w:rsid w:val="00522F16"/>
    <w:rsid w:val="00523A68"/>
    <w:rsid w:val="0052749C"/>
    <w:rsid w:val="0053023A"/>
    <w:rsid w:val="00530321"/>
    <w:rsid w:val="00533DF3"/>
    <w:rsid w:val="005346D6"/>
    <w:rsid w:val="005355F4"/>
    <w:rsid w:val="00536FDB"/>
    <w:rsid w:val="0053715B"/>
    <w:rsid w:val="00541B86"/>
    <w:rsid w:val="00542DC4"/>
    <w:rsid w:val="00546DFB"/>
    <w:rsid w:val="005475E5"/>
    <w:rsid w:val="00550190"/>
    <w:rsid w:val="0055302F"/>
    <w:rsid w:val="00561910"/>
    <w:rsid w:val="005623D5"/>
    <w:rsid w:val="005626A8"/>
    <w:rsid w:val="00562BE9"/>
    <w:rsid w:val="00571274"/>
    <w:rsid w:val="00571491"/>
    <w:rsid w:val="00573FB0"/>
    <w:rsid w:val="00574BF0"/>
    <w:rsid w:val="00575988"/>
    <w:rsid w:val="00575FF1"/>
    <w:rsid w:val="005760AB"/>
    <w:rsid w:val="0057750A"/>
    <w:rsid w:val="005800B6"/>
    <w:rsid w:val="005817CC"/>
    <w:rsid w:val="00582214"/>
    <w:rsid w:val="0059245B"/>
    <w:rsid w:val="00592D8D"/>
    <w:rsid w:val="00595E7E"/>
    <w:rsid w:val="00597047"/>
    <w:rsid w:val="005A0002"/>
    <w:rsid w:val="005A1ABC"/>
    <w:rsid w:val="005A1F45"/>
    <w:rsid w:val="005A22B5"/>
    <w:rsid w:val="005A53AF"/>
    <w:rsid w:val="005A560B"/>
    <w:rsid w:val="005A6D06"/>
    <w:rsid w:val="005A77C5"/>
    <w:rsid w:val="005B1448"/>
    <w:rsid w:val="005B1822"/>
    <w:rsid w:val="005B26B6"/>
    <w:rsid w:val="005B3465"/>
    <w:rsid w:val="005B4C86"/>
    <w:rsid w:val="005B50F8"/>
    <w:rsid w:val="005B6E8F"/>
    <w:rsid w:val="005B7AA7"/>
    <w:rsid w:val="005B7F4A"/>
    <w:rsid w:val="005C3AAA"/>
    <w:rsid w:val="005C453A"/>
    <w:rsid w:val="005C507F"/>
    <w:rsid w:val="005C6D7B"/>
    <w:rsid w:val="005C7570"/>
    <w:rsid w:val="005D013A"/>
    <w:rsid w:val="005D0DB2"/>
    <w:rsid w:val="005D2514"/>
    <w:rsid w:val="005D25A9"/>
    <w:rsid w:val="005D289B"/>
    <w:rsid w:val="005D3D66"/>
    <w:rsid w:val="005D426C"/>
    <w:rsid w:val="005D6496"/>
    <w:rsid w:val="005E2F2C"/>
    <w:rsid w:val="005E33E7"/>
    <w:rsid w:val="005E3AEA"/>
    <w:rsid w:val="005E4EC3"/>
    <w:rsid w:val="005E5334"/>
    <w:rsid w:val="005F20BD"/>
    <w:rsid w:val="005F2C81"/>
    <w:rsid w:val="005F3A6C"/>
    <w:rsid w:val="005F3B06"/>
    <w:rsid w:val="005F56F0"/>
    <w:rsid w:val="005F6FD1"/>
    <w:rsid w:val="005F7A12"/>
    <w:rsid w:val="005F7B60"/>
    <w:rsid w:val="00601404"/>
    <w:rsid w:val="00601877"/>
    <w:rsid w:val="00603658"/>
    <w:rsid w:val="00604EBC"/>
    <w:rsid w:val="00612A79"/>
    <w:rsid w:val="00613D2E"/>
    <w:rsid w:val="00615AB4"/>
    <w:rsid w:val="00615C0D"/>
    <w:rsid w:val="00615F56"/>
    <w:rsid w:val="00616FFE"/>
    <w:rsid w:val="00617313"/>
    <w:rsid w:val="00620BEA"/>
    <w:rsid w:val="006216F3"/>
    <w:rsid w:val="00621E56"/>
    <w:rsid w:val="006226D0"/>
    <w:rsid w:val="00624017"/>
    <w:rsid w:val="00626BEA"/>
    <w:rsid w:val="00626F77"/>
    <w:rsid w:val="0063085F"/>
    <w:rsid w:val="006310C9"/>
    <w:rsid w:val="00631E59"/>
    <w:rsid w:val="00633B76"/>
    <w:rsid w:val="00634C53"/>
    <w:rsid w:val="00635C69"/>
    <w:rsid w:val="0064045B"/>
    <w:rsid w:val="00644459"/>
    <w:rsid w:val="00644A19"/>
    <w:rsid w:val="00650F3D"/>
    <w:rsid w:val="00652892"/>
    <w:rsid w:val="00653767"/>
    <w:rsid w:val="006554B9"/>
    <w:rsid w:val="00655743"/>
    <w:rsid w:val="0066052D"/>
    <w:rsid w:val="00660C7F"/>
    <w:rsid w:val="00661046"/>
    <w:rsid w:val="006625B5"/>
    <w:rsid w:val="00662EC8"/>
    <w:rsid w:val="006637ED"/>
    <w:rsid w:val="006645B6"/>
    <w:rsid w:val="00664BF6"/>
    <w:rsid w:val="00664F22"/>
    <w:rsid w:val="00671032"/>
    <w:rsid w:val="006727A8"/>
    <w:rsid w:val="00677D23"/>
    <w:rsid w:val="00677D49"/>
    <w:rsid w:val="006815DB"/>
    <w:rsid w:val="006827C2"/>
    <w:rsid w:val="00687ACF"/>
    <w:rsid w:val="0069089C"/>
    <w:rsid w:val="00691F6E"/>
    <w:rsid w:val="0069265F"/>
    <w:rsid w:val="0069403A"/>
    <w:rsid w:val="00697048"/>
    <w:rsid w:val="006A31C9"/>
    <w:rsid w:val="006A396B"/>
    <w:rsid w:val="006A5EF4"/>
    <w:rsid w:val="006A6501"/>
    <w:rsid w:val="006A67F3"/>
    <w:rsid w:val="006A7434"/>
    <w:rsid w:val="006B1175"/>
    <w:rsid w:val="006B1727"/>
    <w:rsid w:val="006B448D"/>
    <w:rsid w:val="006B4673"/>
    <w:rsid w:val="006B4CE6"/>
    <w:rsid w:val="006C4308"/>
    <w:rsid w:val="006C4E8C"/>
    <w:rsid w:val="006C705A"/>
    <w:rsid w:val="006D0BDD"/>
    <w:rsid w:val="006D155D"/>
    <w:rsid w:val="006D22B6"/>
    <w:rsid w:val="006D2A0B"/>
    <w:rsid w:val="006D6668"/>
    <w:rsid w:val="006D7430"/>
    <w:rsid w:val="006E4297"/>
    <w:rsid w:val="006F09F3"/>
    <w:rsid w:val="006F1536"/>
    <w:rsid w:val="006F257B"/>
    <w:rsid w:val="006F5E9B"/>
    <w:rsid w:val="006F67E3"/>
    <w:rsid w:val="006F689B"/>
    <w:rsid w:val="006F6AB4"/>
    <w:rsid w:val="006F7559"/>
    <w:rsid w:val="0070640A"/>
    <w:rsid w:val="0070691D"/>
    <w:rsid w:val="00707037"/>
    <w:rsid w:val="0070738F"/>
    <w:rsid w:val="00707844"/>
    <w:rsid w:val="0070794C"/>
    <w:rsid w:val="00710742"/>
    <w:rsid w:val="007132FE"/>
    <w:rsid w:val="007140FC"/>
    <w:rsid w:val="00715B2A"/>
    <w:rsid w:val="00725627"/>
    <w:rsid w:val="00725C84"/>
    <w:rsid w:val="00726EC4"/>
    <w:rsid w:val="007272F7"/>
    <w:rsid w:val="00732BBD"/>
    <w:rsid w:val="0073340C"/>
    <w:rsid w:val="00735603"/>
    <w:rsid w:val="00736BA7"/>
    <w:rsid w:val="00736BCE"/>
    <w:rsid w:val="00737593"/>
    <w:rsid w:val="00745F6F"/>
    <w:rsid w:val="00746BC8"/>
    <w:rsid w:val="0074764F"/>
    <w:rsid w:val="00750800"/>
    <w:rsid w:val="0075192F"/>
    <w:rsid w:val="0075243E"/>
    <w:rsid w:val="007547B5"/>
    <w:rsid w:val="00755D3E"/>
    <w:rsid w:val="00757132"/>
    <w:rsid w:val="007573B0"/>
    <w:rsid w:val="007644C0"/>
    <w:rsid w:val="007711E5"/>
    <w:rsid w:val="007740A5"/>
    <w:rsid w:val="00775F7F"/>
    <w:rsid w:val="007818B8"/>
    <w:rsid w:val="00782F09"/>
    <w:rsid w:val="00783302"/>
    <w:rsid w:val="00784573"/>
    <w:rsid w:val="007867E0"/>
    <w:rsid w:val="00790498"/>
    <w:rsid w:val="00795C28"/>
    <w:rsid w:val="00795DD1"/>
    <w:rsid w:val="00797D35"/>
    <w:rsid w:val="007A0C73"/>
    <w:rsid w:val="007A27CC"/>
    <w:rsid w:val="007A2A05"/>
    <w:rsid w:val="007A2EE3"/>
    <w:rsid w:val="007A2F61"/>
    <w:rsid w:val="007A37E1"/>
    <w:rsid w:val="007B0B11"/>
    <w:rsid w:val="007B0F75"/>
    <w:rsid w:val="007B1FA8"/>
    <w:rsid w:val="007B41E8"/>
    <w:rsid w:val="007B43A1"/>
    <w:rsid w:val="007B442A"/>
    <w:rsid w:val="007B6C30"/>
    <w:rsid w:val="007B7427"/>
    <w:rsid w:val="007B7837"/>
    <w:rsid w:val="007B7ED1"/>
    <w:rsid w:val="007C3A16"/>
    <w:rsid w:val="007C5053"/>
    <w:rsid w:val="007C559A"/>
    <w:rsid w:val="007D025D"/>
    <w:rsid w:val="007D5630"/>
    <w:rsid w:val="007D637B"/>
    <w:rsid w:val="007E0122"/>
    <w:rsid w:val="007E4330"/>
    <w:rsid w:val="007E7106"/>
    <w:rsid w:val="007E7247"/>
    <w:rsid w:val="007F0333"/>
    <w:rsid w:val="007F22E3"/>
    <w:rsid w:val="007F3663"/>
    <w:rsid w:val="007F3839"/>
    <w:rsid w:val="007F3E6C"/>
    <w:rsid w:val="007F4766"/>
    <w:rsid w:val="007F582A"/>
    <w:rsid w:val="008001A1"/>
    <w:rsid w:val="008020E0"/>
    <w:rsid w:val="00803ACA"/>
    <w:rsid w:val="00803FC7"/>
    <w:rsid w:val="008060CF"/>
    <w:rsid w:val="00806A34"/>
    <w:rsid w:val="00807119"/>
    <w:rsid w:val="00814182"/>
    <w:rsid w:val="0081485F"/>
    <w:rsid w:val="00814EC9"/>
    <w:rsid w:val="00815C57"/>
    <w:rsid w:val="00816410"/>
    <w:rsid w:val="0082240F"/>
    <w:rsid w:val="008228DA"/>
    <w:rsid w:val="00823F48"/>
    <w:rsid w:val="00824F1D"/>
    <w:rsid w:val="00825DC1"/>
    <w:rsid w:val="00826B62"/>
    <w:rsid w:val="00831526"/>
    <w:rsid w:val="00834091"/>
    <w:rsid w:val="008413B7"/>
    <w:rsid w:val="0084146A"/>
    <w:rsid w:val="008421C2"/>
    <w:rsid w:val="00842594"/>
    <w:rsid w:val="00843564"/>
    <w:rsid w:val="00844E2A"/>
    <w:rsid w:val="008515E7"/>
    <w:rsid w:val="00852D7B"/>
    <w:rsid w:val="00855BF6"/>
    <w:rsid w:val="0085746C"/>
    <w:rsid w:val="00860037"/>
    <w:rsid w:val="00866C41"/>
    <w:rsid w:val="00867511"/>
    <w:rsid w:val="0086756F"/>
    <w:rsid w:val="008745FB"/>
    <w:rsid w:val="008746CF"/>
    <w:rsid w:val="00875F4D"/>
    <w:rsid w:val="008811E9"/>
    <w:rsid w:val="008835F6"/>
    <w:rsid w:val="008917D2"/>
    <w:rsid w:val="0089188E"/>
    <w:rsid w:val="00892F89"/>
    <w:rsid w:val="008953D3"/>
    <w:rsid w:val="008A13EB"/>
    <w:rsid w:val="008A55C4"/>
    <w:rsid w:val="008A6547"/>
    <w:rsid w:val="008A6A36"/>
    <w:rsid w:val="008A7CA4"/>
    <w:rsid w:val="008B3759"/>
    <w:rsid w:val="008B5B19"/>
    <w:rsid w:val="008B65E1"/>
    <w:rsid w:val="008B6917"/>
    <w:rsid w:val="008B762C"/>
    <w:rsid w:val="008B7D83"/>
    <w:rsid w:val="008C296E"/>
    <w:rsid w:val="008C2F6E"/>
    <w:rsid w:val="008C553C"/>
    <w:rsid w:val="008C586E"/>
    <w:rsid w:val="008C5912"/>
    <w:rsid w:val="008C77B1"/>
    <w:rsid w:val="008D35D2"/>
    <w:rsid w:val="008D3D43"/>
    <w:rsid w:val="008D43D2"/>
    <w:rsid w:val="008D453C"/>
    <w:rsid w:val="008E0FC3"/>
    <w:rsid w:val="008E1601"/>
    <w:rsid w:val="008E1652"/>
    <w:rsid w:val="008E1653"/>
    <w:rsid w:val="008E2EC2"/>
    <w:rsid w:val="008E528B"/>
    <w:rsid w:val="008E565C"/>
    <w:rsid w:val="008F0591"/>
    <w:rsid w:val="008F17D4"/>
    <w:rsid w:val="008F23F8"/>
    <w:rsid w:val="008F3725"/>
    <w:rsid w:val="008F587F"/>
    <w:rsid w:val="008F6181"/>
    <w:rsid w:val="008F694F"/>
    <w:rsid w:val="0090304C"/>
    <w:rsid w:val="0090327B"/>
    <w:rsid w:val="00904482"/>
    <w:rsid w:val="00905D86"/>
    <w:rsid w:val="00911030"/>
    <w:rsid w:val="00912699"/>
    <w:rsid w:val="0091753C"/>
    <w:rsid w:val="00917DEB"/>
    <w:rsid w:val="00920E26"/>
    <w:rsid w:val="00921F90"/>
    <w:rsid w:val="00923241"/>
    <w:rsid w:val="00925F34"/>
    <w:rsid w:val="00927B3B"/>
    <w:rsid w:val="009328CE"/>
    <w:rsid w:val="00933C1F"/>
    <w:rsid w:val="009343AC"/>
    <w:rsid w:val="00936BDE"/>
    <w:rsid w:val="0093791A"/>
    <w:rsid w:val="00937A67"/>
    <w:rsid w:val="0094203F"/>
    <w:rsid w:val="0094295C"/>
    <w:rsid w:val="00943551"/>
    <w:rsid w:val="00944823"/>
    <w:rsid w:val="009455A3"/>
    <w:rsid w:val="00947E50"/>
    <w:rsid w:val="00950C35"/>
    <w:rsid w:val="00956EDD"/>
    <w:rsid w:val="00957B9A"/>
    <w:rsid w:val="009618E5"/>
    <w:rsid w:val="00961B7C"/>
    <w:rsid w:val="00964A80"/>
    <w:rsid w:val="009652DE"/>
    <w:rsid w:val="00966632"/>
    <w:rsid w:val="00971DF3"/>
    <w:rsid w:val="00977014"/>
    <w:rsid w:val="00980A79"/>
    <w:rsid w:val="0098166D"/>
    <w:rsid w:val="009816F9"/>
    <w:rsid w:val="009850F6"/>
    <w:rsid w:val="00990FC3"/>
    <w:rsid w:val="009914F3"/>
    <w:rsid w:val="009928A8"/>
    <w:rsid w:val="00996E33"/>
    <w:rsid w:val="009A03BA"/>
    <w:rsid w:val="009A0711"/>
    <w:rsid w:val="009A280B"/>
    <w:rsid w:val="009B24D7"/>
    <w:rsid w:val="009B3040"/>
    <w:rsid w:val="009B6A40"/>
    <w:rsid w:val="009B7D7D"/>
    <w:rsid w:val="009C4862"/>
    <w:rsid w:val="009C4939"/>
    <w:rsid w:val="009C4A4B"/>
    <w:rsid w:val="009C6507"/>
    <w:rsid w:val="009C79C0"/>
    <w:rsid w:val="009D2D45"/>
    <w:rsid w:val="009D4D47"/>
    <w:rsid w:val="009E0CE5"/>
    <w:rsid w:val="009E19BD"/>
    <w:rsid w:val="009E3C18"/>
    <w:rsid w:val="009E46C7"/>
    <w:rsid w:val="009E6C19"/>
    <w:rsid w:val="009E72DB"/>
    <w:rsid w:val="009F0477"/>
    <w:rsid w:val="009F2C2E"/>
    <w:rsid w:val="009F57A9"/>
    <w:rsid w:val="009F713B"/>
    <w:rsid w:val="009F7ED2"/>
    <w:rsid w:val="00A00C55"/>
    <w:rsid w:val="00A01447"/>
    <w:rsid w:val="00A021BA"/>
    <w:rsid w:val="00A032D0"/>
    <w:rsid w:val="00A0587E"/>
    <w:rsid w:val="00A06959"/>
    <w:rsid w:val="00A06E54"/>
    <w:rsid w:val="00A131CC"/>
    <w:rsid w:val="00A17F41"/>
    <w:rsid w:val="00A17F6C"/>
    <w:rsid w:val="00A229EC"/>
    <w:rsid w:val="00A2342A"/>
    <w:rsid w:val="00A236FE"/>
    <w:rsid w:val="00A23840"/>
    <w:rsid w:val="00A24F82"/>
    <w:rsid w:val="00A27102"/>
    <w:rsid w:val="00A27AD2"/>
    <w:rsid w:val="00A30F72"/>
    <w:rsid w:val="00A31C0E"/>
    <w:rsid w:val="00A32681"/>
    <w:rsid w:val="00A34175"/>
    <w:rsid w:val="00A34B21"/>
    <w:rsid w:val="00A3557C"/>
    <w:rsid w:val="00A369EE"/>
    <w:rsid w:val="00A40B3A"/>
    <w:rsid w:val="00A4367E"/>
    <w:rsid w:val="00A47A15"/>
    <w:rsid w:val="00A504CC"/>
    <w:rsid w:val="00A50C6C"/>
    <w:rsid w:val="00A51B75"/>
    <w:rsid w:val="00A5491E"/>
    <w:rsid w:val="00A54B4E"/>
    <w:rsid w:val="00A557F6"/>
    <w:rsid w:val="00A601C6"/>
    <w:rsid w:val="00A613F5"/>
    <w:rsid w:val="00A6252B"/>
    <w:rsid w:val="00A6381F"/>
    <w:rsid w:val="00A643B8"/>
    <w:rsid w:val="00A64DD0"/>
    <w:rsid w:val="00A6500F"/>
    <w:rsid w:val="00A6628F"/>
    <w:rsid w:val="00A701F1"/>
    <w:rsid w:val="00A7037B"/>
    <w:rsid w:val="00A7148F"/>
    <w:rsid w:val="00A71B80"/>
    <w:rsid w:val="00A72035"/>
    <w:rsid w:val="00A72EA3"/>
    <w:rsid w:val="00A74430"/>
    <w:rsid w:val="00A75EA8"/>
    <w:rsid w:val="00A771C2"/>
    <w:rsid w:val="00A7765B"/>
    <w:rsid w:val="00A807B0"/>
    <w:rsid w:val="00A83117"/>
    <w:rsid w:val="00A84B60"/>
    <w:rsid w:val="00A857BD"/>
    <w:rsid w:val="00A85BD8"/>
    <w:rsid w:val="00A86456"/>
    <w:rsid w:val="00A86932"/>
    <w:rsid w:val="00A870C1"/>
    <w:rsid w:val="00A877E9"/>
    <w:rsid w:val="00A944CE"/>
    <w:rsid w:val="00A9543A"/>
    <w:rsid w:val="00A96FEF"/>
    <w:rsid w:val="00AA018B"/>
    <w:rsid w:val="00AA0251"/>
    <w:rsid w:val="00AA1CF9"/>
    <w:rsid w:val="00AA2BCE"/>
    <w:rsid w:val="00AA5292"/>
    <w:rsid w:val="00AA770A"/>
    <w:rsid w:val="00AB11E5"/>
    <w:rsid w:val="00AB3D2A"/>
    <w:rsid w:val="00AB45FE"/>
    <w:rsid w:val="00AB4BE5"/>
    <w:rsid w:val="00AB5547"/>
    <w:rsid w:val="00AC416E"/>
    <w:rsid w:val="00AC42B3"/>
    <w:rsid w:val="00AC4AA4"/>
    <w:rsid w:val="00AC4BE4"/>
    <w:rsid w:val="00AC681B"/>
    <w:rsid w:val="00AC7369"/>
    <w:rsid w:val="00AD0718"/>
    <w:rsid w:val="00AD1FC5"/>
    <w:rsid w:val="00AD2493"/>
    <w:rsid w:val="00AD296B"/>
    <w:rsid w:val="00AD54D6"/>
    <w:rsid w:val="00AD5D22"/>
    <w:rsid w:val="00AD64A2"/>
    <w:rsid w:val="00AD688F"/>
    <w:rsid w:val="00AE029C"/>
    <w:rsid w:val="00AE19ED"/>
    <w:rsid w:val="00AE28FF"/>
    <w:rsid w:val="00AE349B"/>
    <w:rsid w:val="00AE3A96"/>
    <w:rsid w:val="00AE3B7B"/>
    <w:rsid w:val="00AE56ED"/>
    <w:rsid w:val="00AE746D"/>
    <w:rsid w:val="00AF0DA1"/>
    <w:rsid w:val="00AF3762"/>
    <w:rsid w:val="00AF3F42"/>
    <w:rsid w:val="00AF5F27"/>
    <w:rsid w:val="00AF6A8C"/>
    <w:rsid w:val="00AF6BA3"/>
    <w:rsid w:val="00B010AF"/>
    <w:rsid w:val="00B04711"/>
    <w:rsid w:val="00B04729"/>
    <w:rsid w:val="00B10EC9"/>
    <w:rsid w:val="00B1112C"/>
    <w:rsid w:val="00B117E1"/>
    <w:rsid w:val="00B1633A"/>
    <w:rsid w:val="00B17EFB"/>
    <w:rsid w:val="00B20725"/>
    <w:rsid w:val="00B254F2"/>
    <w:rsid w:val="00B2639D"/>
    <w:rsid w:val="00B265C1"/>
    <w:rsid w:val="00B26A4A"/>
    <w:rsid w:val="00B31DA6"/>
    <w:rsid w:val="00B342E6"/>
    <w:rsid w:val="00B34F76"/>
    <w:rsid w:val="00B35185"/>
    <w:rsid w:val="00B35BF0"/>
    <w:rsid w:val="00B37C2C"/>
    <w:rsid w:val="00B37CC2"/>
    <w:rsid w:val="00B40749"/>
    <w:rsid w:val="00B407AC"/>
    <w:rsid w:val="00B424DF"/>
    <w:rsid w:val="00B43805"/>
    <w:rsid w:val="00B442D1"/>
    <w:rsid w:val="00B44396"/>
    <w:rsid w:val="00B44897"/>
    <w:rsid w:val="00B44989"/>
    <w:rsid w:val="00B44D02"/>
    <w:rsid w:val="00B4509B"/>
    <w:rsid w:val="00B4517B"/>
    <w:rsid w:val="00B45B5E"/>
    <w:rsid w:val="00B52D57"/>
    <w:rsid w:val="00B536FF"/>
    <w:rsid w:val="00B538B6"/>
    <w:rsid w:val="00B53EE3"/>
    <w:rsid w:val="00B5419A"/>
    <w:rsid w:val="00B54D93"/>
    <w:rsid w:val="00B62A35"/>
    <w:rsid w:val="00B639BA"/>
    <w:rsid w:val="00B65BDF"/>
    <w:rsid w:val="00B66AD5"/>
    <w:rsid w:val="00B71552"/>
    <w:rsid w:val="00B73DD7"/>
    <w:rsid w:val="00B7482A"/>
    <w:rsid w:val="00B803F0"/>
    <w:rsid w:val="00B81049"/>
    <w:rsid w:val="00B81797"/>
    <w:rsid w:val="00B83A70"/>
    <w:rsid w:val="00B8426A"/>
    <w:rsid w:val="00B84A74"/>
    <w:rsid w:val="00B853B7"/>
    <w:rsid w:val="00B86091"/>
    <w:rsid w:val="00B86436"/>
    <w:rsid w:val="00B865FE"/>
    <w:rsid w:val="00B86BF6"/>
    <w:rsid w:val="00B90F70"/>
    <w:rsid w:val="00B92B58"/>
    <w:rsid w:val="00B93BC4"/>
    <w:rsid w:val="00B94F31"/>
    <w:rsid w:val="00B953C3"/>
    <w:rsid w:val="00BA00BA"/>
    <w:rsid w:val="00BA503C"/>
    <w:rsid w:val="00BA651E"/>
    <w:rsid w:val="00BA68F3"/>
    <w:rsid w:val="00BB3CE8"/>
    <w:rsid w:val="00BB56F0"/>
    <w:rsid w:val="00BB60CF"/>
    <w:rsid w:val="00BB7BD6"/>
    <w:rsid w:val="00BC0CDD"/>
    <w:rsid w:val="00BC0F00"/>
    <w:rsid w:val="00BC1A22"/>
    <w:rsid w:val="00BC20AD"/>
    <w:rsid w:val="00BC4E89"/>
    <w:rsid w:val="00BC6AC8"/>
    <w:rsid w:val="00BD0808"/>
    <w:rsid w:val="00BD3FA3"/>
    <w:rsid w:val="00BD448B"/>
    <w:rsid w:val="00BD4B97"/>
    <w:rsid w:val="00BE0907"/>
    <w:rsid w:val="00BE3189"/>
    <w:rsid w:val="00BE3305"/>
    <w:rsid w:val="00BE3520"/>
    <w:rsid w:val="00BE3739"/>
    <w:rsid w:val="00BE3E6B"/>
    <w:rsid w:val="00BE4D1C"/>
    <w:rsid w:val="00BF02CA"/>
    <w:rsid w:val="00BF03D0"/>
    <w:rsid w:val="00BF05D4"/>
    <w:rsid w:val="00BF19D1"/>
    <w:rsid w:val="00BF1B23"/>
    <w:rsid w:val="00BF2F50"/>
    <w:rsid w:val="00BF3A3A"/>
    <w:rsid w:val="00BF3DDE"/>
    <w:rsid w:val="00BF4633"/>
    <w:rsid w:val="00BF4D4A"/>
    <w:rsid w:val="00BF65F8"/>
    <w:rsid w:val="00C0170C"/>
    <w:rsid w:val="00C04F46"/>
    <w:rsid w:val="00C05B91"/>
    <w:rsid w:val="00C06818"/>
    <w:rsid w:val="00C070F3"/>
    <w:rsid w:val="00C07B3C"/>
    <w:rsid w:val="00C100B0"/>
    <w:rsid w:val="00C12502"/>
    <w:rsid w:val="00C1364C"/>
    <w:rsid w:val="00C13672"/>
    <w:rsid w:val="00C1599E"/>
    <w:rsid w:val="00C17869"/>
    <w:rsid w:val="00C17C08"/>
    <w:rsid w:val="00C2079C"/>
    <w:rsid w:val="00C22AC4"/>
    <w:rsid w:val="00C22CAF"/>
    <w:rsid w:val="00C234AC"/>
    <w:rsid w:val="00C240DF"/>
    <w:rsid w:val="00C246E8"/>
    <w:rsid w:val="00C3108B"/>
    <w:rsid w:val="00C31AC1"/>
    <w:rsid w:val="00C31B22"/>
    <w:rsid w:val="00C32974"/>
    <w:rsid w:val="00C37A8D"/>
    <w:rsid w:val="00C37BCD"/>
    <w:rsid w:val="00C400DE"/>
    <w:rsid w:val="00C40458"/>
    <w:rsid w:val="00C420EE"/>
    <w:rsid w:val="00C446B8"/>
    <w:rsid w:val="00C511A4"/>
    <w:rsid w:val="00C52B27"/>
    <w:rsid w:val="00C52BB5"/>
    <w:rsid w:val="00C53625"/>
    <w:rsid w:val="00C5666E"/>
    <w:rsid w:val="00C56A73"/>
    <w:rsid w:val="00C61690"/>
    <w:rsid w:val="00C626D3"/>
    <w:rsid w:val="00C6272A"/>
    <w:rsid w:val="00C67D78"/>
    <w:rsid w:val="00C70FBE"/>
    <w:rsid w:val="00C7232F"/>
    <w:rsid w:val="00C73B91"/>
    <w:rsid w:val="00C75B83"/>
    <w:rsid w:val="00C80D74"/>
    <w:rsid w:val="00C8118E"/>
    <w:rsid w:val="00C813EB"/>
    <w:rsid w:val="00C8285D"/>
    <w:rsid w:val="00C82E86"/>
    <w:rsid w:val="00C84939"/>
    <w:rsid w:val="00C8578C"/>
    <w:rsid w:val="00C86A7F"/>
    <w:rsid w:val="00C87311"/>
    <w:rsid w:val="00C9131F"/>
    <w:rsid w:val="00C92B1C"/>
    <w:rsid w:val="00C92C86"/>
    <w:rsid w:val="00C965BE"/>
    <w:rsid w:val="00C96AB8"/>
    <w:rsid w:val="00CA04CF"/>
    <w:rsid w:val="00CA2E9F"/>
    <w:rsid w:val="00CA3757"/>
    <w:rsid w:val="00CA3885"/>
    <w:rsid w:val="00CA3F86"/>
    <w:rsid w:val="00CA425C"/>
    <w:rsid w:val="00CA6406"/>
    <w:rsid w:val="00CB0EE2"/>
    <w:rsid w:val="00CB2A49"/>
    <w:rsid w:val="00CB31D4"/>
    <w:rsid w:val="00CB3477"/>
    <w:rsid w:val="00CB49C8"/>
    <w:rsid w:val="00CB7FEB"/>
    <w:rsid w:val="00CC147F"/>
    <w:rsid w:val="00CC6432"/>
    <w:rsid w:val="00CC7428"/>
    <w:rsid w:val="00CD0F2B"/>
    <w:rsid w:val="00CD2483"/>
    <w:rsid w:val="00CD2D4B"/>
    <w:rsid w:val="00CD3005"/>
    <w:rsid w:val="00CD3B8A"/>
    <w:rsid w:val="00CD4604"/>
    <w:rsid w:val="00CD7333"/>
    <w:rsid w:val="00CD7612"/>
    <w:rsid w:val="00CD7911"/>
    <w:rsid w:val="00CE187F"/>
    <w:rsid w:val="00CF335D"/>
    <w:rsid w:val="00CF45C4"/>
    <w:rsid w:val="00CF712E"/>
    <w:rsid w:val="00D02ADC"/>
    <w:rsid w:val="00D03039"/>
    <w:rsid w:val="00D057B6"/>
    <w:rsid w:val="00D0690E"/>
    <w:rsid w:val="00D12415"/>
    <w:rsid w:val="00D12A04"/>
    <w:rsid w:val="00D12EA1"/>
    <w:rsid w:val="00D14AD8"/>
    <w:rsid w:val="00D16B4C"/>
    <w:rsid w:val="00D16DC0"/>
    <w:rsid w:val="00D16EE7"/>
    <w:rsid w:val="00D17AF4"/>
    <w:rsid w:val="00D17E19"/>
    <w:rsid w:val="00D20E78"/>
    <w:rsid w:val="00D23EE8"/>
    <w:rsid w:val="00D249F8"/>
    <w:rsid w:val="00D24BE0"/>
    <w:rsid w:val="00D24DDF"/>
    <w:rsid w:val="00D25923"/>
    <w:rsid w:val="00D272CD"/>
    <w:rsid w:val="00D27A61"/>
    <w:rsid w:val="00D3040A"/>
    <w:rsid w:val="00D32024"/>
    <w:rsid w:val="00D33E56"/>
    <w:rsid w:val="00D35ED1"/>
    <w:rsid w:val="00D37F34"/>
    <w:rsid w:val="00D4101A"/>
    <w:rsid w:val="00D44E29"/>
    <w:rsid w:val="00D450CA"/>
    <w:rsid w:val="00D455AE"/>
    <w:rsid w:val="00D45B2B"/>
    <w:rsid w:val="00D470FD"/>
    <w:rsid w:val="00D510E4"/>
    <w:rsid w:val="00D519B2"/>
    <w:rsid w:val="00D52ED3"/>
    <w:rsid w:val="00D535B4"/>
    <w:rsid w:val="00D55E7E"/>
    <w:rsid w:val="00D56F95"/>
    <w:rsid w:val="00D57A12"/>
    <w:rsid w:val="00D57F8E"/>
    <w:rsid w:val="00D6014F"/>
    <w:rsid w:val="00D647B7"/>
    <w:rsid w:val="00D65018"/>
    <w:rsid w:val="00D652E8"/>
    <w:rsid w:val="00D6644B"/>
    <w:rsid w:val="00D67AF1"/>
    <w:rsid w:val="00D7150F"/>
    <w:rsid w:val="00D72C7E"/>
    <w:rsid w:val="00D753A0"/>
    <w:rsid w:val="00D77F9B"/>
    <w:rsid w:val="00D80E61"/>
    <w:rsid w:val="00D81C7A"/>
    <w:rsid w:val="00D8306F"/>
    <w:rsid w:val="00D85F3A"/>
    <w:rsid w:val="00D8676A"/>
    <w:rsid w:val="00D90DE3"/>
    <w:rsid w:val="00D91627"/>
    <w:rsid w:val="00D925CC"/>
    <w:rsid w:val="00D92DE4"/>
    <w:rsid w:val="00D944FB"/>
    <w:rsid w:val="00D948B7"/>
    <w:rsid w:val="00DA07CC"/>
    <w:rsid w:val="00DA2619"/>
    <w:rsid w:val="00DA2E9D"/>
    <w:rsid w:val="00DA3F06"/>
    <w:rsid w:val="00DA44B4"/>
    <w:rsid w:val="00DA45D9"/>
    <w:rsid w:val="00DA4B66"/>
    <w:rsid w:val="00DA4E1F"/>
    <w:rsid w:val="00DA53F2"/>
    <w:rsid w:val="00DA57E7"/>
    <w:rsid w:val="00DA660D"/>
    <w:rsid w:val="00DA69D9"/>
    <w:rsid w:val="00DA7558"/>
    <w:rsid w:val="00DB06FF"/>
    <w:rsid w:val="00DB1627"/>
    <w:rsid w:val="00DB1D3A"/>
    <w:rsid w:val="00DB26FA"/>
    <w:rsid w:val="00DB355F"/>
    <w:rsid w:val="00DB3890"/>
    <w:rsid w:val="00DB503F"/>
    <w:rsid w:val="00DB616B"/>
    <w:rsid w:val="00DB64B6"/>
    <w:rsid w:val="00DB6539"/>
    <w:rsid w:val="00DB6C75"/>
    <w:rsid w:val="00DC0FF5"/>
    <w:rsid w:val="00DC2176"/>
    <w:rsid w:val="00DC24B8"/>
    <w:rsid w:val="00DC2999"/>
    <w:rsid w:val="00DC3BE1"/>
    <w:rsid w:val="00DC3CC7"/>
    <w:rsid w:val="00DC449A"/>
    <w:rsid w:val="00DD3691"/>
    <w:rsid w:val="00DD663C"/>
    <w:rsid w:val="00DE17B2"/>
    <w:rsid w:val="00DE753E"/>
    <w:rsid w:val="00DF2CA1"/>
    <w:rsid w:val="00DF4A6E"/>
    <w:rsid w:val="00DF4AC8"/>
    <w:rsid w:val="00DF7195"/>
    <w:rsid w:val="00E0009A"/>
    <w:rsid w:val="00E00365"/>
    <w:rsid w:val="00E006D6"/>
    <w:rsid w:val="00E01259"/>
    <w:rsid w:val="00E01E8D"/>
    <w:rsid w:val="00E02E2B"/>
    <w:rsid w:val="00E03945"/>
    <w:rsid w:val="00E03F33"/>
    <w:rsid w:val="00E05303"/>
    <w:rsid w:val="00E05A64"/>
    <w:rsid w:val="00E132BD"/>
    <w:rsid w:val="00E1372C"/>
    <w:rsid w:val="00E14EC3"/>
    <w:rsid w:val="00E17126"/>
    <w:rsid w:val="00E20451"/>
    <w:rsid w:val="00E20C26"/>
    <w:rsid w:val="00E305D9"/>
    <w:rsid w:val="00E324A0"/>
    <w:rsid w:val="00E3382C"/>
    <w:rsid w:val="00E35224"/>
    <w:rsid w:val="00E3628C"/>
    <w:rsid w:val="00E36A7B"/>
    <w:rsid w:val="00E37328"/>
    <w:rsid w:val="00E40430"/>
    <w:rsid w:val="00E426F2"/>
    <w:rsid w:val="00E42944"/>
    <w:rsid w:val="00E47372"/>
    <w:rsid w:val="00E51078"/>
    <w:rsid w:val="00E52617"/>
    <w:rsid w:val="00E53EBD"/>
    <w:rsid w:val="00E56BF7"/>
    <w:rsid w:val="00E57B09"/>
    <w:rsid w:val="00E57C4A"/>
    <w:rsid w:val="00E6037E"/>
    <w:rsid w:val="00E63D95"/>
    <w:rsid w:val="00E6406A"/>
    <w:rsid w:val="00E64584"/>
    <w:rsid w:val="00E6546A"/>
    <w:rsid w:val="00E65FFD"/>
    <w:rsid w:val="00E66627"/>
    <w:rsid w:val="00E71F11"/>
    <w:rsid w:val="00E74258"/>
    <w:rsid w:val="00E765BB"/>
    <w:rsid w:val="00E77459"/>
    <w:rsid w:val="00E77DCC"/>
    <w:rsid w:val="00E86BA3"/>
    <w:rsid w:val="00E911A4"/>
    <w:rsid w:val="00E91AD9"/>
    <w:rsid w:val="00E928D7"/>
    <w:rsid w:val="00E92D81"/>
    <w:rsid w:val="00E93B14"/>
    <w:rsid w:val="00E943DB"/>
    <w:rsid w:val="00E95DFE"/>
    <w:rsid w:val="00E961A2"/>
    <w:rsid w:val="00EA2B76"/>
    <w:rsid w:val="00EA3F5A"/>
    <w:rsid w:val="00EB316D"/>
    <w:rsid w:val="00EB3650"/>
    <w:rsid w:val="00EB3D2C"/>
    <w:rsid w:val="00EB4C16"/>
    <w:rsid w:val="00EB4D92"/>
    <w:rsid w:val="00EB4DBD"/>
    <w:rsid w:val="00EB612E"/>
    <w:rsid w:val="00EB6B81"/>
    <w:rsid w:val="00EC3829"/>
    <w:rsid w:val="00EC3968"/>
    <w:rsid w:val="00EC4273"/>
    <w:rsid w:val="00EC5845"/>
    <w:rsid w:val="00EC6323"/>
    <w:rsid w:val="00EC675A"/>
    <w:rsid w:val="00EC7543"/>
    <w:rsid w:val="00ED1198"/>
    <w:rsid w:val="00ED1DE0"/>
    <w:rsid w:val="00ED245F"/>
    <w:rsid w:val="00ED2AB0"/>
    <w:rsid w:val="00ED5F7A"/>
    <w:rsid w:val="00ED7834"/>
    <w:rsid w:val="00EE0AE8"/>
    <w:rsid w:val="00EE1A55"/>
    <w:rsid w:val="00EE41EC"/>
    <w:rsid w:val="00EE5E04"/>
    <w:rsid w:val="00EE717A"/>
    <w:rsid w:val="00EF1644"/>
    <w:rsid w:val="00EF1C7E"/>
    <w:rsid w:val="00EF1C8A"/>
    <w:rsid w:val="00EF4290"/>
    <w:rsid w:val="00EF4A16"/>
    <w:rsid w:val="00EF58F1"/>
    <w:rsid w:val="00EF6302"/>
    <w:rsid w:val="00EF7CA9"/>
    <w:rsid w:val="00F01466"/>
    <w:rsid w:val="00F07F57"/>
    <w:rsid w:val="00F07FCB"/>
    <w:rsid w:val="00F102E7"/>
    <w:rsid w:val="00F148BE"/>
    <w:rsid w:val="00F14A74"/>
    <w:rsid w:val="00F14B2D"/>
    <w:rsid w:val="00F17D8F"/>
    <w:rsid w:val="00F22289"/>
    <w:rsid w:val="00F227C6"/>
    <w:rsid w:val="00F22F17"/>
    <w:rsid w:val="00F233C9"/>
    <w:rsid w:val="00F2459E"/>
    <w:rsid w:val="00F24882"/>
    <w:rsid w:val="00F267FE"/>
    <w:rsid w:val="00F30B2D"/>
    <w:rsid w:val="00F30EDB"/>
    <w:rsid w:val="00F32925"/>
    <w:rsid w:val="00F32EA1"/>
    <w:rsid w:val="00F33A0D"/>
    <w:rsid w:val="00F36C8B"/>
    <w:rsid w:val="00F44002"/>
    <w:rsid w:val="00F44CA7"/>
    <w:rsid w:val="00F5003D"/>
    <w:rsid w:val="00F533B8"/>
    <w:rsid w:val="00F54199"/>
    <w:rsid w:val="00F5496A"/>
    <w:rsid w:val="00F54AAD"/>
    <w:rsid w:val="00F54BF5"/>
    <w:rsid w:val="00F5627C"/>
    <w:rsid w:val="00F56611"/>
    <w:rsid w:val="00F61B19"/>
    <w:rsid w:val="00F64739"/>
    <w:rsid w:val="00F65490"/>
    <w:rsid w:val="00F66DB7"/>
    <w:rsid w:val="00F704AA"/>
    <w:rsid w:val="00F72A13"/>
    <w:rsid w:val="00F80129"/>
    <w:rsid w:val="00F85E09"/>
    <w:rsid w:val="00F86F3E"/>
    <w:rsid w:val="00F91983"/>
    <w:rsid w:val="00F942DD"/>
    <w:rsid w:val="00F963A9"/>
    <w:rsid w:val="00F96C0A"/>
    <w:rsid w:val="00F96EC2"/>
    <w:rsid w:val="00F977FF"/>
    <w:rsid w:val="00F97991"/>
    <w:rsid w:val="00FA0438"/>
    <w:rsid w:val="00FA051D"/>
    <w:rsid w:val="00FA1467"/>
    <w:rsid w:val="00FA27D7"/>
    <w:rsid w:val="00FA2E3B"/>
    <w:rsid w:val="00FA38EF"/>
    <w:rsid w:val="00FA580E"/>
    <w:rsid w:val="00FA5870"/>
    <w:rsid w:val="00FA74E0"/>
    <w:rsid w:val="00FB12CF"/>
    <w:rsid w:val="00FB178E"/>
    <w:rsid w:val="00FB38A1"/>
    <w:rsid w:val="00FB5267"/>
    <w:rsid w:val="00FB5429"/>
    <w:rsid w:val="00FB63FA"/>
    <w:rsid w:val="00FB7BFF"/>
    <w:rsid w:val="00FC1906"/>
    <w:rsid w:val="00FC217F"/>
    <w:rsid w:val="00FC28B3"/>
    <w:rsid w:val="00FC4087"/>
    <w:rsid w:val="00FC4177"/>
    <w:rsid w:val="00FC776E"/>
    <w:rsid w:val="00FD053B"/>
    <w:rsid w:val="00FD0D2F"/>
    <w:rsid w:val="00FD18A3"/>
    <w:rsid w:val="00FD2332"/>
    <w:rsid w:val="00FD2B2D"/>
    <w:rsid w:val="00FD380C"/>
    <w:rsid w:val="00FD38BF"/>
    <w:rsid w:val="00FD40DD"/>
    <w:rsid w:val="00FD4A1C"/>
    <w:rsid w:val="00FD4B13"/>
    <w:rsid w:val="00FD57BA"/>
    <w:rsid w:val="00FD5875"/>
    <w:rsid w:val="00FD6DED"/>
    <w:rsid w:val="00FD7934"/>
    <w:rsid w:val="00FD7AE4"/>
    <w:rsid w:val="00FE2445"/>
    <w:rsid w:val="00FE2586"/>
    <w:rsid w:val="00FE2680"/>
    <w:rsid w:val="00FE3197"/>
    <w:rsid w:val="00FE3701"/>
    <w:rsid w:val="00FE666B"/>
    <w:rsid w:val="00FF0CDB"/>
    <w:rsid w:val="00FF1B17"/>
    <w:rsid w:val="00FF1BBC"/>
    <w:rsid w:val="00FF4373"/>
    <w:rsid w:val="00FF4729"/>
    <w:rsid w:val="00FF592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58B5"/>
  <w15:chartTrackingRefBased/>
  <w15:docId w15:val="{6F75A16F-0482-4301-8893-6DB7793A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924"/>
    <w:pPr>
      <w:spacing w:after="200" w:line="36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73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3073D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626D3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73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3073D"/>
    <w:rPr>
      <w:rFonts w:ascii="Times New Roman" w:eastAsiaTheme="majorEastAsia" w:hAnsi="Times New Roman" w:cstheme="majorBidi"/>
      <w:b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7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7E0"/>
    <w:rPr>
      <w:rFonts w:ascii="Times New Roman" w:eastAsiaTheme="minorEastAsia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7E0"/>
    <w:rPr>
      <w:rFonts w:ascii="Times New Roman" w:eastAsiaTheme="minorEastAsia" w:hAnsi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AD64A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63A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563A9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D57B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7B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7BA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7B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7BA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D5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7BA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784573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af2">
    <w:name w:val="Table Grid"/>
    <w:basedOn w:val="a1"/>
    <w:uiPriority w:val="39"/>
    <w:rsid w:val="00BC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BC1A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3">
    <w:name w:val="footnote text"/>
    <w:basedOn w:val="a"/>
    <w:link w:val="af4"/>
    <w:uiPriority w:val="99"/>
    <w:unhideWhenUsed/>
    <w:rsid w:val="00EB4C1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B4C16"/>
    <w:rPr>
      <w:rFonts w:ascii="Times New Roman" w:eastAsiaTheme="minorEastAsia" w:hAnsi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EB4C16"/>
    <w:rPr>
      <w:vertAlign w:val="superscript"/>
    </w:rPr>
  </w:style>
  <w:style w:type="table" w:styleId="21">
    <w:name w:val="Plain Table 2"/>
    <w:basedOn w:val="a1"/>
    <w:uiPriority w:val="42"/>
    <w:rsid w:val="003E05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1"/>
    <w:uiPriority w:val="43"/>
    <w:rsid w:val="003E05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C626D3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197DBA"/>
    <w:rPr>
      <w:color w:val="954F72" w:themeColor="followedHyperlink"/>
      <w:u w:val="single"/>
    </w:rPr>
  </w:style>
  <w:style w:type="paragraph" w:styleId="af7">
    <w:name w:val="TOC Heading"/>
    <w:basedOn w:val="1"/>
    <w:next w:val="a"/>
    <w:uiPriority w:val="39"/>
    <w:unhideWhenUsed/>
    <w:qFormat/>
    <w:rsid w:val="003F15F3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F15F3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3F15F3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3F15F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valdaiclub.com/a/highlights/politicheskie-effekty-pandemii/" TargetMode="External"/><Relationship Id="rId21" Type="http://schemas.openxmlformats.org/officeDocument/2006/relationships/hyperlink" Target="https://www.opec.org/opec_web/en/press_room/5891.htm" TargetMode="External"/><Relationship Id="rId42" Type="http://schemas.openxmlformats.org/officeDocument/2006/relationships/hyperlink" Target="https://www.gecf.org/about/overview.aspx" TargetMode="External"/><Relationship Id="rId47" Type="http://schemas.openxmlformats.org/officeDocument/2006/relationships/hyperlink" Target="https://www.ief.org/about-ief/history.aspx" TargetMode="External"/><Relationship Id="rId63" Type="http://schemas.openxmlformats.org/officeDocument/2006/relationships/image" Target="media/image1.png"/><Relationship Id="rId68" Type="http://schemas.openxmlformats.org/officeDocument/2006/relationships/image" Target="media/image6.png"/><Relationship Id="rId7" Type="http://schemas.openxmlformats.org/officeDocument/2006/relationships/endnotes" Target="endnotes.xml"/><Relationship Id="rId71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russian-trade.com/reports-and-reviews/2020-02/torgovlya-mezhdu-rossiey-i-kitaem-v-2019-g/" TargetMode="External"/><Relationship Id="rId29" Type="http://schemas.openxmlformats.org/officeDocument/2006/relationships/hyperlink" Target="https://eadaily.com/ru/news/2018/09/27/germaniya-vozmet-rynok-gaza-es-pod-kontrol-severnyy-potok-2-pomozhet" TargetMode="External"/><Relationship Id="rId11" Type="http://schemas.openxmlformats.org/officeDocument/2006/relationships/hyperlink" Target="https://www.worldbank.org/" TargetMode="External"/><Relationship Id="rId24" Type="http://schemas.openxmlformats.org/officeDocument/2006/relationships/hyperlink" Target="https://ru.valdaiclub.com/a/highlights/mirovoy-poryadok-posle-koronavirusa/" TargetMode="External"/><Relationship Id="rId32" Type="http://schemas.openxmlformats.org/officeDocument/2006/relationships/hyperlink" Target="https://tass.ru/ekonomika/5788660" TargetMode="External"/><Relationship Id="rId37" Type="http://schemas.openxmlformats.org/officeDocument/2006/relationships/hyperlink" Target="https://www.dw.com/ru/&#1089;&#1096;&#1072;-&#1087;&#1077;&#1088;&#1077;&#1093;&#1074;&#1072;&#1090;&#1080;&#1083;&#1080;-&#1079;&#1072;&#1082;&#1072;&#1079;&#1072;&#1085;&#1085;&#1099;&#1077;-&#1073;&#1077;&#1088;&#1083;&#1080;&#1085;&#1086;&#1084;-&#1079;&#1072;&#1097;&#1080;&#1090;&#1085;&#1099;&#1077;-&#1084;&#1072;&#1089;&#1082;&#1080;/a-53004724" TargetMode="External"/><Relationship Id="rId40" Type="http://schemas.openxmlformats.org/officeDocument/2006/relationships/hyperlink" Target="https://www.bloomberg.com/opinion/articles/2020-02-21/coronavirus-forces-a-rethinking-of-supply-chains" TargetMode="External"/><Relationship Id="rId45" Type="http://schemas.openxmlformats.org/officeDocument/2006/relationships/hyperlink" Target="https://www.iea.org/subscribe-to-data-services/world-energy-balances-and-statistics" TargetMode="External"/><Relationship Id="rId53" Type="http://schemas.openxmlformats.org/officeDocument/2006/relationships/chart" Target="charts/chart2.xml"/><Relationship Id="rId58" Type="http://schemas.openxmlformats.org/officeDocument/2006/relationships/hyperlink" Target="https://cbr.ru/statistics/?PrtId=svs" TargetMode="External"/><Relationship Id="rId66" Type="http://schemas.openxmlformats.org/officeDocument/2006/relationships/image" Target="media/image4.png"/><Relationship Id="rId5" Type="http://schemas.openxmlformats.org/officeDocument/2006/relationships/webSettings" Target="webSettings.xml"/><Relationship Id="rId61" Type="http://schemas.openxmlformats.org/officeDocument/2006/relationships/chart" Target="charts/chart7.xml"/><Relationship Id="rId19" Type="http://schemas.openxmlformats.org/officeDocument/2006/relationships/hyperlink" Target="https://regnum.ru/news/polit/2381400.html" TargetMode="External"/><Relationship Id="rId14" Type="http://schemas.openxmlformats.org/officeDocument/2006/relationships/hyperlink" Target="https://cbr.ru/" TargetMode="External"/><Relationship Id="rId22" Type="http://schemas.openxmlformats.org/officeDocument/2006/relationships/hyperlink" Target="https://valdaiclub.com/a/highlights/coronavirus-and-the-collapse-of-the-liberal-order/" TargetMode="External"/><Relationship Id="rId27" Type="http://schemas.openxmlformats.org/officeDocument/2006/relationships/hyperlink" Target="https://mgimo.ru/about/news/experts/yuzhnyy-gazovyy-koridor-usa-za-rossiya-ne-protiv/" TargetMode="External"/><Relationship Id="rId30" Type="http://schemas.openxmlformats.org/officeDocument/2006/relationships/hyperlink" Target="https://www.rbc.ru/opinions/business/15/04/2020/5e9581ce9a79472109b19010" TargetMode="External"/><Relationship Id="rId35" Type="http://schemas.openxmlformats.org/officeDocument/2006/relationships/hyperlink" Target="https://www.faz.net/aktuell/politik/ausland/petro-poroschenko-nord-stream-2-fuettert-das-monster-15595394.html" TargetMode="External"/><Relationship Id="rId43" Type="http://schemas.openxmlformats.org/officeDocument/2006/relationships/hyperlink" Target="https://www.forbes.com/global2000/" TargetMode="External"/><Relationship Id="rId48" Type="http://schemas.openxmlformats.org/officeDocument/2006/relationships/hyperlink" Target="https://www.jodidata.org/about-jodi/history.aspx" TargetMode="External"/><Relationship Id="rId56" Type="http://schemas.openxmlformats.org/officeDocument/2006/relationships/hyperlink" Target="http://worldbank.org/" TargetMode="External"/><Relationship Id="rId64" Type="http://schemas.openxmlformats.org/officeDocument/2006/relationships/image" Target="media/image2.png"/><Relationship Id="rId69" Type="http://schemas.openxmlformats.org/officeDocument/2006/relationships/footer" Target="footer1.xml"/><Relationship Id="rId8" Type="http://schemas.openxmlformats.org/officeDocument/2006/relationships/comments" Target="comments.xml"/><Relationship Id="rId51" Type="http://schemas.openxmlformats.org/officeDocument/2006/relationships/hyperlink" Target="https://www.opec.org/opec_web/en/about_us/24.htm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gks.ru/" TargetMode="External"/><Relationship Id="rId17" Type="http://schemas.openxmlformats.org/officeDocument/2006/relationships/hyperlink" Target="https://www.imf.org/en/Publications/WEO/Issues/2020/04/14/weo-april-2020" TargetMode="External"/><Relationship Id="rId25" Type="http://schemas.openxmlformats.org/officeDocument/2006/relationships/hyperlink" Target="https://globalaffairs.ru/articles/severnyj-potok-2-i-otvet-na-sankczii/" TargetMode="External"/><Relationship Id="rId33" Type="http://schemas.openxmlformats.org/officeDocument/2006/relationships/hyperlink" Target="https://www.rbc.ru/politics/16/02/2019/5c67dc7d9a7947f0df37aa18" TargetMode="External"/><Relationship Id="rId38" Type="http://schemas.openxmlformats.org/officeDocument/2006/relationships/hyperlink" Target="https://www.bitobe.ru/news/2559/?fbclid=IwAR3gaFiiOVmcxHgq_TPB6Zd6Fmt0IMkUWaYoFx_zvxaE6dSBGhxuINRf2Mg" TargetMode="External"/><Relationship Id="rId46" Type="http://schemas.openxmlformats.org/officeDocument/2006/relationships/hyperlink" Target="https://www.iea.org/about/mission" TargetMode="External"/><Relationship Id="rId59" Type="http://schemas.openxmlformats.org/officeDocument/2006/relationships/chart" Target="charts/chart6.xml"/><Relationship Id="rId67" Type="http://schemas.openxmlformats.org/officeDocument/2006/relationships/image" Target="media/image5.png"/><Relationship Id="rId20" Type="http://schemas.openxmlformats.org/officeDocument/2006/relationships/hyperlink" Target="http://grachev62.narod.ru/stalin/t13/t13_06.htm" TargetMode="External"/><Relationship Id="rId41" Type="http://schemas.openxmlformats.org/officeDocument/2006/relationships/hyperlink" Target="https://www.who.int/emergencies/diseases/novel-coronavirus-2019/situation-reports" TargetMode="External"/><Relationship Id="rId54" Type="http://schemas.openxmlformats.org/officeDocument/2006/relationships/chart" Target="charts/chart3.xml"/><Relationship Id="rId62" Type="http://schemas.openxmlformats.org/officeDocument/2006/relationships/chart" Target="charts/chart8.xm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ssian-trade.com/reports-and-reviews/2020-02/torgovlya-mezhdu-rossiey-i-germaniey-v-2019-g/" TargetMode="External"/><Relationship Id="rId23" Type="http://schemas.openxmlformats.org/officeDocument/2006/relationships/hyperlink" Target="https://russiancouncil.ru/blogs/nivkina/krizis-liberalnodemokraticheskogo-poryadka-na-fone-koronavirusa/" TargetMode="External"/><Relationship Id="rId28" Type="http://schemas.openxmlformats.org/officeDocument/2006/relationships/hyperlink" Target="https://www.rbc.ru/opinions/economics/11/02/2020/5e4128419a794714565f35be" TargetMode="External"/><Relationship Id="rId36" Type="http://schemas.openxmlformats.org/officeDocument/2006/relationships/hyperlink" Target="https://www.rbc.ru/business/08/02/2019/5c5db5de9a79472d6f891b37" TargetMode="External"/><Relationship Id="rId49" Type="http://schemas.openxmlformats.org/officeDocument/2006/relationships/hyperlink" Target="https://www.gazprom.ru/press/news/2017/april/article327181/" TargetMode="External"/><Relationship Id="rId57" Type="http://schemas.openxmlformats.org/officeDocument/2006/relationships/chart" Target="charts/chart5.xml"/><Relationship Id="rId10" Type="http://schemas.microsoft.com/office/2016/09/relationships/commentsIds" Target="commentsIds.xml"/><Relationship Id="rId31" Type="http://schemas.openxmlformats.org/officeDocument/2006/relationships/hyperlink" Target="https://www.gazprom-neft.ru/press-center/sibneft-online/archive/2019-october/3750236/" TargetMode="External"/><Relationship Id="rId44" Type="http://schemas.openxmlformats.org/officeDocument/2006/relationships/hyperlink" Target="https://www.cnbc.com/2020/03/20/coronavirus-shocks-will-lead-to-massive-global-supply-chain-shuffle.html" TargetMode="External"/><Relationship Id="rId52" Type="http://schemas.openxmlformats.org/officeDocument/2006/relationships/chart" Target="charts/chart1.xml"/><Relationship Id="rId60" Type="http://schemas.openxmlformats.org/officeDocument/2006/relationships/hyperlink" Target="https://www.gks.ru/" TargetMode="External"/><Relationship Id="rId65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3" Type="http://schemas.openxmlformats.org/officeDocument/2006/relationships/hyperlink" Target="http://customs.ru/folder/511" TargetMode="External"/><Relationship Id="rId18" Type="http://schemas.openxmlformats.org/officeDocument/2006/relationships/hyperlink" Target="https://www.govtrack.us/congress/bills/116/s1790/text" TargetMode="External"/><Relationship Id="rId39" Type="http://schemas.openxmlformats.org/officeDocument/2006/relationships/hyperlink" Target="https://www.acra-ratings.ru/research/1769" TargetMode="External"/><Relationship Id="rId34" Type="http://schemas.openxmlformats.org/officeDocument/2006/relationships/hyperlink" Target="https://tass.ru/ekonomika/8295181" TargetMode="External"/><Relationship Id="rId50" Type="http://schemas.openxmlformats.org/officeDocument/2006/relationships/hyperlink" Target="http://www.oapecorg.org/Home/About-Us/Objective-of-the-Organization" TargetMode="External"/><Relationship Id="rId55" Type="http://schemas.openxmlformats.org/officeDocument/2006/relationships/chart" Target="charts/chart4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zprom.ru/investors/disclosure/reports/2019/" TargetMode="External"/><Relationship Id="rId18" Type="http://schemas.openxmlformats.org/officeDocument/2006/relationships/hyperlink" Target="https://globalaffairs.ru/articles/severnyj-potok-2-i-otvet-na-sankczii/" TargetMode="External"/><Relationship Id="rId26" Type="http://schemas.openxmlformats.org/officeDocument/2006/relationships/hyperlink" Target="https://valdaiclub.com/a/highlights/coronavirus-and-the-collapse-of-the-liberal-order/" TargetMode="External"/><Relationship Id="rId39" Type="http://schemas.openxmlformats.org/officeDocument/2006/relationships/hyperlink" Target="https://foreignpolicy.com/2020/03/12/coronavirus-killing-globalization-nationalism-protectionism-trump/" TargetMode="External"/><Relationship Id="rId21" Type="http://schemas.openxmlformats.org/officeDocument/2006/relationships/hyperlink" Target="https://www.who.int/emergencies/diseases/novel-coronavirus-2019/situation-reports" TargetMode="External"/><Relationship Id="rId34" Type="http://schemas.openxmlformats.org/officeDocument/2006/relationships/hyperlink" Target="https://www.acra-ratings.ru/research/1769" TargetMode="External"/><Relationship Id="rId42" Type="http://schemas.openxmlformats.org/officeDocument/2006/relationships/hyperlink" Target="https://tass.ru/ekonomika/5788660" TargetMode="External"/><Relationship Id="rId7" Type="http://schemas.openxmlformats.org/officeDocument/2006/relationships/hyperlink" Target="https://www.forbes.com/global2000/" TargetMode="External"/><Relationship Id="rId2" Type="http://schemas.openxmlformats.org/officeDocument/2006/relationships/hyperlink" Target="http://www.oapecorg.org/Home/About-Us/Objective-of-the-Organization" TargetMode="External"/><Relationship Id="rId16" Type="http://schemas.openxmlformats.org/officeDocument/2006/relationships/hyperlink" Target="https://regnum.ru/news/polit/2381400.html" TargetMode="External"/><Relationship Id="rId29" Type="http://schemas.openxmlformats.org/officeDocument/2006/relationships/hyperlink" Target="https://www.henryakissinger.com/articles/the-coronavirus-pandemic-will-forever-alter-the-world-order/" TargetMode="External"/><Relationship Id="rId1" Type="http://schemas.openxmlformats.org/officeDocument/2006/relationships/hyperlink" Target="https://www.opec.org/opec_web/en/about_us/24.htm" TargetMode="External"/><Relationship Id="rId6" Type="http://schemas.openxmlformats.org/officeDocument/2006/relationships/hyperlink" Target="https://www.jodidata.org/about-jodi/history.aspx" TargetMode="External"/><Relationship Id="rId11" Type="http://schemas.openxmlformats.org/officeDocument/2006/relationships/hyperlink" Target="https://russian-trade.com/reports-and-reviews/2020-02/torgovlya-mezhdu-rossiey-i-germaniey-v-2019-g/" TargetMode="External"/><Relationship Id="rId24" Type="http://schemas.openxmlformats.org/officeDocument/2006/relationships/hyperlink" Target="http://www.realinstitutoelcano.org/wps/wcm/connect/c96ba763-f0c3-494b-bb03-3b9791b6ccbb/Policy-Paper-Espana-en-mundo-2020-perspectivas-desafios-coronavirus.pdf?MOD=AJPERES&amp;CACHEID=c96ba763-f0c3-494b-bb03-3b9791b6ccbb" TargetMode="External"/><Relationship Id="rId32" Type="http://schemas.openxmlformats.org/officeDocument/2006/relationships/hyperlink" Target="https://www.opec.org/opec_web/en/press_room/5891.htm" TargetMode="External"/><Relationship Id="rId37" Type="http://schemas.openxmlformats.org/officeDocument/2006/relationships/hyperlink" Target="https://www.cnbc.com/2020/03/20/coronavirus-shocks-will-lead-to-massive-global-supply-chain-shuffle.html" TargetMode="External"/><Relationship Id="rId40" Type="http://schemas.openxmlformats.org/officeDocument/2006/relationships/hyperlink" Target="https://interaffairs.ru/jauthor/material/872" TargetMode="External"/><Relationship Id="rId45" Type="http://schemas.openxmlformats.org/officeDocument/2006/relationships/hyperlink" Target="https://mgimo.ru/about/news/experts/yuzhnyy-gazovyy-koridor-usa-za-rossiya-ne-protiv/" TargetMode="External"/><Relationship Id="rId5" Type="http://schemas.openxmlformats.org/officeDocument/2006/relationships/hyperlink" Target="https://www.ief.org/about-ief/history.aspx" TargetMode="External"/><Relationship Id="rId15" Type="http://schemas.openxmlformats.org/officeDocument/2006/relationships/hyperlink" Target="https://www.gazprom.ru/press/news/2017/april/article327181/" TargetMode="External"/><Relationship Id="rId23" Type="http://schemas.openxmlformats.org/officeDocument/2006/relationships/hyperlink" Target="https://russiancouncil.ru/blogs/nivkina/krizis-liberalnodemokraticheskogo-poryadka-na-fone-koronavirusa/" TargetMode="External"/><Relationship Id="rId28" Type="http://schemas.openxmlformats.org/officeDocument/2006/relationships/hyperlink" Target="https://ru.valdaiclub.com/a/highlights/politicheskie-effekty-pandemii/" TargetMode="External"/><Relationship Id="rId36" Type="http://schemas.openxmlformats.org/officeDocument/2006/relationships/hyperlink" Target="https://www.rbc.ru/opinions/business/15/04/2020/5e9581ce9a79472109b19010" TargetMode="External"/><Relationship Id="rId10" Type="http://schemas.openxmlformats.org/officeDocument/2006/relationships/hyperlink" Target="https://www.gazprom-neft.ru/press-center/sibneft-online/archive/2019-october/3750236/" TargetMode="External"/><Relationship Id="rId19" Type="http://schemas.openxmlformats.org/officeDocument/2006/relationships/hyperlink" Target="https://www.govtrack.us/congress/bills/116/s1790/text" TargetMode="External"/><Relationship Id="rId31" Type="http://schemas.openxmlformats.org/officeDocument/2006/relationships/hyperlink" Target="https://www.rbc.ru/business/08/02/2019/5c5db5de9a79472d6f891b37" TargetMode="External"/><Relationship Id="rId44" Type="http://schemas.openxmlformats.org/officeDocument/2006/relationships/hyperlink" Target="https://russian-trade.com/reports-and-reviews/2020-02/torgovlya-mezhdu-rossiey-i-kitaem-v-2019-g/" TargetMode="External"/><Relationship Id="rId4" Type="http://schemas.openxmlformats.org/officeDocument/2006/relationships/hyperlink" Target="https://www.iea.org/about/mission" TargetMode="External"/><Relationship Id="rId9" Type="http://schemas.openxmlformats.org/officeDocument/2006/relationships/hyperlink" Target="http://grachev62.narod.ru/stalin/t13/t13_06.htm" TargetMode="External"/><Relationship Id="rId14" Type="http://schemas.openxmlformats.org/officeDocument/2006/relationships/hyperlink" Target="https://www.rbc.ru/politics/16/02/2019/5c67dc7d9a7947f0df37aa18" TargetMode="External"/><Relationship Id="rId22" Type="http://schemas.openxmlformats.org/officeDocument/2006/relationships/hyperlink" Target="https://www.dw.com/ru/&#1089;&#1096;&#1072;-&#1087;&#1077;&#1088;&#1077;&#1093;&#1074;&#1072;&#1090;&#1080;&#1083;&#1080;-&#1079;&#1072;&#1082;&#1072;&#1079;&#1072;&#1085;&#1085;&#1099;&#1077;-&#1073;&#1077;&#1088;&#1083;&#1080;&#1085;&#1086;&#1084;-&#1079;&#1072;&#1097;&#1080;&#1090;&#1085;&#1099;&#1077;-&#1084;&#1072;&#1089;&#1082;&#1080;/a-53004724" TargetMode="External"/><Relationship Id="rId27" Type="http://schemas.openxmlformats.org/officeDocument/2006/relationships/hyperlink" Target="https://ru.valdaiclub.com/a/highlights/mirovoy-poryadok-posle-koronavirusa/" TargetMode="External"/><Relationship Id="rId30" Type="http://schemas.openxmlformats.org/officeDocument/2006/relationships/hyperlink" Target="https://www.imf.org/en/Publications/WEO/Issues/2020/04/14/weo-april-2020" TargetMode="External"/><Relationship Id="rId35" Type="http://schemas.openxmlformats.org/officeDocument/2006/relationships/hyperlink" Target="https://www.bitobe.ru/news/2559/?fbclid=IwAR3gaFiiOVmcxHgq_TPB6Zd6Fmt0IMkUWaYoFx_zvxaE6dSBGhxuINRf2Mg" TargetMode="External"/><Relationship Id="rId43" Type="http://schemas.openxmlformats.org/officeDocument/2006/relationships/hyperlink" Target="http://customs.ru/folder/511" TargetMode="External"/><Relationship Id="rId8" Type="http://schemas.openxmlformats.org/officeDocument/2006/relationships/hyperlink" Target="https://www.iea.org/subscribe-to-data-services/world-energy-balances-and-statistics" TargetMode="External"/><Relationship Id="rId3" Type="http://schemas.openxmlformats.org/officeDocument/2006/relationships/hyperlink" Target="https://www.gecf.org/about/overview.aspx" TargetMode="External"/><Relationship Id="rId12" Type="http://schemas.openxmlformats.org/officeDocument/2006/relationships/hyperlink" Target="https://eadaily.com/ru/news/2018/09/27/germaniya-vozmet-rynok-gaza-es-pod-kontrol-severnyy-potok-2-pomozhet" TargetMode="External"/><Relationship Id="rId17" Type="http://schemas.openxmlformats.org/officeDocument/2006/relationships/hyperlink" Target="https://www.faz.net/aktuell/politik/ausland/petro-poroschenko-nord-stream-2-fuettert-das-monster-15595394.html" TargetMode="External"/><Relationship Id="rId25" Type="http://schemas.openxmlformats.org/officeDocument/2006/relationships/hyperlink" Target="https://www.chathamhouse.org/expert/comment/coronavirus-and-future-democracy-europe" TargetMode="External"/><Relationship Id="rId33" Type="http://schemas.openxmlformats.org/officeDocument/2006/relationships/hyperlink" Target="https://tass.ru/ekonomika/8295181" TargetMode="External"/><Relationship Id="rId38" Type="http://schemas.openxmlformats.org/officeDocument/2006/relationships/hyperlink" Target="https://www.bloomberg.com/opinion/articles/2020-02-21/coronavirus-forces-a-rethinking-of-supply-chains" TargetMode="External"/><Relationship Id="rId20" Type="http://schemas.openxmlformats.org/officeDocument/2006/relationships/hyperlink" Target="http://customs.ru/statistic" TargetMode="External"/><Relationship Id="rId41" Type="http://schemas.openxmlformats.org/officeDocument/2006/relationships/hyperlink" Target="https://www.rbc.ru/opinions/economics/11/02/2020/5e4128419a794714565f35be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0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Товарооборот России и Германии,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0" i="0" u="none" strike="noStrike" kern="1200" cap="none" spc="2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Экспорт</c:v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'19 век'!$B$6:$B$93</c:f>
              <c:numCache>
                <c:formatCode>General</c:formatCode>
                <c:ptCount val="88"/>
                <c:pt idx="0">
                  <c:v>1827</c:v>
                </c:pt>
                <c:pt idx="1">
                  <c:v>1828</c:v>
                </c:pt>
                <c:pt idx="2">
                  <c:v>1829</c:v>
                </c:pt>
                <c:pt idx="3">
                  <c:v>1830</c:v>
                </c:pt>
                <c:pt idx="4">
                  <c:v>1831</c:v>
                </c:pt>
                <c:pt idx="5">
                  <c:v>1832</c:v>
                </c:pt>
                <c:pt idx="6">
                  <c:v>1833</c:v>
                </c:pt>
                <c:pt idx="7">
                  <c:v>1834</c:v>
                </c:pt>
                <c:pt idx="8">
                  <c:v>1835</c:v>
                </c:pt>
                <c:pt idx="9">
                  <c:v>1836</c:v>
                </c:pt>
                <c:pt idx="10">
                  <c:v>1837</c:v>
                </c:pt>
                <c:pt idx="11">
                  <c:v>1838</c:v>
                </c:pt>
                <c:pt idx="12">
                  <c:v>1839</c:v>
                </c:pt>
                <c:pt idx="13">
                  <c:v>1840</c:v>
                </c:pt>
                <c:pt idx="14">
                  <c:v>1841</c:v>
                </c:pt>
                <c:pt idx="15">
                  <c:v>1842</c:v>
                </c:pt>
                <c:pt idx="16">
                  <c:v>1843</c:v>
                </c:pt>
                <c:pt idx="17">
                  <c:v>1844</c:v>
                </c:pt>
                <c:pt idx="18">
                  <c:v>1845</c:v>
                </c:pt>
                <c:pt idx="19">
                  <c:v>1846</c:v>
                </c:pt>
                <c:pt idx="20">
                  <c:v>1847</c:v>
                </c:pt>
                <c:pt idx="21">
                  <c:v>1848</c:v>
                </c:pt>
                <c:pt idx="22">
                  <c:v>1849</c:v>
                </c:pt>
                <c:pt idx="23">
                  <c:v>1850</c:v>
                </c:pt>
                <c:pt idx="24">
                  <c:v>1851</c:v>
                </c:pt>
                <c:pt idx="25">
                  <c:v>1852</c:v>
                </c:pt>
                <c:pt idx="26">
                  <c:v>1853</c:v>
                </c:pt>
                <c:pt idx="27">
                  <c:v>1854</c:v>
                </c:pt>
                <c:pt idx="28">
                  <c:v>1855</c:v>
                </c:pt>
                <c:pt idx="29">
                  <c:v>1856</c:v>
                </c:pt>
                <c:pt idx="30">
                  <c:v>1857</c:v>
                </c:pt>
                <c:pt idx="31">
                  <c:v>1858</c:v>
                </c:pt>
                <c:pt idx="32">
                  <c:v>1859</c:v>
                </c:pt>
                <c:pt idx="33">
                  <c:v>1860</c:v>
                </c:pt>
                <c:pt idx="34">
                  <c:v>1861</c:v>
                </c:pt>
                <c:pt idx="35">
                  <c:v>1862</c:v>
                </c:pt>
                <c:pt idx="36">
                  <c:v>1863</c:v>
                </c:pt>
                <c:pt idx="37">
                  <c:v>1864</c:v>
                </c:pt>
                <c:pt idx="38">
                  <c:v>1865</c:v>
                </c:pt>
                <c:pt idx="39">
                  <c:v>1866</c:v>
                </c:pt>
                <c:pt idx="40">
                  <c:v>1867</c:v>
                </c:pt>
                <c:pt idx="41">
                  <c:v>1868</c:v>
                </c:pt>
                <c:pt idx="42">
                  <c:v>1869</c:v>
                </c:pt>
                <c:pt idx="43">
                  <c:v>1870</c:v>
                </c:pt>
                <c:pt idx="44">
                  <c:v>1871</c:v>
                </c:pt>
                <c:pt idx="45">
                  <c:v>1872</c:v>
                </c:pt>
                <c:pt idx="46">
                  <c:v>1873</c:v>
                </c:pt>
                <c:pt idx="47">
                  <c:v>1874</c:v>
                </c:pt>
                <c:pt idx="48">
                  <c:v>1875</c:v>
                </c:pt>
                <c:pt idx="49">
                  <c:v>1876</c:v>
                </c:pt>
                <c:pt idx="50">
                  <c:v>1877</c:v>
                </c:pt>
                <c:pt idx="51">
                  <c:v>1878</c:v>
                </c:pt>
                <c:pt idx="52">
                  <c:v>1879</c:v>
                </c:pt>
                <c:pt idx="53">
                  <c:v>1880</c:v>
                </c:pt>
                <c:pt idx="54">
                  <c:v>1881</c:v>
                </c:pt>
                <c:pt idx="55">
                  <c:v>1882</c:v>
                </c:pt>
                <c:pt idx="56">
                  <c:v>1883</c:v>
                </c:pt>
                <c:pt idx="57">
                  <c:v>1884</c:v>
                </c:pt>
                <c:pt idx="58">
                  <c:v>1885</c:v>
                </c:pt>
                <c:pt idx="59">
                  <c:v>1886</c:v>
                </c:pt>
                <c:pt idx="60">
                  <c:v>1887</c:v>
                </c:pt>
                <c:pt idx="61">
                  <c:v>1888</c:v>
                </c:pt>
                <c:pt idx="62">
                  <c:v>1889</c:v>
                </c:pt>
                <c:pt idx="63">
                  <c:v>1890</c:v>
                </c:pt>
                <c:pt idx="64">
                  <c:v>1891</c:v>
                </c:pt>
                <c:pt idx="65">
                  <c:v>1892</c:v>
                </c:pt>
                <c:pt idx="66">
                  <c:v>1893</c:v>
                </c:pt>
                <c:pt idx="67">
                  <c:v>1894</c:v>
                </c:pt>
                <c:pt idx="68">
                  <c:v>1895</c:v>
                </c:pt>
                <c:pt idx="69">
                  <c:v>1896</c:v>
                </c:pt>
                <c:pt idx="70">
                  <c:v>1897</c:v>
                </c:pt>
                <c:pt idx="71">
                  <c:v>1898</c:v>
                </c:pt>
                <c:pt idx="72">
                  <c:v>1899</c:v>
                </c:pt>
                <c:pt idx="73">
                  <c:v>1900</c:v>
                </c:pt>
                <c:pt idx="74">
                  <c:v>1901</c:v>
                </c:pt>
                <c:pt idx="75">
                  <c:v>1902</c:v>
                </c:pt>
                <c:pt idx="76">
                  <c:v>1903</c:v>
                </c:pt>
                <c:pt idx="77">
                  <c:v>1904</c:v>
                </c:pt>
                <c:pt idx="78">
                  <c:v>1905</c:v>
                </c:pt>
                <c:pt idx="79">
                  <c:v>1906</c:v>
                </c:pt>
                <c:pt idx="80">
                  <c:v>1907</c:v>
                </c:pt>
                <c:pt idx="81">
                  <c:v>1908</c:v>
                </c:pt>
                <c:pt idx="82">
                  <c:v>1909</c:v>
                </c:pt>
                <c:pt idx="83">
                  <c:v>1910</c:v>
                </c:pt>
                <c:pt idx="84">
                  <c:v>1911</c:v>
                </c:pt>
                <c:pt idx="85">
                  <c:v>1912</c:v>
                </c:pt>
                <c:pt idx="86">
                  <c:v>1913</c:v>
                </c:pt>
                <c:pt idx="87">
                  <c:v>1914</c:v>
                </c:pt>
              </c:numCache>
            </c:numRef>
          </c:cat>
          <c:val>
            <c:numRef>
              <c:f>'19 век'!$E$6:$E$93</c:f>
              <c:numCache>
                <c:formatCode>_(* #,##0.00_);_(* \(#,##0.00\);_(* "-"??_);_(@_)</c:formatCode>
                <c:ptCount val="88"/>
                <c:pt idx="0">
                  <c:v>20649631</c:v>
                </c:pt>
                <c:pt idx="1">
                  <c:v>20318102</c:v>
                </c:pt>
                <c:pt idx="2">
                  <c:v>23013263</c:v>
                </c:pt>
                <c:pt idx="3">
                  <c:v>30858901</c:v>
                </c:pt>
                <c:pt idx="4">
                  <c:v>20201254</c:v>
                </c:pt>
                <c:pt idx="5">
                  <c:v>24654222</c:v>
                </c:pt>
                <c:pt idx="6">
                  <c:v>20389621</c:v>
                </c:pt>
                <c:pt idx="7">
                  <c:v>18037050</c:v>
                </c:pt>
                <c:pt idx="8">
                  <c:v>17390810</c:v>
                </c:pt>
                <c:pt idx="9">
                  <c:v>21638514</c:v>
                </c:pt>
                <c:pt idx="10">
                  <c:v>21928424</c:v>
                </c:pt>
                <c:pt idx="11">
                  <c:v>18247261</c:v>
                </c:pt>
                <c:pt idx="12">
                  <c:v>25338932</c:v>
                </c:pt>
                <c:pt idx="13">
                  <c:v>6073848</c:v>
                </c:pt>
                <c:pt idx="14">
                  <c:v>6307570</c:v>
                </c:pt>
                <c:pt idx="15">
                  <c:v>5859902</c:v>
                </c:pt>
                <c:pt idx="16">
                  <c:v>8191617</c:v>
                </c:pt>
                <c:pt idx="17">
                  <c:v>8362759</c:v>
                </c:pt>
                <c:pt idx="18">
                  <c:v>6188869</c:v>
                </c:pt>
                <c:pt idx="19">
                  <c:v>7150436</c:v>
                </c:pt>
                <c:pt idx="20">
                  <c:v>14141500</c:v>
                </c:pt>
                <c:pt idx="21">
                  <c:v>4893065</c:v>
                </c:pt>
                <c:pt idx="22">
                  <c:v>6013358</c:v>
                </c:pt>
                <c:pt idx="23">
                  <c:v>6613844</c:v>
                </c:pt>
                <c:pt idx="24">
                  <c:v>10288707</c:v>
                </c:pt>
                <c:pt idx="25">
                  <c:v>12336401</c:v>
                </c:pt>
                <c:pt idx="26">
                  <c:v>16194318</c:v>
                </c:pt>
                <c:pt idx="27">
                  <c:v>19575999</c:v>
                </c:pt>
                <c:pt idx="28">
                  <c:v>18414066</c:v>
                </c:pt>
                <c:pt idx="29">
                  <c:v>22912085</c:v>
                </c:pt>
                <c:pt idx="30">
                  <c:v>22364795</c:v>
                </c:pt>
                <c:pt idx="31">
                  <c:v>18092094</c:v>
                </c:pt>
                <c:pt idx="32">
                  <c:v>20229802</c:v>
                </c:pt>
                <c:pt idx="33">
                  <c:v>24488090</c:v>
                </c:pt>
                <c:pt idx="34">
                  <c:v>23976217</c:v>
                </c:pt>
                <c:pt idx="35">
                  <c:v>29325451</c:v>
                </c:pt>
                <c:pt idx="36">
                  <c:v>26839562</c:v>
                </c:pt>
                <c:pt idx="37">
                  <c:v>28145828</c:v>
                </c:pt>
                <c:pt idx="38">
                  <c:v>32952968</c:v>
                </c:pt>
                <c:pt idx="39">
                  <c:v>35835666</c:v>
                </c:pt>
                <c:pt idx="40">
                  <c:v>42035462</c:v>
                </c:pt>
                <c:pt idx="41">
                  <c:v>46330834</c:v>
                </c:pt>
                <c:pt idx="42">
                  <c:v>55915124</c:v>
                </c:pt>
                <c:pt idx="43">
                  <c:v>76074506</c:v>
                </c:pt>
                <c:pt idx="44">
                  <c:v>74910907</c:v>
                </c:pt>
                <c:pt idx="45">
                  <c:v>77318461</c:v>
                </c:pt>
                <c:pt idx="46">
                  <c:v>109991915</c:v>
                </c:pt>
                <c:pt idx="47">
                  <c:v>136466450</c:v>
                </c:pt>
                <c:pt idx="48">
                  <c:v>109897546</c:v>
                </c:pt>
                <c:pt idx="49">
                  <c:v>120497646</c:v>
                </c:pt>
                <c:pt idx="50">
                  <c:v>196730796</c:v>
                </c:pt>
                <c:pt idx="51">
                  <c:v>175363050</c:v>
                </c:pt>
                <c:pt idx="52">
                  <c:v>186655616</c:v>
                </c:pt>
                <c:pt idx="53">
                  <c:v>138121619</c:v>
                </c:pt>
                <c:pt idx="54">
                  <c:v>148880568</c:v>
                </c:pt>
                <c:pt idx="55">
                  <c:v>178018743</c:v>
                </c:pt>
                <c:pt idx="56">
                  <c:v>188844958</c:v>
                </c:pt>
                <c:pt idx="57">
                  <c:v>183066460</c:v>
                </c:pt>
                <c:pt idx="58">
                  <c:v>142480669</c:v>
                </c:pt>
                <c:pt idx="59">
                  <c:v>119210508</c:v>
                </c:pt>
                <c:pt idx="60">
                  <c:v>152461684</c:v>
                </c:pt>
                <c:pt idx="61">
                  <c:v>182790002</c:v>
                </c:pt>
                <c:pt idx="62">
                  <c:v>192344568</c:v>
                </c:pt>
                <c:pt idx="63">
                  <c:v>177940038</c:v>
                </c:pt>
                <c:pt idx="64">
                  <c:v>192931822</c:v>
                </c:pt>
                <c:pt idx="65">
                  <c:v>138239422</c:v>
                </c:pt>
                <c:pt idx="66">
                  <c:v>132580251</c:v>
                </c:pt>
                <c:pt idx="67">
                  <c:v>147866543</c:v>
                </c:pt>
                <c:pt idx="68">
                  <c:v>179275934</c:v>
                </c:pt>
                <c:pt idx="69">
                  <c:v>184004547</c:v>
                </c:pt>
                <c:pt idx="70">
                  <c:v>175257430</c:v>
                </c:pt>
                <c:pt idx="71">
                  <c:v>179436117</c:v>
                </c:pt>
                <c:pt idx="72">
                  <c:v>163564146</c:v>
                </c:pt>
                <c:pt idx="73">
                  <c:v>187635401</c:v>
                </c:pt>
                <c:pt idx="74">
                  <c:v>178855651</c:v>
                </c:pt>
                <c:pt idx="75">
                  <c:v>203154839</c:v>
                </c:pt>
                <c:pt idx="76">
                  <c:v>233090219</c:v>
                </c:pt>
                <c:pt idx="77">
                  <c:v>234843627</c:v>
                </c:pt>
                <c:pt idx="78">
                  <c:v>255312197</c:v>
                </c:pt>
                <c:pt idx="79">
                  <c:v>284674563</c:v>
                </c:pt>
                <c:pt idx="80">
                  <c:v>291040688</c:v>
                </c:pt>
                <c:pt idx="81">
                  <c:v>278991652</c:v>
                </c:pt>
                <c:pt idx="82">
                  <c:v>387119285</c:v>
                </c:pt>
                <c:pt idx="83">
                  <c:v>390640177</c:v>
                </c:pt>
                <c:pt idx="84">
                  <c:v>490525221</c:v>
                </c:pt>
                <c:pt idx="85">
                  <c:v>453827894</c:v>
                </c:pt>
                <c:pt idx="86">
                  <c:v>453584437</c:v>
                </c:pt>
                <c:pt idx="87">
                  <c:v>249156920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AA-4035-859F-A3F68BC1DFC6}"/>
            </c:ext>
          </c:extLst>
        </c:ser>
        <c:ser>
          <c:idx val="1"/>
          <c:order val="1"/>
          <c:tx>
            <c:v>Импорт</c:v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'19 век'!$L$6:$L$93</c:f>
              <c:numCache>
                <c:formatCode>_(* #,##0.00_);_(* \(#,##0.00\);_(* "-"??_);_(@_)</c:formatCode>
                <c:ptCount val="88"/>
                <c:pt idx="0">
                  <c:v>28354220</c:v>
                </c:pt>
                <c:pt idx="1">
                  <c:v>29718405</c:v>
                </c:pt>
                <c:pt idx="2">
                  <c:v>29413702</c:v>
                </c:pt>
                <c:pt idx="3">
                  <c:v>26742736</c:v>
                </c:pt>
                <c:pt idx="4">
                  <c:v>24657737</c:v>
                </c:pt>
                <c:pt idx="5">
                  <c:v>35884102</c:v>
                </c:pt>
                <c:pt idx="6">
                  <c:v>30249298</c:v>
                </c:pt>
                <c:pt idx="7">
                  <c:v>44323316</c:v>
                </c:pt>
                <c:pt idx="8">
                  <c:v>35830567</c:v>
                </c:pt>
                <c:pt idx="9">
                  <c:v>35000717</c:v>
                </c:pt>
                <c:pt idx="10">
                  <c:v>41618478</c:v>
                </c:pt>
                <c:pt idx="11">
                  <c:v>38735460</c:v>
                </c:pt>
                <c:pt idx="12">
                  <c:v>42872070</c:v>
                </c:pt>
                <c:pt idx="13">
                  <c:v>13236597</c:v>
                </c:pt>
                <c:pt idx="14">
                  <c:v>12973077</c:v>
                </c:pt>
                <c:pt idx="15">
                  <c:v>14101301</c:v>
                </c:pt>
                <c:pt idx="16">
                  <c:v>14144300</c:v>
                </c:pt>
                <c:pt idx="17">
                  <c:v>12081348</c:v>
                </c:pt>
                <c:pt idx="18">
                  <c:v>12922132</c:v>
                </c:pt>
                <c:pt idx="19">
                  <c:v>12928880</c:v>
                </c:pt>
                <c:pt idx="20">
                  <c:v>14289540</c:v>
                </c:pt>
                <c:pt idx="21">
                  <c:v>13515367</c:v>
                </c:pt>
                <c:pt idx="22">
                  <c:v>14007397</c:v>
                </c:pt>
                <c:pt idx="23">
                  <c:v>13155952</c:v>
                </c:pt>
                <c:pt idx="24">
                  <c:v>19869011</c:v>
                </c:pt>
                <c:pt idx="25">
                  <c:v>19016283</c:v>
                </c:pt>
                <c:pt idx="26">
                  <c:v>21951467</c:v>
                </c:pt>
                <c:pt idx="27">
                  <c:v>23800247</c:v>
                </c:pt>
                <c:pt idx="28">
                  <c:v>43307232</c:v>
                </c:pt>
                <c:pt idx="29">
                  <c:v>41019879</c:v>
                </c:pt>
                <c:pt idx="30">
                  <c:v>37759533</c:v>
                </c:pt>
                <c:pt idx="31">
                  <c:v>32549689</c:v>
                </c:pt>
                <c:pt idx="32">
                  <c:v>36030470</c:v>
                </c:pt>
                <c:pt idx="33">
                  <c:v>36616508</c:v>
                </c:pt>
                <c:pt idx="34">
                  <c:v>37902805</c:v>
                </c:pt>
                <c:pt idx="35">
                  <c:v>41520657</c:v>
                </c:pt>
                <c:pt idx="36">
                  <c:v>39170481</c:v>
                </c:pt>
                <c:pt idx="37">
                  <c:v>42230171</c:v>
                </c:pt>
                <c:pt idx="38">
                  <c:v>58058717</c:v>
                </c:pt>
                <c:pt idx="39">
                  <c:v>78114550</c:v>
                </c:pt>
                <c:pt idx="40">
                  <c:v>104550661</c:v>
                </c:pt>
                <c:pt idx="41">
                  <c:v>119677130</c:v>
                </c:pt>
                <c:pt idx="42">
                  <c:v>136725600</c:v>
                </c:pt>
                <c:pt idx="43">
                  <c:v>136439433</c:v>
                </c:pt>
                <c:pt idx="44">
                  <c:v>162718037</c:v>
                </c:pt>
                <c:pt idx="45">
                  <c:v>171331585</c:v>
                </c:pt>
                <c:pt idx="46">
                  <c:v>167025207</c:v>
                </c:pt>
                <c:pt idx="47">
                  <c:v>179741921</c:v>
                </c:pt>
                <c:pt idx="48">
                  <c:v>221444532</c:v>
                </c:pt>
                <c:pt idx="49">
                  <c:v>197743051</c:v>
                </c:pt>
                <c:pt idx="50">
                  <c:v>148566290</c:v>
                </c:pt>
                <c:pt idx="51">
                  <c:v>263193828</c:v>
                </c:pt>
                <c:pt idx="52">
                  <c:v>266880706</c:v>
                </c:pt>
                <c:pt idx="53">
                  <c:v>274303829</c:v>
                </c:pt>
                <c:pt idx="54">
                  <c:v>219950253</c:v>
                </c:pt>
                <c:pt idx="55">
                  <c:v>214189252</c:v>
                </c:pt>
                <c:pt idx="56">
                  <c:v>168702433</c:v>
                </c:pt>
                <c:pt idx="57">
                  <c:v>175889292</c:v>
                </c:pt>
                <c:pt idx="58">
                  <c:v>144169917</c:v>
                </c:pt>
                <c:pt idx="59">
                  <c:v>135353928</c:v>
                </c:pt>
                <c:pt idx="60">
                  <c:v>112708498</c:v>
                </c:pt>
                <c:pt idx="61">
                  <c:v>122623742</c:v>
                </c:pt>
                <c:pt idx="62">
                  <c:v>124311887</c:v>
                </c:pt>
                <c:pt idx="63">
                  <c:v>114634693</c:v>
                </c:pt>
                <c:pt idx="64">
                  <c:v>103267529</c:v>
                </c:pt>
                <c:pt idx="65">
                  <c:v>101653048</c:v>
                </c:pt>
                <c:pt idx="66">
                  <c:v>101183653</c:v>
                </c:pt>
                <c:pt idx="67">
                  <c:v>142976029</c:v>
                </c:pt>
                <c:pt idx="68">
                  <c:v>175646731</c:v>
                </c:pt>
                <c:pt idx="69">
                  <c:v>190169527</c:v>
                </c:pt>
                <c:pt idx="70">
                  <c:v>179871263</c:v>
                </c:pt>
                <c:pt idx="71">
                  <c:v>202197828</c:v>
                </c:pt>
                <c:pt idx="72">
                  <c:v>230871054</c:v>
                </c:pt>
                <c:pt idx="73">
                  <c:v>216852754</c:v>
                </c:pt>
                <c:pt idx="74">
                  <c:v>210954058</c:v>
                </c:pt>
                <c:pt idx="75">
                  <c:v>208471623</c:v>
                </c:pt>
                <c:pt idx="76">
                  <c:v>241897266</c:v>
                </c:pt>
                <c:pt idx="77">
                  <c:v>228154987</c:v>
                </c:pt>
                <c:pt idx="78">
                  <c:v>240411186</c:v>
                </c:pt>
                <c:pt idx="79">
                  <c:v>298421613</c:v>
                </c:pt>
                <c:pt idx="80">
                  <c:v>337367227</c:v>
                </c:pt>
                <c:pt idx="81">
                  <c:v>348426062</c:v>
                </c:pt>
                <c:pt idx="82">
                  <c:v>363263149</c:v>
                </c:pt>
                <c:pt idx="83">
                  <c:v>449794393</c:v>
                </c:pt>
                <c:pt idx="84">
                  <c:v>487780407</c:v>
                </c:pt>
                <c:pt idx="85">
                  <c:v>532345699</c:v>
                </c:pt>
                <c:pt idx="86">
                  <c:v>652208757</c:v>
                </c:pt>
                <c:pt idx="87">
                  <c:v>429723504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AA-4035-859F-A3F68BC1DF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84046063"/>
        <c:axId val="2016563919"/>
      </c:lineChart>
      <c:catAx>
        <c:axId val="8404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16563919"/>
        <c:crosses val="autoZero"/>
        <c:auto val="1"/>
        <c:lblAlgn val="ctr"/>
        <c:lblOffset val="100"/>
        <c:noMultiLvlLbl val="0"/>
      </c:catAx>
      <c:valAx>
        <c:axId val="2016563919"/>
        <c:scaling>
          <c:orientation val="minMax"/>
        </c:scaling>
        <c:delete val="0"/>
        <c:axPos val="l"/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046063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spc="2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Удельный вес Германии во внешнеторговом обороте России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none" spc="2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Экспорт, %</c:v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'19 век'!$B$6:$B$93</c:f>
              <c:numCache>
                <c:formatCode>General</c:formatCode>
                <c:ptCount val="88"/>
                <c:pt idx="0">
                  <c:v>1827</c:v>
                </c:pt>
                <c:pt idx="1">
                  <c:v>1828</c:v>
                </c:pt>
                <c:pt idx="2">
                  <c:v>1829</c:v>
                </c:pt>
                <c:pt idx="3">
                  <c:v>1830</c:v>
                </c:pt>
                <c:pt idx="4">
                  <c:v>1831</c:v>
                </c:pt>
                <c:pt idx="5">
                  <c:v>1832</c:v>
                </c:pt>
                <c:pt idx="6">
                  <c:v>1833</c:v>
                </c:pt>
                <c:pt idx="7">
                  <c:v>1834</c:v>
                </c:pt>
                <c:pt idx="8">
                  <c:v>1835</c:v>
                </c:pt>
                <c:pt idx="9">
                  <c:v>1836</c:v>
                </c:pt>
                <c:pt idx="10">
                  <c:v>1837</c:v>
                </c:pt>
                <c:pt idx="11">
                  <c:v>1838</c:v>
                </c:pt>
                <c:pt idx="12">
                  <c:v>1839</c:v>
                </c:pt>
                <c:pt idx="13">
                  <c:v>1840</c:v>
                </c:pt>
                <c:pt idx="14">
                  <c:v>1841</c:v>
                </c:pt>
                <c:pt idx="15">
                  <c:v>1842</c:v>
                </c:pt>
                <c:pt idx="16">
                  <c:v>1843</c:v>
                </c:pt>
                <c:pt idx="17">
                  <c:v>1844</c:v>
                </c:pt>
                <c:pt idx="18">
                  <c:v>1845</c:v>
                </c:pt>
                <c:pt idx="19">
                  <c:v>1846</c:v>
                </c:pt>
                <c:pt idx="20">
                  <c:v>1847</c:v>
                </c:pt>
                <c:pt idx="21">
                  <c:v>1848</c:v>
                </c:pt>
                <c:pt idx="22">
                  <c:v>1849</c:v>
                </c:pt>
                <c:pt idx="23">
                  <c:v>1850</c:v>
                </c:pt>
                <c:pt idx="24">
                  <c:v>1851</c:v>
                </c:pt>
                <c:pt idx="25">
                  <c:v>1852</c:v>
                </c:pt>
                <c:pt idx="26">
                  <c:v>1853</c:v>
                </c:pt>
                <c:pt idx="27">
                  <c:v>1854</c:v>
                </c:pt>
                <c:pt idx="28">
                  <c:v>1855</c:v>
                </c:pt>
                <c:pt idx="29">
                  <c:v>1856</c:v>
                </c:pt>
                <c:pt idx="30">
                  <c:v>1857</c:v>
                </c:pt>
                <c:pt idx="31">
                  <c:v>1858</c:v>
                </c:pt>
                <c:pt idx="32">
                  <c:v>1859</c:v>
                </c:pt>
                <c:pt idx="33">
                  <c:v>1860</c:v>
                </c:pt>
                <c:pt idx="34">
                  <c:v>1861</c:v>
                </c:pt>
                <c:pt idx="35">
                  <c:v>1862</c:v>
                </c:pt>
                <c:pt idx="36">
                  <c:v>1863</c:v>
                </c:pt>
                <c:pt idx="37">
                  <c:v>1864</c:v>
                </c:pt>
                <c:pt idx="38">
                  <c:v>1865</c:v>
                </c:pt>
                <c:pt idx="39">
                  <c:v>1866</c:v>
                </c:pt>
                <c:pt idx="40">
                  <c:v>1867</c:v>
                </c:pt>
                <c:pt idx="41">
                  <c:v>1868</c:v>
                </c:pt>
                <c:pt idx="42">
                  <c:v>1869</c:v>
                </c:pt>
                <c:pt idx="43">
                  <c:v>1870</c:v>
                </c:pt>
                <c:pt idx="44">
                  <c:v>1871</c:v>
                </c:pt>
                <c:pt idx="45">
                  <c:v>1872</c:v>
                </c:pt>
                <c:pt idx="46">
                  <c:v>1873</c:v>
                </c:pt>
                <c:pt idx="47">
                  <c:v>1874</c:v>
                </c:pt>
                <c:pt idx="48">
                  <c:v>1875</c:v>
                </c:pt>
                <c:pt idx="49">
                  <c:v>1876</c:v>
                </c:pt>
                <c:pt idx="50">
                  <c:v>1877</c:v>
                </c:pt>
                <c:pt idx="51">
                  <c:v>1878</c:v>
                </c:pt>
                <c:pt idx="52">
                  <c:v>1879</c:v>
                </c:pt>
                <c:pt idx="53">
                  <c:v>1880</c:v>
                </c:pt>
                <c:pt idx="54">
                  <c:v>1881</c:v>
                </c:pt>
                <c:pt idx="55">
                  <c:v>1882</c:v>
                </c:pt>
                <c:pt idx="56">
                  <c:v>1883</c:v>
                </c:pt>
                <c:pt idx="57">
                  <c:v>1884</c:v>
                </c:pt>
                <c:pt idx="58">
                  <c:v>1885</c:v>
                </c:pt>
                <c:pt idx="59">
                  <c:v>1886</c:v>
                </c:pt>
                <c:pt idx="60">
                  <c:v>1887</c:v>
                </c:pt>
                <c:pt idx="61">
                  <c:v>1888</c:v>
                </c:pt>
                <c:pt idx="62">
                  <c:v>1889</c:v>
                </c:pt>
                <c:pt idx="63">
                  <c:v>1890</c:v>
                </c:pt>
                <c:pt idx="64">
                  <c:v>1891</c:v>
                </c:pt>
                <c:pt idx="65">
                  <c:v>1892</c:v>
                </c:pt>
                <c:pt idx="66">
                  <c:v>1893</c:v>
                </c:pt>
                <c:pt idx="67">
                  <c:v>1894</c:v>
                </c:pt>
                <c:pt idx="68">
                  <c:v>1895</c:v>
                </c:pt>
                <c:pt idx="69">
                  <c:v>1896</c:v>
                </c:pt>
                <c:pt idx="70">
                  <c:v>1897</c:v>
                </c:pt>
                <c:pt idx="71">
                  <c:v>1898</c:v>
                </c:pt>
                <c:pt idx="72">
                  <c:v>1899</c:v>
                </c:pt>
                <c:pt idx="73">
                  <c:v>1900</c:v>
                </c:pt>
                <c:pt idx="74">
                  <c:v>1901</c:v>
                </c:pt>
                <c:pt idx="75">
                  <c:v>1902</c:v>
                </c:pt>
                <c:pt idx="76">
                  <c:v>1903</c:v>
                </c:pt>
                <c:pt idx="77">
                  <c:v>1904</c:v>
                </c:pt>
                <c:pt idx="78">
                  <c:v>1905</c:v>
                </c:pt>
                <c:pt idx="79">
                  <c:v>1906</c:v>
                </c:pt>
                <c:pt idx="80">
                  <c:v>1907</c:v>
                </c:pt>
                <c:pt idx="81">
                  <c:v>1908</c:v>
                </c:pt>
                <c:pt idx="82">
                  <c:v>1909</c:v>
                </c:pt>
                <c:pt idx="83">
                  <c:v>1910</c:v>
                </c:pt>
                <c:pt idx="84">
                  <c:v>1911</c:v>
                </c:pt>
                <c:pt idx="85">
                  <c:v>1912</c:v>
                </c:pt>
                <c:pt idx="86">
                  <c:v>1913</c:v>
                </c:pt>
                <c:pt idx="87">
                  <c:v>1914</c:v>
                </c:pt>
              </c:numCache>
            </c:numRef>
          </c:cat>
          <c:val>
            <c:numRef>
              <c:f>'19 век'!$G$6:$G$93</c:f>
              <c:numCache>
                <c:formatCode>0.00</c:formatCode>
                <c:ptCount val="88"/>
                <c:pt idx="0">
                  <c:v>8.6655766029782963</c:v>
                </c:pt>
                <c:pt idx="1">
                  <c:v>9.8462934338307342</c:v>
                </c:pt>
                <c:pt idx="2">
                  <c:v>10.148299878891635</c:v>
                </c:pt>
                <c:pt idx="3">
                  <c:v>11.331496618119976</c:v>
                </c:pt>
                <c:pt idx="4">
                  <c:v>8.2719788517794193</c:v>
                </c:pt>
                <c:pt idx="5">
                  <c:v>9.4449210067081104</c:v>
                </c:pt>
                <c:pt idx="6">
                  <c:v>8.1799669671629438</c:v>
                </c:pt>
                <c:pt idx="7">
                  <c:v>7.8794919253735678</c:v>
                </c:pt>
                <c:pt idx="8">
                  <c:v>7.6708902220717201</c:v>
                </c:pt>
                <c:pt idx="9">
                  <c:v>7.662302455579292</c:v>
                </c:pt>
                <c:pt idx="10">
                  <c:v>8.3231700553253507</c:v>
                </c:pt>
                <c:pt idx="11">
                  <c:v>5.8315093415787382</c:v>
                </c:pt>
                <c:pt idx="12">
                  <c:v>7.4273596618477837</c:v>
                </c:pt>
                <c:pt idx="13">
                  <c:v>7.1096167042295351</c:v>
                </c:pt>
                <c:pt idx="14">
                  <c:v>7.0659344912524817</c:v>
                </c:pt>
                <c:pt idx="15">
                  <c:v>6.8933800023748448</c:v>
                </c:pt>
                <c:pt idx="16">
                  <c:v>9.9595818063975905</c:v>
                </c:pt>
                <c:pt idx="17">
                  <c:v>8.9554727552328952</c:v>
                </c:pt>
                <c:pt idx="18">
                  <c:v>6.713870875286422</c:v>
                </c:pt>
                <c:pt idx="19">
                  <c:v>6.9824063463488901</c:v>
                </c:pt>
                <c:pt idx="20">
                  <c:v>9.5349432966365057</c:v>
                </c:pt>
                <c:pt idx="21">
                  <c:v>5.5605936362266153</c:v>
                </c:pt>
                <c:pt idx="22">
                  <c:v>6.2706491298602796</c:v>
                </c:pt>
                <c:pt idx="23">
                  <c:v>6.7406426330080729</c:v>
                </c:pt>
                <c:pt idx="24">
                  <c:v>10.563955400459802</c:v>
                </c:pt>
                <c:pt idx="25">
                  <c:v>10.748444229389612</c:v>
                </c:pt>
                <c:pt idx="26">
                  <c:v>10.96709283241011</c:v>
                </c:pt>
                <c:pt idx="27">
                  <c:v>29.96126997528425</c:v>
                </c:pt>
                <c:pt idx="28">
                  <c:v>46.597315008259642</c:v>
                </c:pt>
                <c:pt idx="29">
                  <c:v>14.297724368853162</c:v>
                </c:pt>
                <c:pt idx="30">
                  <c:v>13.179940442977585</c:v>
                </c:pt>
                <c:pt idx="31">
                  <c:v>11.967598193907515</c:v>
                </c:pt>
                <c:pt idx="32">
                  <c:v>12.211295115472778</c:v>
                </c:pt>
                <c:pt idx="33">
                  <c:v>13.500742662164106</c:v>
                </c:pt>
                <c:pt idx="34">
                  <c:v>13.532124974499801</c:v>
                </c:pt>
                <c:pt idx="35">
                  <c:v>16.253106159139712</c:v>
                </c:pt>
                <c:pt idx="36">
                  <c:v>17.374903861935778</c:v>
                </c:pt>
                <c:pt idx="37">
                  <c:v>15.071791156240225</c:v>
                </c:pt>
                <c:pt idx="38">
                  <c:v>15.748300159958212</c:v>
                </c:pt>
                <c:pt idx="39">
                  <c:v>16.076418051669091</c:v>
                </c:pt>
                <c:pt idx="40">
                  <c:v>17.171754721294189</c:v>
                </c:pt>
                <c:pt idx="41">
                  <c:v>20.446459764075225</c:v>
                </c:pt>
                <c:pt idx="42">
                  <c:v>21.144559041494361</c:v>
                </c:pt>
                <c:pt idx="43">
                  <c:v>21.134285393303632</c:v>
                </c:pt>
                <c:pt idx="44">
                  <c:v>20.286143269565134</c:v>
                </c:pt>
                <c:pt idx="45">
                  <c:v>23.64183023600031</c:v>
                </c:pt>
                <c:pt idx="46">
                  <c:v>30.181919442865791</c:v>
                </c:pt>
                <c:pt idx="47">
                  <c:v>31.603211023494172</c:v>
                </c:pt>
                <c:pt idx="48">
                  <c:v>28.772621345630878</c:v>
                </c:pt>
                <c:pt idx="49">
                  <c:v>30.071752178146422</c:v>
                </c:pt>
                <c:pt idx="50">
                  <c:v>37.264149601394926</c:v>
                </c:pt>
                <c:pt idx="51">
                  <c:v>28.368292601632021</c:v>
                </c:pt>
                <c:pt idx="52">
                  <c:v>29.733195063242139</c:v>
                </c:pt>
                <c:pt idx="53">
                  <c:v>27.697865121829462</c:v>
                </c:pt>
                <c:pt idx="54">
                  <c:v>29.398470897132484</c:v>
                </c:pt>
                <c:pt idx="55">
                  <c:v>28.815131444180313</c:v>
                </c:pt>
                <c:pt idx="56">
                  <c:v>29.493439272035321</c:v>
                </c:pt>
                <c:pt idx="57">
                  <c:v>31.033421283007439</c:v>
                </c:pt>
                <c:pt idx="58">
                  <c:v>26.48800532711293</c:v>
                </c:pt>
                <c:pt idx="59">
                  <c:v>24.624852424255987</c:v>
                </c:pt>
                <c:pt idx="60">
                  <c:v>24.697833381145777</c:v>
                </c:pt>
                <c:pt idx="61">
                  <c:v>23.313674579236839</c:v>
                </c:pt>
                <c:pt idx="62">
                  <c:v>25.616058978833255</c:v>
                </c:pt>
                <c:pt idx="63">
                  <c:v>25.661955769166894</c:v>
                </c:pt>
                <c:pt idx="64">
                  <c:v>27.27384964832482</c:v>
                </c:pt>
                <c:pt idx="65">
                  <c:v>29.067523162984994</c:v>
                </c:pt>
                <c:pt idx="66">
                  <c:v>22.125820622236443</c:v>
                </c:pt>
                <c:pt idx="67">
                  <c:v>22.110788556338477</c:v>
                </c:pt>
                <c:pt idx="68">
                  <c:v>26.01662292387288</c:v>
                </c:pt>
                <c:pt idx="69">
                  <c:v>26.722620718619854</c:v>
                </c:pt>
                <c:pt idx="70">
                  <c:v>24.11942474920199</c:v>
                </c:pt>
                <c:pt idx="71">
                  <c:v>24.490627197024949</c:v>
                </c:pt>
                <c:pt idx="72">
                  <c:v>26.087497497599184</c:v>
                </c:pt>
                <c:pt idx="73">
                  <c:v>26.190773459757487</c:v>
                </c:pt>
                <c:pt idx="74">
                  <c:v>23.484737472979305</c:v>
                </c:pt>
                <c:pt idx="75">
                  <c:v>23.61381611273395</c:v>
                </c:pt>
                <c:pt idx="76">
                  <c:v>23.281568414215368</c:v>
                </c:pt>
                <c:pt idx="77">
                  <c:v>23.335391613454171</c:v>
                </c:pt>
                <c:pt idx="78">
                  <c:v>23.698723643731125</c:v>
                </c:pt>
                <c:pt idx="79">
                  <c:v>26.000381643352938</c:v>
                </c:pt>
                <c:pt idx="80">
                  <c:v>27.638916776128696</c:v>
                </c:pt>
                <c:pt idx="81">
                  <c:v>27.948063383227868</c:v>
                </c:pt>
                <c:pt idx="82">
                  <c:v>27.115373654041274</c:v>
                </c:pt>
                <c:pt idx="83">
                  <c:v>26.957706802111257</c:v>
                </c:pt>
                <c:pt idx="84">
                  <c:v>30.823280596902876</c:v>
                </c:pt>
                <c:pt idx="85">
                  <c:v>29.880736173183507</c:v>
                </c:pt>
                <c:pt idx="86">
                  <c:v>29.838436734187322</c:v>
                </c:pt>
                <c:pt idx="87">
                  <c:v>26.059990236649767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A1F-4BB0-90DE-8898B3546052}"/>
            </c:ext>
          </c:extLst>
        </c:ser>
        <c:ser>
          <c:idx val="1"/>
          <c:order val="1"/>
          <c:tx>
            <c:v>Импорт,%</c:v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'19 век'!$B$6:$B$93</c:f>
              <c:numCache>
                <c:formatCode>General</c:formatCode>
                <c:ptCount val="88"/>
                <c:pt idx="0">
                  <c:v>1827</c:v>
                </c:pt>
                <c:pt idx="1">
                  <c:v>1828</c:v>
                </c:pt>
                <c:pt idx="2">
                  <c:v>1829</c:v>
                </c:pt>
                <c:pt idx="3">
                  <c:v>1830</c:v>
                </c:pt>
                <c:pt idx="4">
                  <c:v>1831</c:v>
                </c:pt>
                <c:pt idx="5">
                  <c:v>1832</c:v>
                </c:pt>
                <c:pt idx="6">
                  <c:v>1833</c:v>
                </c:pt>
                <c:pt idx="7">
                  <c:v>1834</c:v>
                </c:pt>
                <c:pt idx="8">
                  <c:v>1835</c:v>
                </c:pt>
                <c:pt idx="9">
                  <c:v>1836</c:v>
                </c:pt>
                <c:pt idx="10">
                  <c:v>1837</c:v>
                </c:pt>
                <c:pt idx="11">
                  <c:v>1838</c:v>
                </c:pt>
                <c:pt idx="12">
                  <c:v>1839</c:v>
                </c:pt>
                <c:pt idx="13">
                  <c:v>1840</c:v>
                </c:pt>
                <c:pt idx="14">
                  <c:v>1841</c:v>
                </c:pt>
                <c:pt idx="15">
                  <c:v>1842</c:v>
                </c:pt>
                <c:pt idx="16">
                  <c:v>1843</c:v>
                </c:pt>
                <c:pt idx="17">
                  <c:v>1844</c:v>
                </c:pt>
                <c:pt idx="18">
                  <c:v>1845</c:v>
                </c:pt>
                <c:pt idx="19">
                  <c:v>1846</c:v>
                </c:pt>
                <c:pt idx="20">
                  <c:v>1847</c:v>
                </c:pt>
                <c:pt idx="21">
                  <c:v>1848</c:v>
                </c:pt>
                <c:pt idx="22">
                  <c:v>1849</c:v>
                </c:pt>
                <c:pt idx="23">
                  <c:v>1850</c:v>
                </c:pt>
                <c:pt idx="24">
                  <c:v>1851</c:v>
                </c:pt>
                <c:pt idx="25">
                  <c:v>1852</c:v>
                </c:pt>
                <c:pt idx="26">
                  <c:v>1853</c:v>
                </c:pt>
                <c:pt idx="27">
                  <c:v>1854</c:v>
                </c:pt>
                <c:pt idx="28">
                  <c:v>1855</c:v>
                </c:pt>
                <c:pt idx="29">
                  <c:v>1856</c:v>
                </c:pt>
                <c:pt idx="30">
                  <c:v>1857</c:v>
                </c:pt>
                <c:pt idx="31">
                  <c:v>1858</c:v>
                </c:pt>
                <c:pt idx="32">
                  <c:v>1859</c:v>
                </c:pt>
                <c:pt idx="33">
                  <c:v>1860</c:v>
                </c:pt>
                <c:pt idx="34">
                  <c:v>1861</c:v>
                </c:pt>
                <c:pt idx="35">
                  <c:v>1862</c:v>
                </c:pt>
                <c:pt idx="36">
                  <c:v>1863</c:v>
                </c:pt>
                <c:pt idx="37">
                  <c:v>1864</c:v>
                </c:pt>
                <c:pt idx="38">
                  <c:v>1865</c:v>
                </c:pt>
                <c:pt idx="39">
                  <c:v>1866</c:v>
                </c:pt>
                <c:pt idx="40">
                  <c:v>1867</c:v>
                </c:pt>
                <c:pt idx="41">
                  <c:v>1868</c:v>
                </c:pt>
                <c:pt idx="42">
                  <c:v>1869</c:v>
                </c:pt>
                <c:pt idx="43">
                  <c:v>1870</c:v>
                </c:pt>
                <c:pt idx="44">
                  <c:v>1871</c:v>
                </c:pt>
                <c:pt idx="45">
                  <c:v>1872</c:v>
                </c:pt>
                <c:pt idx="46">
                  <c:v>1873</c:v>
                </c:pt>
                <c:pt idx="47">
                  <c:v>1874</c:v>
                </c:pt>
                <c:pt idx="48">
                  <c:v>1875</c:v>
                </c:pt>
                <c:pt idx="49">
                  <c:v>1876</c:v>
                </c:pt>
                <c:pt idx="50">
                  <c:v>1877</c:v>
                </c:pt>
                <c:pt idx="51">
                  <c:v>1878</c:v>
                </c:pt>
                <c:pt idx="52">
                  <c:v>1879</c:v>
                </c:pt>
                <c:pt idx="53">
                  <c:v>1880</c:v>
                </c:pt>
                <c:pt idx="54">
                  <c:v>1881</c:v>
                </c:pt>
                <c:pt idx="55">
                  <c:v>1882</c:v>
                </c:pt>
                <c:pt idx="56">
                  <c:v>1883</c:v>
                </c:pt>
                <c:pt idx="57">
                  <c:v>1884</c:v>
                </c:pt>
                <c:pt idx="58">
                  <c:v>1885</c:v>
                </c:pt>
                <c:pt idx="59">
                  <c:v>1886</c:v>
                </c:pt>
                <c:pt idx="60">
                  <c:v>1887</c:v>
                </c:pt>
                <c:pt idx="61">
                  <c:v>1888</c:v>
                </c:pt>
                <c:pt idx="62">
                  <c:v>1889</c:v>
                </c:pt>
                <c:pt idx="63">
                  <c:v>1890</c:v>
                </c:pt>
                <c:pt idx="64">
                  <c:v>1891</c:v>
                </c:pt>
                <c:pt idx="65">
                  <c:v>1892</c:v>
                </c:pt>
                <c:pt idx="66">
                  <c:v>1893</c:v>
                </c:pt>
                <c:pt idx="67">
                  <c:v>1894</c:v>
                </c:pt>
                <c:pt idx="68">
                  <c:v>1895</c:v>
                </c:pt>
                <c:pt idx="69">
                  <c:v>1896</c:v>
                </c:pt>
                <c:pt idx="70">
                  <c:v>1897</c:v>
                </c:pt>
                <c:pt idx="71">
                  <c:v>1898</c:v>
                </c:pt>
                <c:pt idx="72">
                  <c:v>1899</c:v>
                </c:pt>
                <c:pt idx="73">
                  <c:v>1900</c:v>
                </c:pt>
                <c:pt idx="74">
                  <c:v>1901</c:v>
                </c:pt>
                <c:pt idx="75">
                  <c:v>1902</c:v>
                </c:pt>
                <c:pt idx="76">
                  <c:v>1903</c:v>
                </c:pt>
                <c:pt idx="77">
                  <c:v>1904</c:v>
                </c:pt>
                <c:pt idx="78">
                  <c:v>1905</c:v>
                </c:pt>
                <c:pt idx="79">
                  <c:v>1906</c:v>
                </c:pt>
                <c:pt idx="80">
                  <c:v>1907</c:v>
                </c:pt>
                <c:pt idx="81">
                  <c:v>1908</c:v>
                </c:pt>
                <c:pt idx="82">
                  <c:v>1909</c:v>
                </c:pt>
                <c:pt idx="83">
                  <c:v>1910</c:v>
                </c:pt>
                <c:pt idx="84">
                  <c:v>1911</c:v>
                </c:pt>
                <c:pt idx="85">
                  <c:v>1912</c:v>
                </c:pt>
                <c:pt idx="86">
                  <c:v>1913</c:v>
                </c:pt>
                <c:pt idx="87">
                  <c:v>1914</c:v>
                </c:pt>
              </c:numCache>
            </c:numRef>
          </c:cat>
          <c:val>
            <c:numRef>
              <c:f>'19 век'!$N$6:$N$93</c:f>
              <c:numCache>
                <c:formatCode>_(* #,##0.00_);_(* \(#,##0.00\);_(* "-"??_);_(@_)</c:formatCode>
                <c:ptCount val="88"/>
                <c:pt idx="0">
                  <c:v>13.640068647776737</c:v>
                </c:pt>
                <c:pt idx="1">
                  <c:v>14.786245685164829</c:v>
                </c:pt>
                <c:pt idx="2">
                  <c:v>13.622707633988623</c:v>
                </c:pt>
                <c:pt idx="3">
                  <c:v>13.497378717867287</c:v>
                </c:pt>
                <c:pt idx="4">
                  <c:v>13.93126219994231</c:v>
                </c:pt>
                <c:pt idx="5">
                  <c:v>18.304775689343682</c:v>
                </c:pt>
                <c:pt idx="6">
                  <c:v>15.664473544596557</c:v>
                </c:pt>
                <c:pt idx="7">
                  <c:v>20.323093571417068</c:v>
                </c:pt>
                <c:pt idx="8">
                  <c:v>16.084391938242479</c:v>
                </c:pt>
                <c:pt idx="9">
                  <c:v>14.752598262894379</c:v>
                </c:pt>
                <c:pt idx="10">
                  <c:v>16.531198234718051</c:v>
                </c:pt>
                <c:pt idx="11">
                  <c:v>15.637076101804725</c:v>
                </c:pt>
                <c:pt idx="12">
                  <c:v>17.20716193083307</c:v>
                </c:pt>
                <c:pt idx="13">
                  <c:v>16.942123103240725</c:v>
                </c:pt>
                <c:pt idx="14">
                  <c:v>16.055472621955492</c:v>
                </c:pt>
                <c:pt idx="15">
                  <c:v>16.669506723048848</c:v>
                </c:pt>
                <c:pt idx="16">
                  <c:v>18.851928321168096</c:v>
                </c:pt>
                <c:pt idx="17">
                  <c:v>15.394183138866479</c:v>
                </c:pt>
                <c:pt idx="18">
                  <c:v>15.538622907760589</c:v>
                </c:pt>
                <c:pt idx="19">
                  <c:v>14.861500940005268</c:v>
                </c:pt>
                <c:pt idx="20">
                  <c:v>16.022812554978575</c:v>
                </c:pt>
                <c:pt idx="21">
                  <c:v>14.888327139230379</c:v>
                </c:pt>
                <c:pt idx="22">
                  <c:v>14.55364552669389</c:v>
                </c:pt>
                <c:pt idx="23">
                  <c:v>14.007909706447826</c:v>
                </c:pt>
                <c:pt idx="24">
                  <c:v>19.153140907080065</c:v>
                </c:pt>
                <c:pt idx="25">
                  <c:v>18.853379993102003</c:v>
                </c:pt>
                <c:pt idx="26">
                  <c:v>21.4607103432968</c:v>
                </c:pt>
                <c:pt idx="27">
                  <c:v>33.827057806487588</c:v>
                </c:pt>
                <c:pt idx="28">
                  <c:v>59.569880176282538</c:v>
                </c:pt>
                <c:pt idx="29">
                  <c:v>33.46855556288606</c:v>
                </c:pt>
                <c:pt idx="30">
                  <c:v>24.893091059295148</c:v>
                </c:pt>
                <c:pt idx="31">
                  <c:v>21.78928124473881</c:v>
                </c:pt>
                <c:pt idx="32">
                  <c:v>22.613147515392274</c:v>
                </c:pt>
                <c:pt idx="33">
                  <c:v>22.985389420897814</c:v>
                </c:pt>
                <c:pt idx="34">
                  <c:v>22.681197101107525</c:v>
                </c:pt>
                <c:pt idx="35">
                  <c:v>27.160765994222878</c:v>
                </c:pt>
                <c:pt idx="36">
                  <c:v>25.320614219490594</c:v>
                </c:pt>
                <c:pt idx="37">
                  <c:v>24.088552033588627</c:v>
                </c:pt>
                <c:pt idx="38">
                  <c:v>32.835967343043535</c:v>
                </c:pt>
                <c:pt idx="39">
                  <c:v>36.088908169681446</c:v>
                </c:pt>
                <c:pt idx="40">
                  <c:v>37.853692821444284</c:v>
                </c:pt>
                <c:pt idx="41">
                  <c:v>43.327958529515193</c:v>
                </c:pt>
                <c:pt idx="42">
                  <c:v>40.377452528550343</c:v>
                </c:pt>
                <c:pt idx="43">
                  <c:v>39.513555584994236</c:v>
                </c:pt>
                <c:pt idx="44">
                  <c:v>42.801919132631582</c:v>
                </c:pt>
                <c:pt idx="45">
                  <c:v>38.828925676115809</c:v>
                </c:pt>
                <c:pt idx="46">
                  <c:v>37.410834821055658</c:v>
                </c:pt>
                <c:pt idx="47">
                  <c:v>38.361642716514474</c:v>
                </c:pt>
                <c:pt idx="48">
                  <c:v>40.682787680119517</c:v>
                </c:pt>
                <c:pt idx="49">
                  <c:v>43.430722770232755</c:v>
                </c:pt>
                <c:pt idx="50">
                  <c:v>42.802132107042326</c:v>
                </c:pt>
                <c:pt idx="51">
                  <c:v>43.634240242438054</c:v>
                </c:pt>
                <c:pt idx="52">
                  <c:v>45.170514271291559</c:v>
                </c:pt>
                <c:pt idx="53">
                  <c:v>45.377296381728748</c:v>
                </c:pt>
                <c:pt idx="54">
                  <c:v>40.685480732270996</c:v>
                </c:pt>
                <c:pt idx="55">
                  <c:v>37.710822836900512</c:v>
                </c:pt>
                <c:pt idx="56">
                  <c:v>30.02412491740904</c:v>
                </c:pt>
                <c:pt idx="57">
                  <c:v>32.694823360881955</c:v>
                </c:pt>
                <c:pt idx="58">
                  <c:v>33.205965338908442</c:v>
                </c:pt>
                <c:pt idx="59">
                  <c:v>30.88815634851219</c:v>
                </c:pt>
                <c:pt idx="60">
                  <c:v>28.663778708183109</c:v>
                </c:pt>
                <c:pt idx="61">
                  <c:v>31.382036346040326</c:v>
                </c:pt>
                <c:pt idx="62">
                  <c:v>28.302203495609895</c:v>
                </c:pt>
                <c:pt idx="63">
                  <c:v>27.370488267586758</c:v>
                </c:pt>
                <c:pt idx="64">
                  <c:v>27.040551150470094</c:v>
                </c:pt>
                <c:pt idx="65">
                  <c:v>25.169125260343456</c:v>
                </c:pt>
                <c:pt idx="66">
                  <c:v>21.828178711327382</c:v>
                </c:pt>
                <c:pt idx="67">
                  <c:v>25.55097486181387</c:v>
                </c:pt>
                <c:pt idx="68">
                  <c:v>32.617267158326321</c:v>
                </c:pt>
                <c:pt idx="69">
                  <c:v>32.242487649966492</c:v>
                </c:pt>
                <c:pt idx="70">
                  <c:v>32.119990563535538</c:v>
                </c:pt>
                <c:pt idx="71">
                  <c:v>32.746738527062988</c:v>
                </c:pt>
                <c:pt idx="72">
                  <c:v>35.492138693968187</c:v>
                </c:pt>
                <c:pt idx="73">
                  <c:v>34.620282775772502</c:v>
                </c:pt>
                <c:pt idx="74">
                  <c:v>35.548535349653079</c:v>
                </c:pt>
                <c:pt idx="75">
                  <c:v>34.794505653352978</c:v>
                </c:pt>
                <c:pt idx="76">
                  <c:v>35.485970834013521</c:v>
                </c:pt>
                <c:pt idx="77">
                  <c:v>35.025176272532057</c:v>
                </c:pt>
                <c:pt idx="78">
                  <c:v>37.854823209904062</c:v>
                </c:pt>
                <c:pt idx="79">
                  <c:v>37.270562892500372</c:v>
                </c:pt>
                <c:pt idx="80">
                  <c:v>39.81368042795863</c:v>
                </c:pt>
                <c:pt idx="81">
                  <c:v>38.177010752401642</c:v>
                </c:pt>
                <c:pt idx="82">
                  <c:v>40.080392476211372</c:v>
                </c:pt>
                <c:pt idx="83">
                  <c:v>41.476887033332737</c:v>
                </c:pt>
                <c:pt idx="84">
                  <c:v>41.989160685145215</c:v>
                </c:pt>
                <c:pt idx="85">
                  <c:v>45.43081647162446</c:v>
                </c:pt>
                <c:pt idx="86">
                  <c:v>47.466715295258417</c:v>
                </c:pt>
                <c:pt idx="87">
                  <c:v>39.13720510797674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A1F-4BB0-90DE-8898B35460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977839215"/>
        <c:axId val="986134399"/>
      </c:lineChart>
      <c:catAx>
        <c:axId val="9778392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spc="2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86134399"/>
        <c:crosses val="autoZero"/>
        <c:auto val="1"/>
        <c:lblAlgn val="ctr"/>
        <c:lblOffset val="100"/>
        <c:noMultiLvlLbl val="0"/>
      </c:catAx>
      <c:valAx>
        <c:axId val="986134399"/>
        <c:scaling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spc="2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7839215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Экспорт СССР в Германию, тыс.руб.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Экспорт, всего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'20 век'!$E$35:$E$44</c:f>
              <c:numCache>
                <c:formatCode>General</c:formatCode>
                <c:ptCount val="10"/>
                <c:pt idx="0">
                  <c:v>1923</c:v>
                </c:pt>
                <c:pt idx="1">
                  <c:v>1930</c:v>
                </c:pt>
                <c:pt idx="2">
                  <c:v>1931</c:v>
                </c:pt>
                <c:pt idx="3">
                  <c:v>1940</c:v>
                </c:pt>
                <c:pt idx="4">
                  <c:v>1950</c:v>
                </c:pt>
                <c:pt idx="5">
                  <c:v>1960</c:v>
                </c:pt>
                <c:pt idx="6">
                  <c:v>1970</c:v>
                </c:pt>
                <c:pt idx="7">
                  <c:v>1980</c:v>
                </c:pt>
                <c:pt idx="8">
                  <c:v>1989</c:v>
                </c:pt>
                <c:pt idx="9">
                  <c:v>1990</c:v>
                </c:pt>
              </c:numCache>
            </c:numRef>
          </c:cat>
          <c:val>
            <c:numRef>
              <c:f>'20 век'!$F$35:$F$44</c:f>
              <c:numCache>
                <c:formatCode>_(* #,##0.00_);_(* \(#,##0.00\);_(* "-"??_);_(@_)</c:formatCode>
                <c:ptCount val="10"/>
                <c:pt idx="0">
                  <c:v>150929</c:v>
                </c:pt>
                <c:pt idx="1">
                  <c:v>716892</c:v>
                </c:pt>
                <c:pt idx="2">
                  <c:v>450756</c:v>
                </c:pt>
                <c:pt idx="3">
                  <c:v>555862</c:v>
                </c:pt>
                <c:pt idx="4">
                  <c:v>167200</c:v>
                </c:pt>
                <c:pt idx="5">
                  <c:v>1053400</c:v>
                </c:pt>
                <c:pt idx="6">
                  <c:v>1961500</c:v>
                </c:pt>
                <c:pt idx="7">
                  <c:v>6776400</c:v>
                </c:pt>
                <c:pt idx="8">
                  <c:v>9309700</c:v>
                </c:pt>
                <c:pt idx="9">
                  <c:v>6929700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F5C-47B7-A4D8-40EE99A19BA9}"/>
            </c:ext>
          </c:extLst>
        </c:ser>
        <c:ser>
          <c:idx val="1"/>
          <c:order val="1"/>
          <c:tx>
            <c:v>Нефть и нефтепродукты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'20 век'!$E$35:$E$44</c:f>
              <c:numCache>
                <c:formatCode>General</c:formatCode>
                <c:ptCount val="10"/>
                <c:pt idx="0">
                  <c:v>1923</c:v>
                </c:pt>
                <c:pt idx="1">
                  <c:v>1930</c:v>
                </c:pt>
                <c:pt idx="2">
                  <c:v>1931</c:v>
                </c:pt>
                <c:pt idx="3">
                  <c:v>1940</c:v>
                </c:pt>
                <c:pt idx="4">
                  <c:v>1950</c:v>
                </c:pt>
                <c:pt idx="5">
                  <c:v>1960</c:v>
                </c:pt>
                <c:pt idx="6">
                  <c:v>1970</c:v>
                </c:pt>
                <c:pt idx="7">
                  <c:v>1980</c:v>
                </c:pt>
                <c:pt idx="8">
                  <c:v>1989</c:v>
                </c:pt>
                <c:pt idx="9">
                  <c:v>1990</c:v>
                </c:pt>
              </c:numCache>
            </c:numRef>
          </c:cat>
          <c:val>
            <c:numRef>
              <c:f>'20 век'!$G$35:$G$44</c:f>
              <c:numCache>
                <c:formatCode>_(* #,##0.00_);_(* \(#,##0.00\);_(* "-"??_);_(@_)</c:formatCode>
                <c:ptCount val="10"/>
                <c:pt idx="0">
                  <c:v>12122</c:v>
                </c:pt>
                <c:pt idx="1">
                  <c:v>61087</c:v>
                </c:pt>
                <c:pt idx="2">
                  <c:v>38674</c:v>
                </c:pt>
                <c:pt idx="3">
                  <c:v>102893</c:v>
                </c:pt>
                <c:pt idx="4">
                  <c:v>2600</c:v>
                </c:pt>
                <c:pt idx="5">
                  <c:v>67537</c:v>
                </c:pt>
                <c:pt idx="6">
                  <c:v>204840</c:v>
                </c:pt>
                <c:pt idx="7">
                  <c:v>3024995</c:v>
                </c:pt>
                <c:pt idx="8">
                  <c:v>3400720</c:v>
                </c:pt>
                <c:pt idx="9">
                  <c:v>2577963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F5C-47B7-A4D8-40EE99A19BA9}"/>
            </c:ext>
          </c:extLst>
        </c:ser>
        <c:ser>
          <c:idx val="2"/>
          <c:order val="2"/>
          <c:tx>
            <c:v>Газ горючий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'20 век'!$E$35:$E$44</c:f>
              <c:numCache>
                <c:formatCode>General</c:formatCode>
                <c:ptCount val="10"/>
                <c:pt idx="0">
                  <c:v>1923</c:v>
                </c:pt>
                <c:pt idx="1">
                  <c:v>1930</c:v>
                </c:pt>
                <c:pt idx="2">
                  <c:v>1931</c:v>
                </c:pt>
                <c:pt idx="3">
                  <c:v>1940</c:v>
                </c:pt>
                <c:pt idx="4">
                  <c:v>1950</c:v>
                </c:pt>
                <c:pt idx="5">
                  <c:v>1960</c:v>
                </c:pt>
                <c:pt idx="6">
                  <c:v>1970</c:v>
                </c:pt>
                <c:pt idx="7">
                  <c:v>1980</c:v>
                </c:pt>
                <c:pt idx="8">
                  <c:v>1989</c:v>
                </c:pt>
                <c:pt idx="9">
                  <c:v>1990</c:v>
                </c:pt>
              </c:numCache>
            </c:numRef>
          </c:cat>
          <c:val>
            <c:numRef>
              <c:f>'20 век'!$I$35:$I$44</c:f>
              <c:numCache>
                <c:formatCode>General</c:formatCode>
                <c:ptCount val="10"/>
                <c:pt idx="6" formatCode="_(* #,##0.00_);_(* \(#,##0.00\);_(* &quot;-&quot;??_);_(@_)">
                  <c:v>1400</c:v>
                </c:pt>
                <c:pt idx="7" formatCode="_(* #,##0.00_);_(* \(#,##0.00\);_(* &quot;-&quot;??_);_(@_)">
                  <c:v>1084380</c:v>
                </c:pt>
                <c:pt idx="8" formatCode="_(* #,##0.00_);_(* \(#,##0.00\);_(* &quot;-&quot;??_);_(@_)">
                  <c:v>1364125</c:v>
                </c:pt>
                <c:pt idx="9" formatCode="_(* #,##0.00_);_(* \(#,##0.00\);_(* &quot;-&quot;??_);_(@_)">
                  <c:v>1520675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F5C-47B7-A4D8-40EE99A19B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8183535"/>
        <c:axId val="915609391"/>
      </c:lineChart>
      <c:catAx>
        <c:axId val="9781835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15609391"/>
        <c:crosses val="autoZero"/>
        <c:auto val="1"/>
        <c:lblAlgn val="ctr"/>
        <c:lblOffset val="100"/>
        <c:noMultiLvlLbl val="0"/>
      </c:catAx>
      <c:valAx>
        <c:axId val="9156093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81835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Импорт СССР из Германии, тыс.руб.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Импорт, всего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'20 век'!$E$35:$E$44</c:f>
              <c:numCache>
                <c:formatCode>General</c:formatCode>
                <c:ptCount val="10"/>
                <c:pt idx="0">
                  <c:v>1923</c:v>
                </c:pt>
                <c:pt idx="1">
                  <c:v>1930</c:v>
                </c:pt>
                <c:pt idx="2">
                  <c:v>1931</c:v>
                </c:pt>
                <c:pt idx="3">
                  <c:v>1940</c:v>
                </c:pt>
                <c:pt idx="4">
                  <c:v>1950</c:v>
                </c:pt>
                <c:pt idx="5">
                  <c:v>1960</c:v>
                </c:pt>
                <c:pt idx="6">
                  <c:v>1970</c:v>
                </c:pt>
                <c:pt idx="7">
                  <c:v>1980</c:v>
                </c:pt>
                <c:pt idx="8">
                  <c:v>1989</c:v>
                </c:pt>
                <c:pt idx="9">
                  <c:v>1990</c:v>
                </c:pt>
              </c:numCache>
            </c:numRef>
          </c:cat>
          <c:val>
            <c:numRef>
              <c:f>'20 век'!$K$35:$K$44</c:f>
              <c:numCache>
                <c:formatCode>_(* #,##0.00_);_(* \(#,##0.00\);_(* "-"??_);_(@_)</c:formatCode>
                <c:ptCount val="10"/>
                <c:pt idx="0">
                  <c:v>214156</c:v>
                </c:pt>
                <c:pt idx="1">
                  <c:v>874161</c:v>
                </c:pt>
                <c:pt idx="2">
                  <c:v>1431139</c:v>
                </c:pt>
                <c:pt idx="3">
                  <c:v>316301</c:v>
                </c:pt>
                <c:pt idx="4">
                  <c:v>144100</c:v>
                </c:pt>
                <c:pt idx="5">
                  <c:v>1015700</c:v>
                </c:pt>
                <c:pt idx="6">
                  <c:v>1877500</c:v>
                </c:pt>
                <c:pt idx="7">
                  <c:v>7247200</c:v>
                </c:pt>
                <c:pt idx="8">
                  <c:v>11355000</c:v>
                </c:pt>
                <c:pt idx="9">
                  <c:v>12533400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782-45AB-ADEC-2E201223C16C}"/>
            </c:ext>
          </c:extLst>
        </c:ser>
        <c:ser>
          <c:idx val="1"/>
          <c:order val="1"/>
          <c:tx>
            <c:v>Машины, оборудование и транспортные средства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'20 век'!$E$35:$E$44</c:f>
              <c:numCache>
                <c:formatCode>General</c:formatCode>
                <c:ptCount val="10"/>
                <c:pt idx="0">
                  <c:v>1923</c:v>
                </c:pt>
                <c:pt idx="1">
                  <c:v>1930</c:v>
                </c:pt>
                <c:pt idx="2">
                  <c:v>1931</c:v>
                </c:pt>
                <c:pt idx="3">
                  <c:v>1940</c:v>
                </c:pt>
                <c:pt idx="4">
                  <c:v>1950</c:v>
                </c:pt>
                <c:pt idx="5">
                  <c:v>1960</c:v>
                </c:pt>
                <c:pt idx="6">
                  <c:v>1970</c:v>
                </c:pt>
                <c:pt idx="7">
                  <c:v>1980</c:v>
                </c:pt>
                <c:pt idx="8">
                  <c:v>1989</c:v>
                </c:pt>
                <c:pt idx="9">
                  <c:v>1990</c:v>
                </c:pt>
              </c:numCache>
            </c:numRef>
          </c:cat>
          <c:val>
            <c:numRef>
              <c:f>'20 век'!$L$35:$L$44</c:f>
              <c:numCache>
                <c:formatCode>_(* #,##0.00_);_(* \(#,##0.00\);_(* "-"??_);_(@_)</c:formatCode>
                <c:ptCount val="10"/>
                <c:pt idx="0">
                  <c:v>59124</c:v>
                </c:pt>
                <c:pt idx="1">
                  <c:v>571822</c:v>
                </c:pt>
                <c:pt idx="2">
                  <c:v>825424</c:v>
                </c:pt>
                <c:pt idx="3">
                  <c:v>147652</c:v>
                </c:pt>
                <c:pt idx="4">
                  <c:v>55500</c:v>
                </c:pt>
                <c:pt idx="5">
                  <c:v>605918</c:v>
                </c:pt>
                <c:pt idx="6">
                  <c:v>1015812</c:v>
                </c:pt>
                <c:pt idx="7">
                  <c:v>3969946</c:v>
                </c:pt>
                <c:pt idx="8">
                  <c:v>6395133</c:v>
                </c:pt>
                <c:pt idx="9">
                  <c:v>7810136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782-45AB-ADEC-2E201223C1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3542223"/>
        <c:axId val="915603983"/>
      </c:lineChart>
      <c:catAx>
        <c:axId val="913542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15603983"/>
        <c:crosses val="autoZero"/>
        <c:auto val="1"/>
        <c:lblAlgn val="ctr"/>
        <c:lblOffset val="100"/>
        <c:noMultiLvlLbl val="0"/>
      </c:catAx>
      <c:valAx>
        <c:axId val="915603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135422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Динамика цен на нефть, долл. США/баррель (</a:t>
            </a:r>
            <a:r>
              <a:rPr lang="en-US"/>
              <a:t>Brent)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none" spc="2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Лист1!$O$12:$O$41</c:f>
              <c:numCache>
                <c:formatCode>General</c:formatCode>
                <c:ptCount val="30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</c:numCache>
            </c:numRef>
          </c:cat>
          <c:val>
            <c:numRef>
              <c:f>Лист1!$P$12:$P$41</c:f>
              <c:numCache>
                <c:formatCode>_-[$$-409]* #,##0.00_ ;_-[$$-409]* \-#,##0.00\ ;_-[$$-409]* "-"??_ ;_-@_ </c:formatCode>
                <c:ptCount val="30"/>
                <c:pt idx="0">
                  <c:v>22.26</c:v>
                </c:pt>
                <c:pt idx="1">
                  <c:v>18.62</c:v>
                </c:pt>
                <c:pt idx="2">
                  <c:v>18.440000000000001</c:v>
                </c:pt>
                <c:pt idx="3">
                  <c:v>16.329999999999998</c:v>
                </c:pt>
                <c:pt idx="4">
                  <c:v>15.53</c:v>
                </c:pt>
                <c:pt idx="5">
                  <c:v>16.86</c:v>
                </c:pt>
                <c:pt idx="6">
                  <c:v>20.29</c:v>
                </c:pt>
                <c:pt idx="7">
                  <c:v>18.86</c:v>
                </c:pt>
                <c:pt idx="8">
                  <c:v>12.28</c:v>
                </c:pt>
                <c:pt idx="9">
                  <c:v>17.440000000000001</c:v>
                </c:pt>
                <c:pt idx="10">
                  <c:v>28</c:v>
                </c:pt>
                <c:pt idx="11">
                  <c:v>24.43</c:v>
                </c:pt>
                <c:pt idx="12">
                  <c:v>25.29</c:v>
                </c:pt>
                <c:pt idx="13">
                  <c:v>28.44</c:v>
                </c:pt>
                <c:pt idx="14">
                  <c:v>38.869999999999997</c:v>
                </c:pt>
                <c:pt idx="15">
                  <c:v>55.85</c:v>
                </c:pt>
                <c:pt idx="16">
                  <c:v>66.709999999999994</c:v>
                </c:pt>
                <c:pt idx="17">
                  <c:v>74.75</c:v>
                </c:pt>
                <c:pt idx="18">
                  <c:v>97.28</c:v>
                </c:pt>
                <c:pt idx="19">
                  <c:v>64.180000000000007</c:v>
                </c:pt>
                <c:pt idx="20">
                  <c:v>80.319999999999993</c:v>
                </c:pt>
                <c:pt idx="21">
                  <c:v>112.41</c:v>
                </c:pt>
                <c:pt idx="22">
                  <c:v>110.7</c:v>
                </c:pt>
                <c:pt idx="23">
                  <c:v>108.69</c:v>
                </c:pt>
                <c:pt idx="24">
                  <c:v>97.64</c:v>
                </c:pt>
                <c:pt idx="25">
                  <c:v>53.41</c:v>
                </c:pt>
                <c:pt idx="26">
                  <c:v>46.1</c:v>
                </c:pt>
                <c:pt idx="27">
                  <c:v>55.55</c:v>
                </c:pt>
                <c:pt idx="28">
                  <c:v>71.38</c:v>
                </c:pt>
                <c:pt idx="29">
                  <c:v>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C9C-4928-A9A0-EA53792841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091257728"/>
        <c:axId val="1009679984"/>
      </c:lineChart>
      <c:catAx>
        <c:axId val="109125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09679984"/>
        <c:crosses val="autoZero"/>
        <c:auto val="1"/>
        <c:lblAlgn val="ctr"/>
        <c:lblOffset val="100"/>
        <c:noMultiLvlLbl val="0"/>
      </c:catAx>
      <c:valAx>
        <c:axId val="1009679984"/>
        <c:scaling>
          <c:orientation val="minMax"/>
        </c:scaling>
        <c:delete val="0"/>
        <c:axPos val="l"/>
        <c:numFmt formatCode="_-[$$-409]* #,##0.00_ ;_-[$$-409]* \-#,##0.00\ ;_-[$$-409]* &quot;-&quot;??_ ;_-@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1257728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Прямые иностранные инвестиции из ФРГ в РФ, млрд. евро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none" spc="2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Лист1!$B$2:$B$28</c:f>
              <c:numCache>
                <c:formatCode>General</c:formatCode>
                <c:ptCount val="2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  <c:pt idx="26">
                  <c:v>2018</c:v>
                </c:pt>
              </c:numCache>
            </c:num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0.03</c:v>
                </c:pt>
                <c:pt idx="1">
                  <c:v>0.06</c:v>
                </c:pt>
                <c:pt idx="2">
                  <c:v>0.3</c:v>
                </c:pt>
                <c:pt idx="3">
                  <c:v>0.24</c:v>
                </c:pt>
                <c:pt idx="4">
                  <c:v>0.43</c:v>
                </c:pt>
                <c:pt idx="5">
                  <c:v>0.34</c:v>
                </c:pt>
                <c:pt idx="6">
                  <c:v>0.65</c:v>
                </c:pt>
                <c:pt idx="7">
                  <c:v>0.35</c:v>
                </c:pt>
                <c:pt idx="8">
                  <c:v>0.27</c:v>
                </c:pt>
                <c:pt idx="9">
                  <c:v>0.3</c:v>
                </c:pt>
                <c:pt idx="10">
                  <c:v>0.32</c:v>
                </c:pt>
                <c:pt idx="11">
                  <c:v>-7.0000000000000007E-2</c:v>
                </c:pt>
                <c:pt idx="12">
                  <c:v>-0.49</c:v>
                </c:pt>
                <c:pt idx="13">
                  <c:v>0.21</c:v>
                </c:pt>
                <c:pt idx="14">
                  <c:v>3.3</c:v>
                </c:pt>
                <c:pt idx="15">
                  <c:v>7.4</c:v>
                </c:pt>
                <c:pt idx="16">
                  <c:v>3.6</c:v>
                </c:pt>
                <c:pt idx="17">
                  <c:v>0.57999999999999996</c:v>
                </c:pt>
                <c:pt idx="18">
                  <c:v>1.9</c:v>
                </c:pt>
                <c:pt idx="19">
                  <c:v>1.1499999999999999</c:v>
                </c:pt>
                <c:pt idx="20">
                  <c:v>0.57999999999999996</c:v>
                </c:pt>
                <c:pt idx="21">
                  <c:v>0.76</c:v>
                </c:pt>
                <c:pt idx="22">
                  <c:v>-2.92</c:v>
                </c:pt>
                <c:pt idx="23">
                  <c:v>0.21</c:v>
                </c:pt>
                <c:pt idx="24">
                  <c:v>1.34</c:v>
                </c:pt>
                <c:pt idx="25">
                  <c:v>2.82</c:v>
                </c:pt>
                <c:pt idx="26">
                  <c:v>3.26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C6E-481D-A592-E23C01906C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091290928"/>
        <c:axId val="1086084080"/>
      </c:lineChart>
      <c:catAx>
        <c:axId val="109129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86084080"/>
        <c:crosses val="autoZero"/>
        <c:auto val="1"/>
        <c:lblAlgn val="ctr"/>
        <c:lblOffset val="100"/>
        <c:noMultiLvlLbl val="0"/>
      </c:catAx>
      <c:valAx>
        <c:axId val="1086084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1290928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Степень износа основных фондов,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none" spc="2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[STIZN_vs.xlsx]Лист1!$B$9:$B$37</c:f>
              <c:numCache>
                <c:formatCode>General</c:formatCode>
                <c:ptCount val="29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</c:numCache>
            </c:numRef>
          </c:cat>
          <c:val>
            <c:numRef>
              <c:f>[STIZN_vs.xlsx]Лист1!$C$9:$C$37</c:f>
              <c:numCache>
                <c:formatCode>0.0</c:formatCode>
                <c:ptCount val="29"/>
                <c:pt idx="0">
                  <c:v>35.6</c:v>
                </c:pt>
                <c:pt idx="1">
                  <c:v>35.4</c:v>
                </c:pt>
                <c:pt idx="2">
                  <c:v>42.5</c:v>
                </c:pt>
                <c:pt idx="3">
                  <c:v>33.700000000000003</c:v>
                </c:pt>
                <c:pt idx="4">
                  <c:v>41.3</c:v>
                </c:pt>
                <c:pt idx="5">
                  <c:v>39.5</c:v>
                </c:pt>
                <c:pt idx="6">
                  <c:v>37.799999999999997</c:v>
                </c:pt>
                <c:pt idx="7">
                  <c:v>41</c:v>
                </c:pt>
                <c:pt idx="8">
                  <c:v>41.6</c:v>
                </c:pt>
                <c:pt idx="9">
                  <c:v>41.7</c:v>
                </c:pt>
                <c:pt idx="10">
                  <c:v>39.299999999999997</c:v>
                </c:pt>
                <c:pt idx="11">
                  <c:v>41.1</c:v>
                </c:pt>
                <c:pt idx="12">
                  <c:v>44</c:v>
                </c:pt>
                <c:pt idx="13">
                  <c:v>43</c:v>
                </c:pt>
                <c:pt idx="14">
                  <c:v>43.5</c:v>
                </c:pt>
                <c:pt idx="15">
                  <c:v>45.2</c:v>
                </c:pt>
                <c:pt idx="16">
                  <c:v>46.3</c:v>
                </c:pt>
                <c:pt idx="17">
                  <c:v>46.2</c:v>
                </c:pt>
                <c:pt idx="18">
                  <c:v>45.3</c:v>
                </c:pt>
                <c:pt idx="19">
                  <c:v>45.3</c:v>
                </c:pt>
                <c:pt idx="20" formatCode="General">
                  <c:v>47.1</c:v>
                </c:pt>
                <c:pt idx="21" formatCode="General">
                  <c:v>47.9</c:v>
                </c:pt>
                <c:pt idx="22" formatCode="General">
                  <c:v>47.7</c:v>
                </c:pt>
                <c:pt idx="23" formatCode="General">
                  <c:v>48.2</c:v>
                </c:pt>
                <c:pt idx="24" formatCode="General">
                  <c:v>49.4</c:v>
                </c:pt>
                <c:pt idx="25" formatCode="General">
                  <c:v>47.7</c:v>
                </c:pt>
                <c:pt idx="26">
                  <c:v>48.1</c:v>
                </c:pt>
                <c:pt idx="27">
                  <c:v>47.3</c:v>
                </c:pt>
                <c:pt idx="28">
                  <c:v>47.41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D99-41BF-ABA8-878547D26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398835663"/>
        <c:axId val="344754399"/>
      </c:lineChart>
      <c:catAx>
        <c:axId val="398835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4754399"/>
        <c:crosses val="autoZero"/>
        <c:auto val="1"/>
        <c:lblAlgn val="ctr"/>
        <c:lblOffset val="100"/>
        <c:noMultiLvlLbl val="0"/>
      </c:catAx>
      <c:valAx>
        <c:axId val="344754399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8835663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Экспорт природного газа Группой Газпром, млрд. м</a:t>
            </a:r>
            <a:r>
              <a:rPr lang="ru-RU" sz="1200" baseline="30000"/>
              <a:t>3</a:t>
            </a:r>
            <a:r>
              <a:rPr lang="ru-RU" sz="1200"/>
              <a:t>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Экспорт газа в Германию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Лист2!$J$5:$J$21</c:f>
              <c:numCache>
                <c:formatCode>General</c:formatCode>
                <c:ptCount val="17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2018</c:v>
                </c:pt>
              </c:numCache>
            </c:numRef>
          </c:cat>
          <c:val>
            <c:numRef>
              <c:f>Лист2!$K$5:$K$21</c:f>
              <c:numCache>
                <c:formatCode>General</c:formatCode>
                <c:ptCount val="17"/>
                <c:pt idx="0">
                  <c:v>31.5</c:v>
                </c:pt>
                <c:pt idx="1">
                  <c:v>29.6</c:v>
                </c:pt>
                <c:pt idx="2">
                  <c:v>36.1</c:v>
                </c:pt>
                <c:pt idx="3">
                  <c:v>36</c:v>
                </c:pt>
                <c:pt idx="4">
                  <c:v>34.4</c:v>
                </c:pt>
                <c:pt idx="5">
                  <c:v>34.5</c:v>
                </c:pt>
                <c:pt idx="6">
                  <c:v>38</c:v>
                </c:pt>
                <c:pt idx="7">
                  <c:v>33.5</c:v>
                </c:pt>
                <c:pt idx="8">
                  <c:v>35.299999999999997</c:v>
                </c:pt>
                <c:pt idx="9">
                  <c:v>34.1</c:v>
                </c:pt>
                <c:pt idx="10">
                  <c:v>34</c:v>
                </c:pt>
                <c:pt idx="11">
                  <c:v>41</c:v>
                </c:pt>
                <c:pt idx="12">
                  <c:v>40.299999999999997</c:v>
                </c:pt>
                <c:pt idx="13">
                  <c:v>47.4</c:v>
                </c:pt>
                <c:pt idx="14">
                  <c:v>57.9</c:v>
                </c:pt>
                <c:pt idx="15">
                  <c:v>67.099999999999994</c:v>
                </c:pt>
                <c:pt idx="16">
                  <c:v>65.7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F8D-46D5-BB84-C4E04C90FD40}"/>
            </c:ext>
          </c:extLst>
        </c:ser>
        <c:ser>
          <c:idx val="1"/>
          <c:order val="1"/>
          <c:tx>
            <c:v>Экспорт газа в дальнее зарубежье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Лист2!$J$5:$J$21</c:f>
              <c:numCache>
                <c:formatCode>General</c:formatCode>
                <c:ptCount val="17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2018</c:v>
                </c:pt>
              </c:numCache>
            </c:numRef>
          </c:cat>
          <c:val>
            <c:numRef>
              <c:f>Лист2!$L$5:$L$21</c:f>
              <c:numCache>
                <c:formatCode>General</c:formatCode>
                <c:ptCount val="17"/>
                <c:pt idx="0">
                  <c:v>128.6</c:v>
                </c:pt>
                <c:pt idx="1">
                  <c:v>132.9</c:v>
                </c:pt>
                <c:pt idx="2">
                  <c:v>140.5</c:v>
                </c:pt>
                <c:pt idx="3">
                  <c:v>156.1</c:v>
                </c:pt>
                <c:pt idx="4">
                  <c:v>161.19999999999999</c:v>
                </c:pt>
                <c:pt idx="5">
                  <c:v>168.5</c:v>
                </c:pt>
                <c:pt idx="6">
                  <c:v>167.6</c:v>
                </c:pt>
                <c:pt idx="7">
                  <c:v>148.30000000000001</c:v>
                </c:pt>
                <c:pt idx="8">
                  <c:v>148.1</c:v>
                </c:pt>
                <c:pt idx="9">
                  <c:v>156.6</c:v>
                </c:pt>
                <c:pt idx="10">
                  <c:v>151</c:v>
                </c:pt>
                <c:pt idx="11">
                  <c:v>174.3</c:v>
                </c:pt>
                <c:pt idx="12">
                  <c:v>159.4</c:v>
                </c:pt>
                <c:pt idx="13">
                  <c:v>184.4</c:v>
                </c:pt>
                <c:pt idx="14">
                  <c:v>228.3</c:v>
                </c:pt>
                <c:pt idx="15">
                  <c:v>242</c:v>
                </c:pt>
                <c:pt idx="16">
                  <c:v>243.3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F8D-46D5-BB84-C4E04C90FD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54240463"/>
        <c:axId val="1350285503"/>
      </c:lineChart>
      <c:catAx>
        <c:axId val="13542404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0285503"/>
        <c:crosses val="autoZero"/>
        <c:auto val="1"/>
        <c:lblAlgn val="ctr"/>
        <c:lblOffset val="100"/>
        <c:noMultiLvlLbl val="0"/>
      </c:catAx>
      <c:valAx>
        <c:axId val="13502855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42404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26682-332B-4CE2-BD0C-BA4E85FA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90</Pages>
  <Words>25774</Words>
  <Characters>146915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Джансыз</dc:creator>
  <cp:keywords/>
  <dc:description/>
  <cp:lastModifiedBy>Николай Джансыз</cp:lastModifiedBy>
  <cp:revision>11</cp:revision>
  <dcterms:created xsi:type="dcterms:W3CDTF">2020-05-29T18:50:00Z</dcterms:created>
  <dcterms:modified xsi:type="dcterms:W3CDTF">2020-05-31T12:43:00Z</dcterms:modified>
</cp:coreProperties>
</file>